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Complete component design and execution register</w:t>
      </w:r>
    </w:p>
    <w:p>
      <w:r>
        <w:rPr>
          <w:sz w:val="18"/>
        </w:rPr>
        <w:t>Fictional test correspondence. All people, addresses, decisions and project particulars in this document are invented for a software evaluation.</w:t>
      </w:r>
    </w:p>
    <w:p>
      <w:r>
        <w:t>Record R509    Date 2026-11-12    Email reply</w:t>
      </w:r>
    </w:p>
    <w:p>
      <w:r>
        <w:t>From: Fictional Quantity Surveyor &lt;qs@consense-scenario.invalid&gt;</w:t>
        <w:br/>
        <w:t>To: Fictional Coordination Team &lt;team@consense-scenario.invalid&gt;</w:t>
      </w:r>
    </w:p>
    <w:p>
      <w:pPr>
        <w:widowControl/>
      </w:pPr>
      <w:r>
        <w:t>The following four rows are the complete foundation and structural component responsibility register. Yes and No in the design and execution columns refer to the Contractor. Every listed design is issued by the Architect and Structural Engineer.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84"/>
        <w:gridCol w:w="1728"/>
        <w:gridCol w:w="1728"/>
      </w:tblGrid>
      <w:tr>
        <w:trPr>
          <w:tblHeader/>
          <w:cantSplit/>
        </w:trPr>
        <w:tc>
          <w:tcPr>
            <w:tcW w:type="dxa" w:w="1584"/>
            <w:vAlign w:val="center"/>
            <w:tcMar>
              <w:top w:w="85" w:type="dxa"/>
              <w:left w:w="85" w:type="dxa"/>
              <w:bottom w:w="85" w:type="dxa"/>
              <w:right w:w="85" w:type="dxa"/>
            </w:tcMar>
            <w:shd w:fill="E7E6E6"/>
          </w:tcPr>
          <w:p>
            <w:pPr>
              <w:spacing w:after="60" w:line="240" w:lineRule="auto"/>
            </w:pPr>
            <w:r>
              <w:rPr>
                <w:b/>
                <w:sz w:val="21"/>
              </w:rPr>
              <w:t>Component</w:t>
            </w:r>
          </w:p>
        </w:tc>
        <w:tc>
          <w:tcPr>
            <w:tcW w:type="dxa" w:w="5184"/>
            <w:vAlign w:val="center"/>
            <w:tcMar>
              <w:top w:w="85" w:type="dxa"/>
              <w:left w:w="85" w:type="dxa"/>
              <w:bottom w:w="85" w:type="dxa"/>
              <w:right w:w="85" w:type="dxa"/>
            </w:tcMar>
            <w:shd w:fill="E7E6E6"/>
          </w:tcPr>
          <w:p>
            <w:pPr>
              <w:spacing w:after="60" w:line="240" w:lineRule="auto"/>
            </w:pPr>
            <w:r>
              <w:rPr>
                <w:b/>
                <w:sz w:val="21"/>
              </w:rPr>
              <w:t>Scope</w:t>
            </w:r>
          </w:p>
        </w:tc>
        <w:tc>
          <w:tcPr>
            <w:tcW w:type="dxa" w:w="1728"/>
            <w:vAlign w:val="center"/>
            <w:tcMar>
              <w:top w:w="85" w:type="dxa"/>
              <w:left w:w="85" w:type="dxa"/>
              <w:bottom w:w="85" w:type="dxa"/>
              <w:right w:w="85" w:type="dxa"/>
            </w:tcMar>
            <w:shd w:fill="E7E6E6"/>
          </w:tcPr>
          <w:p>
            <w:pPr>
              <w:spacing w:after="60" w:line="240" w:lineRule="auto"/>
            </w:pPr>
            <w:r>
              <w:rPr>
                <w:b/>
                <w:sz w:val="21"/>
              </w:rPr>
              <w:t>Contractor design</w:t>
            </w:r>
          </w:p>
        </w:tc>
        <w:tc>
          <w:tcPr>
            <w:tcW w:type="dxa" w:w="1728"/>
            <w:vAlign w:val="center"/>
            <w:tcMar>
              <w:top w:w="85" w:type="dxa"/>
              <w:left w:w="85" w:type="dxa"/>
              <w:bottom w:w="85" w:type="dxa"/>
              <w:right w:w="85" w:type="dxa"/>
            </w:tcMar>
            <w:shd w:fill="E7E6E6"/>
          </w:tcPr>
          <w:p>
            <w:pPr>
              <w:spacing w:after="60" w:line="240" w:lineRule="auto"/>
            </w:pPr>
            <w:r>
              <w:rPr>
                <w:b/>
                <w:sz w:val="21"/>
              </w:rPr>
              <w:t>Contractor execution</w:t>
            </w:r>
          </w:p>
        </w:tc>
      </w:tr>
      <w:tr>
        <w:trPr>
          <w:cantSplit/>
        </w:trPr>
        <w:tc>
          <w:tcPr>
            <w:tcW w:type="dxa" w:w="1584"/>
            <w:vAlign w:val="center"/>
            <w:tcMar>
              <w:top w:w="85" w:type="dxa"/>
              <w:left w:w="85" w:type="dxa"/>
              <w:bottom w:w="85" w:type="dxa"/>
              <w:right w:w="85" w:type="dxa"/>
            </w:tcMar>
          </w:tcPr>
          <w:p>
            <w:pPr>
              <w:spacing w:after="60" w:line="240" w:lineRule="auto"/>
            </w:pPr>
            <w:r>
              <w:rPr>
                <w:b w:val="0"/>
                <w:sz w:val="21"/>
              </w:rPr>
              <w:t>piling</w:t>
            </w:r>
          </w:p>
        </w:tc>
        <w:tc>
          <w:tcPr>
            <w:tcW w:type="dxa" w:w="5184"/>
            <w:vAlign w:val="center"/>
            <w:tcMar>
              <w:top w:w="85" w:type="dxa"/>
              <w:left w:w="85" w:type="dxa"/>
              <w:bottom w:w="85" w:type="dxa"/>
              <w:right w:w="85" w:type="dxa"/>
            </w:tcMar>
          </w:tcPr>
          <w:p>
            <w:pPr>
              <w:spacing w:after="60" w:line="240" w:lineRule="auto"/>
            </w:pPr>
            <w:r>
              <w:rPr>
                <w:b w:val="0"/>
                <w:sz w:val="21"/>
              </w:rPr>
              <w:t>Bored piles beneath the library building</w:t>
            </w:r>
          </w:p>
        </w:tc>
        <w:tc>
          <w:tcPr>
            <w:tcW w:type="dxa" w:w="1728"/>
            <w:vAlign w:val="center"/>
            <w:tcMar>
              <w:top w:w="85" w:type="dxa"/>
              <w:left w:w="85" w:type="dxa"/>
              <w:bottom w:w="85" w:type="dxa"/>
              <w:right w:w="85" w:type="dxa"/>
            </w:tcMar>
          </w:tcPr>
          <w:p>
            <w:pPr>
              <w:spacing w:after="60" w:line="240" w:lineRule="auto"/>
            </w:pPr>
            <w:r>
              <w:rPr>
                <w:b w:val="0"/>
                <w:sz w:val="21"/>
              </w:rPr>
              <w:t>No</w:t>
            </w:r>
          </w:p>
        </w:tc>
        <w:tc>
          <w:tcPr>
            <w:tcW w:type="dxa" w:w="1728"/>
            <w:vAlign w:val="center"/>
            <w:tcMar>
              <w:top w:w="85" w:type="dxa"/>
              <w:left w:w="85" w:type="dxa"/>
              <w:bottom w:w="85" w:type="dxa"/>
              <w:right w:w="85" w:type="dxa"/>
            </w:tcMar>
          </w:tcPr>
          <w:p>
            <w:pPr>
              <w:spacing w:after="60" w:line="240" w:lineRule="auto"/>
            </w:pPr>
            <w:r>
              <w:rPr>
                <w:b w:val="0"/>
                <w:sz w:val="21"/>
              </w:rPr>
              <w:t>Yes</w:t>
            </w:r>
          </w:p>
        </w:tc>
      </w:tr>
      <w:tr>
        <w:trPr>
          <w:cantSplit/>
        </w:trPr>
        <w:tc>
          <w:tcPr>
            <w:tcW w:type="dxa" w:w="1584"/>
            <w:vAlign w:val="center"/>
            <w:tcMar>
              <w:top w:w="85" w:type="dxa"/>
              <w:left w:w="85" w:type="dxa"/>
              <w:bottom w:w="85" w:type="dxa"/>
              <w:right w:w="85" w:type="dxa"/>
            </w:tcMar>
          </w:tcPr>
          <w:p>
            <w:pPr>
              <w:spacing w:after="60" w:line="240" w:lineRule="auto"/>
            </w:pPr>
            <w:r>
              <w:rPr>
                <w:b w:val="0"/>
                <w:sz w:val="21"/>
              </w:rPr>
              <w:t>pilecaps</w:t>
            </w:r>
          </w:p>
        </w:tc>
        <w:tc>
          <w:tcPr>
            <w:tcW w:type="dxa" w:w="5184"/>
            <w:vAlign w:val="center"/>
            <w:tcMar>
              <w:top w:w="85" w:type="dxa"/>
              <w:left w:w="85" w:type="dxa"/>
              <w:bottom w:w="85" w:type="dxa"/>
              <w:right w:w="85" w:type="dxa"/>
            </w:tcMar>
          </w:tcPr>
          <w:p>
            <w:pPr>
              <w:spacing w:after="60" w:line="240" w:lineRule="auto"/>
            </w:pPr>
            <w:r>
              <w:rPr>
                <w:b w:val="0"/>
                <w:sz w:val="21"/>
              </w:rPr>
              <w:t>Pile caps beneath the library building</w:t>
            </w:r>
          </w:p>
        </w:tc>
        <w:tc>
          <w:tcPr>
            <w:tcW w:type="dxa" w:w="1728"/>
            <w:vAlign w:val="center"/>
            <w:tcMar>
              <w:top w:w="85" w:type="dxa"/>
              <w:left w:w="85" w:type="dxa"/>
              <w:bottom w:w="85" w:type="dxa"/>
              <w:right w:w="85" w:type="dxa"/>
            </w:tcMar>
          </w:tcPr>
          <w:p>
            <w:pPr>
              <w:spacing w:after="60" w:line="240" w:lineRule="auto"/>
            </w:pPr>
            <w:r>
              <w:rPr>
                <w:b w:val="0"/>
                <w:sz w:val="21"/>
              </w:rPr>
              <w:t>No</w:t>
            </w:r>
          </w:p>
        </w:tc>
        <w:tc>
          <w:tcPr>
            <w:tcW w:type="dxa" w:w="1728"/>
            <w:vAlign w:val="center"/>
            <w:tcMar>
              <w:top w:w="85" w:type="dxa"/>
              <w:left w:w="85" w:type="dxa"/>
              <w:bottom w:w="85" w:type="dxa"/>
              <w:right w:w="85" w:type="dxa"/>
            </w:tcMar>
          </w:tcPr>
          <w:p>
            <w:pPr>
              <w:spacing w:after="60" w:line="240" w:lineRule="auto"/>
            </w:pPr>
            <w:r>
              <w:rPr>
                <w:b w:val="0"/>
                <w:sz w:val="21"/>
              </w:rPr>
              <w:t>Yes</w:t>
            </w:r>
          </w:p>
        </w:tc>
      </w:tr>
      <w:tr>
        <w:trPr>
          <w:cantSplit/>
        </w:trPr>
        <w:tc>
          <w:tcPr>
            <w:tcW w:type="dxa" w:w="1584"/>
            <w:vAlign w:val="center"/>
            <w:tcMar>
              <w:top w:w="85" w:type="dxa"/>
              <w:left w:w="85" w:type="dxa"/>
              <w:bottom w:w="85" w:type="dxa"/>
              <w:right w:w="85" w:type="dxa"/>
            </w:tcMar>
          </w:tcPr>
          <w:p>
            <w:pPr>
              <w:spacing w:after="60" w:line="240" w:lineRule="auto"/>
            </w:pPr>
            <w:r>
              <w:rPr>
                <w:b w:val="0"/>
                <w:sz w:val="21"/>
              </w:rPr>
              <w:t>footings</w:t>
            </w:r>
          </w:p>
        </w:tc>
        <w:tc>
          <w:tcPr>
            <w:tcW w:type="dxa" w:w="5184"/>
            <w:vAlign w:val="center"/>
            <w:tcMar>
              <w:top w:w="85" w:type="dxa"/>
              <w:left w:w="85" w:type="dxa"/>
              <w:bottom w:w="85" w:type="dxa"/>
              <w:right w:w="85" w:type="dxa"/>
            </w:tcMar>
          </w:tcPr>
          <w:p>
            <w:pPr>
              <w:spacing w:after="60" w:line="240" w:lineRule="auto"/>
            </w:pPr>
            <w:r>
              <w:rPr>
                <w:b w:val="0"/>
                <w:sz w:val="21"/>
              </w:rPr>
              <w:t>Pad footings supporting the indoor sports centre</w:t>
            </w:r>
          </w:p>
        </w:tc>
        <w:tc>
          <w:tcPr>
            <w:tcW w:type="dxa" w:w="1728"/>
            <w:vAlign w:val="center"/>
            <w:tcMar>
              <w:top w:w="85" w:type="dxa"/>
              <w:left w:w="85" w:type="dxa"/>
              <w:bottom w:w="85" w:type="dxa"/>
              <w:right w:w="85" w:type="dxa"/>
            </w:tcMar>
          </w:tcPr>
          <w:p>
            <w:pPr>
              <w:spacing w:after="60" w:line="240" w:lineRule="auto"/>
            </w:pPr>
            <w:r>
              <w:rPr>
                <w:b w:val="0"/>
                <w:sz w:val="21"/>
              </w:rPr>
              <w:t>No</w:t>
            </w:r>
          </w:p>
        </w:tc>
        <w:tc>
          <w:tcPr>
            <w:tcW w:type="dxa" w:w="1728"/>
            <w:vAlign w:val="center"/>
            <w:tcMar>
              <w:top w:w="85" w:type="dxa"/>
              <w:left w:w="85" w:type="dxa"/>
              <w:bottom w:w="85" w:type="dxa"/>
              <w:right w:w="85" w:type="dxa"/>
            </w:tcMar>
          </w:tcPr>
          <w:p>
            <w:pPr>
              <w:spacing w:after="60" w:line="240" w:lineRule="auto"/>
            </w:pPr>
            <w:r>
              <w:rPr>
                <w:b w:val="0"/>
                <w:sz w:val="21"/>
              </w:rPr>
              <w:t>Yes</w:t>
            </w:r>
          </w:p>
        </w:tc>
      </w:tr>
      <w:tr>
        <w:trPr>
          <w:cantSplit/>
        </w:trPr>
        <w:tc>
          <w:tcPr>
            <w:tcW w:type="dxa" w:w="1584"/>
            <w:vAlign w:val="center"/>
            <w:tcMar>
              <w:top w:w="85" w:type="dxa"/>
              <w:left w:w="85" w:type="dxa"/>
              <w:bottom w:w="85" w:type="dxa"/>
              <w:right w:w="85" w:type="dxa"/>
            </w:tcMar>
          </w:tcPr>
          <w:p>
            <w:pPr>
              <w:spacing w:after="60" w:line="240" w:lineRule="auto"/>
            </w:pPr>
            <w:r>
              <w:rPr>
                <w:b w:val="0"/>
                <w:sz w:val="21"/>
              </w:rPr>
              <w:t>other</w:t>
            </w:r>
          </w:p>
        </w:tc>
        <w:tc>
          <w:tcPr>
            <w:tcW w:type="dxa" w:w="5184"/>
            <w:vAlign w:val="center"/>
            <w:tcMar>
              <w:top w:w="85" w:type="dxa"/>
              <w:left w:w="85" w:type="dxa"/>
              <w:bottom w:w="85" w:type="dxa"/>
              <w:right w:w="85" w:type="dxa"/>
            </w:tcMar>
          </w:tcPr>
          <w:p>
            <w:pPr>
              <w:spacing w:after="60" w:line="240" w:lineRule="auto"/>
            </w:pPr>
            <w:r>
              <w:rPr>
                <w:b w:val="0"/>
                <w:sz w:val="21"/>
              </w:rPr>
              <w:t>Retaining walls along the west boundary</w:t>
            </w:r>
          </w:p>
        </w:tc>
        <w:tc>
          <w:tcPr>
            <w:tcW w:type="dxa" w:w="1728"/>
            <w:vAlign w:val="center"/>
            <w:tcMar>
              <w:top w:w="85" w:type="dxa"/>
              <w:left w:w="85" w:type="dxa"/>
              <w:bottom w:w="85" w:type="dxa"/>
              <w:right w:w="85" w:type="dxa"/>
            </w:tcMar>
          </w:tcPr>
          <w:p>
            <w:pPr>
              <w:spacing w:after="60" w:line="240" w:lineRule="auto"/>
            </w:pPr>
            <w:r>
              <w:rPr>
                <w:b w:val="0"/>
                <w:sz w:val="21"/>
              </w:rPr>
              <w:t>No</w:t>
            </w:r>
          </w:p>
        </w:tc>
        <w:tc>
          <w:tcPr>
            <w:tcW w:type="dxa" w:w="1728"/>
            <w:vAlign w:val="center"/>
            <w:tcMar>
              <w:top w:w="85" w:type="dxa"/>
              <w:left w:w="85" w:type="dxa"/>
              <w:bottom w:w="85" w:type="dxa"/>
              <w:right w:w="85" w:type="dxa"/>
            </w:tcMar>
          </w:tcPr>
          <w:p>
            <w:pPr>
              <w:spacing w:after="60" w:line="240" w:lineRule="auto"/>
            </w:pPr>
            <w:r>
              <w:rPr>
                <w:b w:val="0"/>
                <w:sz w:val="21"/>
              </w:rPr>
              <w:t>Yes</w:t>
            </w:r>
          </w:p>
        </w:tc>
      </w:tr>
    </w:tbl>
    <w:p>
      <w:pPr>
        <w:spacing w:after="60"/>
      </w:pPr>
    </w:p>
    <w:p>
      <w:pPr>
        <w:widowControl/>
      </w:pPr>
      <w:r>
        <w:t>The pad footings in the register support the indoor sports centre building. The footings therefore serve a building, rather than minor standalone landscape items.</w:t>
      </w:r>
    </w:p>
    <w:p>
      <w:r>
        <w:t>Regards,</w:t>
        <w:br/>
        <w:t>Fictional Quantity Surveyor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component design and execution register</dc:title>
  <dc:subject/>
  <dc:creator>ConSense fictional community facilities coordination team</dc:creator>
  <cp:keywords/>
  <dc:description>generated by python-docx</dc:description>
  <cp:lastModifiedBy/>
  <cp:revision>1</cp:revision>
  <dcterms:created xsi:type="dcterms:W3CDTF">2026-10-09T00:00:00Z</dcterms:created>
  <dcterms:modified xsi:type="dcterms:W3CDTF">2026-10-09T00:00:00Z</dcterms:modified>
  <cp:category/>
</cp:coreProperties>
</file>