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Finishes legal form training and payment decisions</w:t>
      </w:r>
    </w:p>
    <w:p>
      <w:r>
        <w:rPr>
          <w:sz w:val="18"/>
        </w:rPr>
        <w:t>Fictional test correspondence. All people, addresses, decisions and project particulars in this document are invented for a software evaluation.</w:t>
      </w:r>
    </w:p>
    <w:p>
      <w:r>
        <w:t>Record R514    Date 2026-11-19    Meeting minutes</w:t>
      </w:r>
    </w:p>
    <w:p>
      <w:r>
        <w:t>Attendees: Fictional Project Architect, Structural Engineer, Procurement Officer and Quantity Surveyor. Recorder: Fictional Quantity Surveyor.</w:t>
      </w:r>
    </w:p>
    <w:p>
      <w:pPr>
        <w:widowControl/>
      </w:pPr>
      <w:r>
        <w:t>Roofing installation is included and a roofing installation warranty is required. Refuge floor installation is also included, but no refuge floor installation warranty is required.</w:t>
      </w:r>
    </w:p>
    <w:p>
      <w:pPr>
        <w:widowControl/>
      </w:pPr>
      <w:r>
        <w:t>Do not require an acrylic paint warranty or a wall tiling warranty. Require the epoxy coated cast iron pipe installation warranty. Play equipment is excluded. Impact Absorbing Surfacing Materials are included on the indoor exercise track.</w:t>
      </w:r>
    </w:p>
    <w:p>
      <w:pPr>
        <w:widowControl/>
      </w:pPr>
      <w:r>
        <w:t>Do not adopt the police training clause for this project. The demolition site will remain under the demolition contractor control and will not be offered for police training.</w:t>
      </w:r>
    </w:p>
    <w:p>
      <w:pPr>
        <w:widowControl/>
      </w:pPr>
      <w:r>
        <w:t>The Contractor legal form is an incorporated joint venture. That legal form is confirmed; fallback clause choices for an unknown legal form are not required.</w:t>
      </w:r>
    </w:p>
    <w:p>
      <w:pPr>
        <w:widowControl/>
      </w:pPr>
      <w:r>
        <w:t>Do not adopt advance payment under SCC14.305. No advance payment will be made, and no advance repayment period or first repayment certificate needs to be inserted.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Finishes legal form training and payment decisions</dc:title>
  <dc:subject/>
  <dc:creator>ConSense fictional community facilities coordination team</dc:creator>
  <cp:keywords/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