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outstanding decisions and document register</w:t>
      </w:r>
    </w:p>
    <w:p>
      <w:r>
        <w:rPr>
          <w:sz w:val="18"/>
        </w:rPr>
        <w:t>Fictional test correspondence. All people, addresses, decisions and project particulars in this document are invented for a software evaluation.</w:t>
      </w:r>
    </w:p>
    <w:p>
      <w:r>
        <w:t>Record R515    Date 2026-11-20    Email reply</w:t>
      </w:r>
    </w:p>
    <w:p>
      <w:r>
        <w:t>From: Fictional Quantity Surveyor &lt;qs@consense-scenario.invalid&gt;</w:t>
        <w:br/>
        <w:t>To: Fictional Coordination Team &lt;team@consense-scenario.invalid&gt;</w:t>
      </w:r>
    </w:p>
    <w:p>
      <w:pPr>
        <w:widowControl/>
      </w:pPr>
      <w:r>
        <w:t>Four matters remain awaiting confirmation: the photocopy charge for sheets above A3, the Project Architect direct telephone number, the site inspection end date, and whether a design related quotation is required before a Variation instruction. No adopted value has been supplied for these four matters.</w:t>
      </w:r>
    </w:p>
    <w:p>
      <w:pPr>
        <w:widowControl/>
      </w:pPr>
      <w:r>
        <w:t>The earlier replies remain effective. The complete registers contain six BQ Bills, four component responsibility rows, one Old and Valuable Tree, nine other waterproofing areas and three Sections. There are three additional Tender submissions and four site visit restrictions. No further entries are introduced by this reply.</w:t>
      </w:r>
    </w:p>
    <w:p>
      <w:pPr>
        <w:widowControl/>
      </w:pPr>
      <w:r>
        <w:t>Please circulate the prepared NTT, SCT and SCC for business review before the adopted project inputs are used to produce the final tender documents.</w:t>
      </w:r>
    </w:p>
    <w:p>
      <w:r>
        <w:t>Regards,</w:t>
        <w:br/>
        <w:t>Fictional Quantity Surveyor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outstanding decisions and document register</dc:title>
  <dc:subject/>
  <dc:creator>ConSense fictional community facilities coordination team</dc:creator>
  <cp:keywords/>
  <dc:description>generated by python-docx</dc:description>
  <cp:lastModifiedBy/>
  <cp:revision>1</cp:revision>
  <dcterms:created xsi:type="dcterms:W3CDTF">2026-10-09T00:00:00Z</dcterms:created>
  <dcterms:modified xsi:type="dcterms:W3CDTF">2026-10-09T00:00:00Z</dcterms:modified>
  <cp:category/>
</cp:coreProperties>
</file>