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Appendix references and subcontract clause review</w:t>
      </w:r>
    </w:p>
    <w:p>
      <w:r>
        <w:t>SIMULATED TEST MATERIAL — not an actual email, meeting record or contractual instruction. All senders, dates and proceedings are fictional. Project values are derived from the supplied 2b tender documents.</w:t>
      </w:r>
    </w:p>
    <w:p>
      <w:r>
        <w:t>Record ID: SIM07</w:t>
        <w:br/>
        <w:t>Scenario date: 2024-12-17 (fictional)</w:t>
        <w:br/>
        <w:t>Type: Simulated email</w:t>
      </w:r>
    </w:p>
    <w:p>
      <w:r>
        <w:t>From: Simulated QS &lt;qs@consense-test.invalid&gt;</w:t>
        <w:br/>
        <w:t>To: Simulated Architect; Simulated Procurement Officer</w:t>
        <w:br/>
        <w:t>Subject: [SIMULATED] Appendix references and subcontract clause review</w:t>
      </w:r>
    </w:p>
    <w:p>
      <w:r>
        <w:t>Dear all,</w:t>
      </w:r>
    </w:p>
    <w:p>
      <w:r>
        <w:t>The user’s drafting rule links the G1a retention trigger to two conditions: a combined contract with foundation works and a contract period of at least 39 months. The period threshold is false in this tender package, so the joint true trigger is not met. This does not, by itself, establish the replacement appendix.</w:t>
      </w:r>
    </w:p>
    <w:p>
      <w:r>
        <w:t>The actual NTT clause 10 in 2b is “Sureties or Security” and refers to Appendix G301 to Conditions of Contract, together with GCC5.3, SCC5.302 and PRE.B6.040. Please preserve the G301 reference when reconstructing this 2b example. Do not change it to G1 or G1a simply to match a rule from another template. Appendix G to the SCT is the programme form and is a different object from the bond appendix.</w:t>
      </w:r>
    </w:p>
    <w:p>
      <w:r>
        <w:t>The actual NTT clause 13 is “Registered Specialist Trade Contractors Scheme”. Its body contains the exception for a subcontractor selected by the Contractor from the relevant list and states that the requirement applies to that subcontractor’s subcontractor. It does not contain the instruction “(*Amend if NSC is not applicable)”.</w:t>
      </w:r>
    </w:p>
    <w:p>
      <w:r>
        <w:t>The BSSSC selection and the source deletion of NSC definitions therefore do not authorize blanket deletion of NTT clause 13. The user’s conditional edit must first find the relevant instruction in the template being edited. For this 2b example, retain the actual clause wording and its exception; flag the different-template rule for review.</w:t>
      </w:r>
    </w:p>
    <w:p>
      <w:r>
        <w:t>Regards,</w:t>
        <w:br/>
        <w:t>Simulated QS</w:t>
      </w:r>
    </w:p>
    <w:p>
      <w:pPr>
        <w:pStyle w:val="Heading1"/>
      </w:pPr>
      <w:r>
        <w:t>Document basis</w:t>
      </w:r>
    </w:p>
    <w:p>
      <w:r>
        <w:t>R10: 03 - NTT.docx — NTT clauses 10 and 13; R04: 05 - SCT.docx — Appendix G Columns A and B and Notes 3(a) and 5; R06: 10 - SCC.docx — SCC1.302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SIM07   Fictional correspondence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SIMULATED TEST MATERIAL   |   ConSense variable extraction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Microsoft YaHe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Appendix references and subcontract clause review</dc:title>
  <dc:subject>Synthetic variable extraction test; no actual communication</dc:subject>
  <dc:creator>ConSense simulated project roles</dc:creator>
  <cp:keywords/>
  <dc:description>generated by python-docx</dc:description>
  <cp:lastModifiedBy/>
  <cp:revision>1</cp:revision>
  <dcterms:created xsi:type="dcterms:W3CDTF">2013-12-23T23:15:00Z</dcterms:created>
  <dcterms:modified xsi:type="dcterms:W3CDTF">2013-12-23T23:15:00Z</dcterms:modified>
  <cp:category/>
</cp:coreProperties>
</file>