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Consolidated drafting input review meeting</w:t>
      </w:r>
    </w:p>
    <w:p>
      <w:r>
        <w:t>SIMULATED TEST MATERIAL — not an actual email, meeting record or contractual instruction. All senders, dates and proceedings are fictional. Project values are derived from the supplied 2b tender documents.</w:t>
      </w:r>
    </w:p>
    <w:p>
      <w:r>
        <w:t>Record ID: SIM08</w:t>
        <w:br/>
        <w:t>Scenario date: 2024-12-18 (fictional)</w:t>
        <w:br/>
        <w:t>Type: Simulated meeting minutes</w:t>
      </w:r>
    </w:p>
    <w:p>
      <w:r>
        <w:t>Participants: Simulated Architect, Simulated Structural Engineer, Simulated QS, Simulated Building Services Engineer, Simulated Programme Coordinator and Simulated Procurement Officer. Chair: Simulated Architect. Recorder: Simulated QS. Venue: fictional review call.</w:t>
      </w:r>
    </w:p>
    <w:p>
      <w:pPr>
        <w:pStyle w:val="Heading1"/>
      </w:pPr>
      <w:r>
        <w:t>Confirmed inputs and pending classification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5616"/>
        <w:gridCol w:w="1368"/>
      </w:tblGrid>
      <w:tr>
        <w:trPr>
          <w:tblHeader/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CE6F1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Input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CE6F1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Current value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DCE6F1"/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First record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Contract number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20250101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SIM02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Contract title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Construction of Public Housing Development at Tung Chung Area 98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SIM02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Combined contract with foundation works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Pending scope classification; no Boolean confirmed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SIM02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Contract period of 39 months or more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No; proposed-period ceiling is 31 months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SIM03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Exact accepted contract period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Not supplied; Column B is blank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SIM03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Bill numbers and descriptions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13 entries; see SIM04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SIM04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Building services arrangement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BSSSC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SIM05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Building services trades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Electrical; Fire services and water pump; Lift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SIM05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Two-envelope Tendering System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SIM06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Tendering preparation option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L10Pro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5F7FA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SIM06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Actual tender return media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Hardcopy plus DVD-ROM</w:t>
            </w:r>
          </w:p>
        </w:tc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FFFFFF"/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SIM06</w:t>
            </w:r>
          </w:p>
        </w:tc>
      </w:tr>
    </w:tbl>
    <w:p/>
    <w:p>
      <w:pPr>
        <w:pStyle w:val="Heading1"/>
      </w:pPr>
      <w:r>
        <w:t>Derived edits and review actions</w:t>
      </w:r>
    </w:p>
    <w:p>
      <w:r>
        <w:t>The joint condition for retaining G1a under the user’s rule is not met because the &gt;=39-month condition is false. The actual 2b bond reference remains G301. The foundation classification remains pending and must not be silently changed to false by the consolidation.</w:t>
      </w:r>
    </w:p>
    <w:p>
      <w:r>
        <w:t>NSC applicability for the building services arrangement is false and is derived from the BSSSC decision. NTT clause 13 remains subject to its actual wording; the quoted NSC amendment instruction is absent from this 2b clause. Do not delete the whole clause.</w:t>
      </w:r>
    </w:p>
    <w:p>
      <w:r>
        <w:t>Tender A or Tender B remains outside this extraction exercise and is handled in user notes. The period threshold is entered once under Contract type; appendix choices and NSC applicability are derived values.</w:t>
      </w:r>
    </w:p>
    <w:p>
      <w:pPr>
        <w:pStyle w:val="Heading1"/>
      </w:pPr>
      <w:r>
        <w:t>Editing and preview workflow</w:t>
      </w:r>
    </w:p>
    <w:p>
      <w:r>
        <w:t>Display the user inputs in one vertical list without base versus per-file groups. After variable editing, review the affected document positions in preview and export Word and PDF. This is the intended application workflow, not a claim that this simulation changes the application.</w:t>
      </w:r>
    </w:p>
    <w:p>
      <w:r>
        <w:t>Outstanding action: the Structural Engineer is to confirm the combined-foundation contract classification using the full scope and drawings. No final awarded-period value is invented to close the checklist.</w:t>
      </w:r>
    </w:p>
    <w:p>
      <w:pPr>
        <w:pStyle w:val="Heading1"/>
      </w:pPr>
      <w:r>
        <w:t>Document basis</w:t>
      </w:r>
    </w:p>
    <w:p>
      <w:r>
        <w:t>R01: 02 Cover.docx — Cover; R03: 25 - Specification - PRE (base tender).docx — PRE.B3.070(6) and PRE.B3.080; R04: 05 - SCT.docx — Appendix G Columns A and B and Notes 3(a) and 5; R05: 05 - SCT.docx — SCT1 bill schedule; R06: 10 - SCC.docx — SCC1.302; R07: 25 - Specification - PRE (base tender).docx — PRE.B6.720; R08: 05 - SCT.docx — SCT5(2), (3), (4); R09: 05 - SCT.docx — SCT3(1)(a), (4), (5)(a); R10: 03 - NTT.docx — NTT clauses 10 and 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SIM08   Fictional correspondence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SIMULATED TEST MATERIAL   |   ConSense variable extraction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Consolidated drafting input review meeting</dc:title>
  <dc:subject>Synthetic variable extraction test; no actual communication</dc:subject>
  <dc:creator>ConSense simulated project roles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