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Installation warranties and complete waterproofing scope</w:t>
      </w:r>
    </w:p>
    <w:p>
      <w:r>
        <w:t>This is a fictional tender coordination exercise. All persons, organisations, proceedings and project decisions in this correspondence are invented. It has no contractual effect.</w:t>
      </w:r>
    </w:p>
    <w:p>
      <w:r>
        <w:t>Record R111    Date 2026-08-17    Meeting minutes</w:t>
      </w:r>
    </w:p>
    <w:p>
      <w:r>
        <w:t>Attendees: Fictional Project Architect, Structural Engineer, Procurement Officer and Quantity Surveyor. Recorder: Fictional Quantity Surveyor.</w:t>
      </w:r>
    </w:p>
    <w:p>
      <w:pPr>
        <w:widowControl/>
      </w:pPr>
      <w:r>
        <w:t>Roofing installation is included and a roofing installation warranty is required. The domestic block is in Sha Tin.</w:t>
      </w:r>
    </w:p>
    <w:p>
      <w:pPr>
        <w:widowControl/>
      </w:pPr>
      <w:r>
        <w:t>Refuge floor installation is not included in these works. Its installation warranty detail is therefore not applicable.</w:t>
      </w:r>
    </w:p>
    <w:p>
      <w:pPr>
        <w:widowControl/>
      </w:pPr>
      <w:r>
        <w:t>A warranty for the other waterproofing installations is required. The following is the complete specification list of nine areas. The indented continuation lines form part of the preceding numbered area.</w:t>
      </w:r>
    </w:p>
    <w:p>
      <w:pPr>
        <w:widowControl/>
      </w:pPr>
      <w:r>
        <w:t>1. Hydrotherapy pool shell and balance tank, including the pool overflow gutters, tiled steps, underwater light recesses and movement joints. Continue the membrane around the balance tank access neck and seal each return pipe where it passes through the tank wall;</w:t>
        <w:br/>
        <w:t>2. Elderly wing assisted bathing rooms, including wheelchair shower bays, hoist bases, floor drain collars and doorway thresholds. Turn the waterproofing up behind the wall lining and seal the junctions with sanitary fittings and the shower seat brackets;</w:t>
        <w:br/>
        <w:t>3. Youth wing laundry and cleaning stores, including washing machine plinths, mop sink upstands and pipe sleeves. Provide a continuous membrane beneath removable service trays and beneath every machine base, with accessible seals around the trapped drain outlets;</w:t>
        <w:br/>
        <w:t>4. Therapy garden water feature and pump pit, including basin corners, cable entry sleeves and the overflow channel. Extend the waterproofing beneath the feature finishes and around the pump pit cover frame, protecting it where maintenance ladders bear on the surface;</w:t>
        <w:br/>
        <w:t>5. Basement kitchen cold room floors and service trenches, including trench intersections, drain sumps and door frame bases;</w:t>
        <w:br/>
        <w:t xml:space="preserve">   Continue the waterproofing below the insulated wall panels, seal every access cover seating and provide compatible returns around the refrigerant pipe openings;</w:t>
        <w:br/>
        <w:t>6. Staff accommodation bathroom floors and wet wall junctions, including shower kerbs, basin waste penetrations and recessed cupboards. Carry the membrane beneath the bath supports and across every threshold before laying the floor finishes;</w:t>
        <w:br/>
        <w:t>7. Eastern retaining wall tanking and adjacent stairwell drainage recess, including construction joints, wall to footing junctions and service ducts. Protect the membrane before backfilling and leave inspection access at each drainage collection point;</w:t>
        <w:br/>
        <w:t>8. Covered entrance planters and rainwater collection channels, including irrigation sleeves and emergency overflow outlets;</w:t>
        <w:br/>
        <w:t xml:space="preserve">   Return the waterproofing over the planter rims and seal each junction with the entrance paving, keeping the root protection layers clear of the channel inspection covers;</w:t>
        <w:br/>
        <w:t>9. Emergency generator room fuel containment bund and washdown apron, including the bund corners, cable duct crossings and discharge collection sump. Provide continuous waterproofing beneath equipment pads and seal the movement joint between the bund and the apron.</w:t>
      </w:r>
    </w:p>
    <w:p>
      <w:pPr>
        <w:widowControl/>
      </w:pPr>
      <w:r>
        <w:t>Separate finish and equipment decisions follow. An acrylic paint warranty is required. No wall tiling warranty is required. Play equipment and Impact Absorbing Surfacing Materials are included. An epoxy coated cast iron pipe installation warranty is not required. These decisions do not amend or withdraw the waterproofing warranty or any of the nine listed areas.</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warranties and complete waterproofing scope</dc:title>
  <dc:subject/>
  <dc:creator>ConSense fictional coordination team</dc:creator>
  <cp:keywords/>
  <dc:description>generated by python-docx</dc:description>
  <cp:lastModifiedBy/>
  <cp:revision>1</cp:revision>
  <dcterms:created xsi:type="dcterms:W3CDTF">2026-04-06T00:00:00Z</dcterms:created>
  <dcterms:modified xsi:type="dcterms:W3CDTF">2026-04-06T00:00:00Z</dcterms:modified>
  <cp:category/>
</cp:coreProperties>
</file>