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2024.3.27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NSD课表小助手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2024.3.27-2024.5.14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参考第一次迭代时助教的意见，修改figma的页面显示，同时将修改方向记录到文档中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2024.3.21-2024.3.31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丁牧云，林承亮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定期了解市场需求变更情况，在市场需求出现较大变更时及时告知组员。若出现类似情况，开会商议是否需要对app功能进行修改、新增与删除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2024.3.21-2024.5.7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以react为基础，了解react native框架，并配置完毕Android Studio环境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2024.3.25-2024.3.31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林承亮，丁牧云，刘安源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开会确定第二阶段的具体分工，选择架构风格，确定语言、框架、工具；明确各阶段ddl，确定功能实现顺序，初步描绘出多个架构视图雏形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2024.3.28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将多个架构视图进行绘制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2024.3.28-2024.4.7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2024.4.7-2024.4.8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林承亮，刘安源，张佳豪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根据评审结果对架构视图进行优化，文档进行修改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2024.4.8-2024.4.11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丁牧云，赵异升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设计代码书写和注释规范（可能直接采用google编码规范）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2024.4.1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张佳豪，刘安源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完成前端主要页面的绘制，在github上共享component供组员使用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2024.4.1-2024.4.14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林承亮，丁牧云，刘安源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进行所有页面的绘制完善，并完成页面之间的跳转等操作，添加必要的功能模块，和后端进行简单交互，基本完成软件架构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2024.4.15-2024.4.22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林承亮，丁牧云，刘安源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进行后端+数据库即spring+MySQL的环境配置与初步学习、熟悉。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2024.3.25-2024.4.1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张佳豪，赵异升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开会确定要后端需要留出的接口，需要使用的api、人工智能模型等等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书写基础的后端框架、熟悉数据库使用，能够实现简单功能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2024.4.1-2024.4.14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张佳豪，赵异升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先接触后端的组员帮助其他组员快速上手后端和数据库，加入开发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2024.4.14-2024.4.22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全体组员（由张佳豪、赵异升带头）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对于当前的程序进行测试，找出当前app的优缺点，对应vision文档查看技术要求的完成情况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2024.4.18-2024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赵异升，刘安源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撰写迭代评估报告初稿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2024.4.14-2024.4.15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林承亮，赵异升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对迭代评估报告初稿进行评审，评估当前软件开发进度，根据开发情况对于迭代计划、分工、软件功能实现做调整、优化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根据调整、优化的结果修改第一阶段迭代的vision文档、第二阶段迭代的软件架构文档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2024.4.17-2024.4.18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林承亮，刘安源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根据调整、优化分工后的分工继续工作（属于大迭代阶段中的第二分阶段，详细分工会在下面列出）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2024.4.17-2024.5.10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前端页面根据后端、数据库设计以及app功能需求等进行微调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2024.4.17-2024.5.7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林承亮，丁牧云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根据模块化划分以及后端接口的需求，分工进行后端和数据库的书写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2024.4.17-2024.5.7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全体小组成员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制定测试计划，选定测试工具与测试单元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2024.4.22-2024.4.28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张佳豪，丁牧云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使用测试工具、测试单元对于软件的功能、性能、安全性进行测试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2024.4.28-2024.5.1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张佳豪，丁牧云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撰写测试情况报告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2024.4.29-2024.5.1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张佳豪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根据测试情况对软件代码进行改进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2024.5.1-2024.5.10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2024.5.2-2024.5.12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答辩PPT制作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2024.5.7-2024.5.13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丁牧云，张佳豪，林承亮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对于下一阶段进行展望、提前制定迭代计划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2024.5.10-2024.5.14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全体组员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架构视图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小组编程规范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关键算法逻辑与实现说明（如果需要）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软件架构搭建源代码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软件在安卓端手机安装的安装包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软件使用说明文档、视频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技术原型测试计划与测试情况报告文档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技术选型风险：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风险描述：在选择架构风格、语言、框架和工具时，可能存在</w:t>
            </w:r>
            <w:r>
              <w:rPr>
                <w:rFonts w:hint="eastAsia"/>
                <w:szCs w:val="21"/>
                <w:lang w:val="en-US" w:eastAsia="zh-CN"/>
              </w:rPr>
              <w:t>选择的工具、架构</w:t>
            </w:r>
            <w:r>
              <w:rPr>
                <w:rFonts w:hint="eastAsia"/>
                <w:szCs w:val="21"/>
              </w:rPr>
              <w:t>不当导致后续开发困难或性能问题的风险。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应对方案：在做出技术选型决策之前，进行充分的技术调研和评估，考虑项目需求、团队技术能力等因素。可以</w:t>
            </w:r>
            <w:r>
              <w:rPr>
                <w:rFonts w:hint="eastAsia"/>
                <w:szCs w:val="21"/>
                <w:lang w:val="en-US" w:eastAsia="zh-CN"/>
              </w:rPr>
              <w:t>提前咨询软工学长学姐、助教、老师，了解往年安卓app开发的常用技术选型，最终结合小组的app特性，对于技术选型</w:t>
            </w:r>
            <w:r>
              <w:rPr>
                <w:rFonts w:hint="eastAsia"/>
                <w:szCs w:val="21"/>
              </w:rPr>
              <w:t>进行决策。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  <w:szCs w:val="21"/>
              </w:rPr>
              <w:t>缺乏足够的技术储备风险：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风险描述：团队成员</w:t>
            </w:r>
            <w:r>
              <w:rPr>
                <w:rFonts w:hint="eastAsia"/>
                <w:szCs w:val="21"/>
                <w:lang w:val="en-US" w:eastAsia="zh-CN"/>
              </w:rPr>
              <w:t>因为基本都是从零开始学习react native框架，ant design组件使用，spring后端结构，mySQL数据库搭建，java等语言，</w:t>
            </w:r>
            <w:r>
              <w:rPr>
                <w:rFonts w:hint="eastAsia"/>
                <w:szCs w:val="21"/>
              </w:rPr>
              <w:t>缺乏足够的技术储备，</w:t>
            </w:r>
            <w:r>
              <w:rPr>
                <w:rFonts w:hint="eastAsia"/>
                <w:szCs w:val="21"/>
                <w:lang w:val="en-US" w:eastAsia="zh-CN"/>
              </w:rPr>
              <w:t>可能因此</w:t>
            </w:r>
            <w:r>
              <w:rPr>
                <w:rFonts w:hint="eastAsia"/>
                <w:szCs w:val="21"/>
              </w:rPr>
              <w:t>无法有效地完成技术原型的搭建和实现。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应对方案：提前进行技术培训和知识共享，</w:t>
            </w:r>
            <w:r>
              <w:rPr>
                <w:rFonts w:hint="eastAsia"/>
                <w:szCs w:val="21"/>
                <w:lang w:val="en-US" w:eastAsia="zh-CN"/>
              </w:rPr>
              <w:t>让部分组员提前对后端和数据库开发进行学习，而不是所有人都同步进行类似的任务。让部分先学的人带动其他成员快速上手</w:t>
            </w:r>
            <w:r>
              <w:rPr>
                <w:rFonts w:hint="eastAsia"/>
                <w:szCs w:val="21"/>
              </w:rPr>
              <w:t>确保团队成员具备必要的技术能力。</w:t>
            </w:r>
            <w:r>
              <w:rPr>
                <w:rFonts w:hint="eastAsia"/>
                <w:szCs w:val="21"/>
                <w:lang w:val="en-US" w:eastAsia="zh-CN"/>
              </w:rPr>
              <w:t>必要时也可以向学长学姐、助教老师等高技术人员求助</w:t>
            </w:r>
            <w:r>
              <w:rPr>
                <w:rFonts w:hint="eastAsia"/>
                <w:szCs w:val="21"/>
              </w:rPr>
              <w:t>，帮助团队成员提升技术水平。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需求变更风险：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风险描述：在迭代过程中，需求可能会发生变化，导致技术原型的设计和实现需要进行调整。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应对方案：建立灵活的变更管理机制，及时响应需求变更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  <w:lang w:val="en-US" w:eastAsia="zh-CN"/>
              </w:rPr>
              <w:t>让一位小组成员始终关注当下的市场需求，在出现较大变更时与组员沟通，</w:t>
            </w:r>
            <w:r>
              <w:rPr>
                <w:rFonts w:hint="eastAsia"/>
                <w:szCs w:val="21"/>
              </w:rPr>
              <w:t>确保</w:t>
            </w:r>
            <w:r>
              <w:rPr>
                <w:rFonts w:hint="eastAsia"/>
                <w:szCs w:val="21"/>
                <w:lang w:val="en-US" w:eastAsia="zh-CN"/>
              </w:rPr>
              <w:t>小组能够</w:t>
            </w:r>
            <w:r>
              <w:rPr>
                <w:rFonts w:hint="eastAsia"/>
                <w:szCs w:val="21"/>
              </w:rPr>
              <w:t>及时了解需求变更的情况，并评估其对技术原型的影响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更快速地适应需求变化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不在无用的功能块上浪费太多精力，减少返工量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4、</w:t>
            </w:r>
            <w:r>
              <w:rPr>
                <w:rFonts w:hint="eastAsia"/>
                <w:szCs w:val="21"/>
              </w:rPr>
              <w:t>技术集成风险：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风险描述：在搭建软件架构和实现功能模块时，可能存在技术集成方面的困难，导致系统组件无法有效地协同工作。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应对方案：采用模块化设计和接口规范化的方式，</w:t>
            </w:r>
            <w:r>
              <w:rPr>
                <w:rFonts w:hint="eastAsia"/>
                <w:szCs w:val="21"/>
                <w:lang w:val="en-US" w:eastAsia="zh-CN"/>
              </w:rPr>
              <w:t>全组成员开会确定对于模块的严格划分，接口的功能和使用规范化，</w:t>
            </w:r>
            <w:r>
              <w:rPr>
                <w:rFonts w:hint="eastAsia"/>
                <w:szCs w:val="21"/>
              </w:rPr>
              <w:t>降低技术集成的复杂度。同时，进行适当的技术预演和原型验证，</w:t>
            </w:r>
            <w:r>
              <w:rPr>
                <w:rFonts w:hint="eastAsia"/>
                <w:szCs w:val="21"/>
                <w:lang w:val="en-US" w:eastAsia="zh-CN"/>
              </w:rPr>
              <w:t>在分开开发的同时，也保证能够一定时间后将各个组件组合起来确定能够使用，保证</w:t>
            </w:r>
            <w:r>
              <w:rPr>
                <w:rFonts w:hint="eastAsia"/>
                <w:szCs w:val="21"/>
              </w:rPr>
              <w:t>各个组件之间的兼容性和稳定性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减少最后阶段大规模返工的可能性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  <w:lang w:val="en-US" w:eastAsia="zh-CN"/>
              </w:rPr>
              <w:t>并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  <w:lang w:val="en-US" w:eastAsia="zh-CN"/>
              </w:rPr>
              <w:t>迭代中期和迭代末期的两次</w:t>
            </w:r>
            <w:r>
              <w:rPr>
                <w:rFonts w:hint="eastAsia"/>
                <w:szCs w:val="21"/>
              </w:rPr>
              <w:t>集成阶段进行全面的测试，及时发现和解决集成问题。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5、</w:t>
            </w:r>
            <w:r>
              <w:rPr>
                <w:rFonts w:hint="eastAsia"/>
                <w:szCs w:val="21"/>
              </w:rPr>
              <w:t>测试覆盖不足风险：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风险描述：测试工作可能没有覆盖到所有的功能和技术要求，导致无法发现隐藏的缺陷或性能问题。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应对方案：制定全面的测试计划，包括功能测试、性能测试、安全测试等，确保覆盖到所有重要的功能和技术要求。同时，采用自动化测试工具，提高测试效率和覆盖率。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6F31A"/>
    <w:multiLevelType w:val="singleLevel"/>
    <w:tmpl w:val="0486F3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MDBlZDRhMWY2MTMwZmUxZTI4YjAyZDVjZGE4ODA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317F69"/>
    <w:rsid w:val="01AA3877"/>
    <w:rsid w:val="042711AF"/>
    <w:rsid w:val="04473600"/>
    <w:rsid w:val="07E955A0"/>
    <w:rsid w:val="0AD16319"/>
    <w:rsid w:val="0E5C239D"/>
    <w:rsid w:val="157224A6"/>
    <w:rsid w:val="15853F88"/>
    <w:rsid w:val="1C0C0F5F"/>
    <w:rsid w:val="1CFA525B"/>
    <w:rsid w:val="1F046865"/>
    <w:rsid w:val="1F242A63"/>
    <w:rsid w:val="209854B7"/>
    <w:rsid w:val="22B81E40"/>
    <w:rsid w:val="25DD571A"/>
    <w:rsid w:val="2A8645D2"/>
    <w:rsid w:val="2F4365E1"/>
    <w:rsid w:val="31A812D2"/>
    <w:rsid w:val="39705767"/>
    <w:rsid w:val="3A2A623E"/>
    <w:rsid w:val="3A780E00"/>
    <w:rsid w:val="3AC30F2B"/>
    <w:rsid w:val="405F34A4"/>
    <w:rsid w:val="42C24FD0"/>
    <w:rsid w:val="443D0569"/>
    <w:rsid w:val="46A95479"/>
    <w:rsid w:val="4755115C"/>
    <w:rsid w:val="49D00F6E"/>
    <w:rsid w:val="4AF33166"/>
    <w:rsid w:val="4EB33338"/>
    <w:rsid w:val="4F7F35E3"/>
    <w:rsid w:val="514B3CFC"/>
    <w:rsid w:val="520B348B"/>
    <w:rsid w:val="53A45945"/>
    <w:rsid w:val="574216FD"/>
    <w:rsid w:val="58913FBE"/>
    <w:rsid w:val="5CE172C2"/>
    <w:rsid w:val="6008725C"/>
    <w:rsid w:val="63F7561D"/>
    <w:rsid w:val="64A86918"/>
    <w:rsid w:val="66694883"/>
    <w:rsid w:val="6821710D"/>
    <w:rsid w:val="68E63EB3"/>
    <w:rsid w:val="68ED3493"/>
    <w:rsid w:val="6A4A2E3A"/>
    <w:rsid w:val="6CC8224D"/>
    <w:rsid w:val="70E46F2A"/>
    <w:rsid w:val="723F4D5F"/>
    <w:rsid w:val="750F60A0"/>
    <w:rsid w:val="751D6EAE"/>
    <w:rsid w:val="75EF43A6"/>
    <w:rsid w:val="76472434"/>
    <w:rsid w:val="79AB4A88"/>
    <w:rsid w:val="7B56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autoRedefine/>
    <w:uiPriority w:val="0"/>
    <w:rPr>
      <w:kern w:val="2"/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187</Words>
  <Characters>190</Characters>
  <Lines>1</Lines>
  <Paragraphs>1</Paragraphs>
  <TotalTime>0</TotalTime>
  <ScaleCrop>false</ScaleCrop>
  <LinksUpToDate>false</LinksUpToDate>
  <CharactersWithSpaces>203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葛峪海</cp:lastModifiedBy>
  <dcterms:modified xsi:type="dcterms:W3CDTF">2024-03-27T13:31:24Z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EE9DF366237B4E61A95CC0AEDF915A7C_12</vt:lpwstr>
  </property>
</Properties>
</file>