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Noto Serif" w:cs="Noto Serif" w:eastAsia="Noto Serif" w:hAnsi="Noto Serif"/>
          <w:b/>
          <w:bCs/>
          <w:caps/>
          <w:color w:val="4A2C17"/>
          <w:sz w:val="56"/>
          <w:szCs w:val="56"/>
        </w:rPr>
        <w:t xml:space="preserve">GREEK NT READER</w:t>
      </w:r>
    </w:p>
    <w:p>
      <w:pPr>
        <w:spacing w:before="0" w:after="120"/>
      </w:pPr>
      <w:r>
        <w:rPr>
          <w:rFonts w:ascii="Noto Sans" w:cs="Noto Sans" w:eastAsia="Noto Sans" w:hAnsi="Noto Sans"/>
          <w:i/>
          <w:iCs/>
          <w:color w:val="616161"/>
          <w:sz w:val="32"/>
          <w:szCs w:val="32"/>
        </w:rPr>
        <w:t xml:space="preserve">Complete Design System Specification — MUI v7 Edition</w:t>
      </w:r>
    </w:p>
    <w:p>
      <w:pPr>
        <w:spacing w:before="0" w:after="400"/>
      </w:pPr>
      <w:r>
        <w:rPr>
          <w:rFonts w:ascii="Noto Sans" w:cs="Noto Sans" w:eastAsia="Noto Sans" w:hAnsi="Noto Sans"/>
          <w:color w:val="9E9E9E"/>
          <w:sz w:val="20"/>
          <w:szCs w:val="20"/>
        </w:rPr>
        <w:t xml:space="preserve">Version 2.0  ·  March 2026  ·  Next.js 15 + MUI v7 + React 19 · LTR/RTL Ready</w:t>
      </w:r>
    </w:p>
    <w:p>
      <w:pPr>
        <w:pBdr>
          <w:bottom w:val="single" w:color="E0E0E0" w:sz="4"/>
        </w:pBdr>
        <w:spacing w:before="200" w:after="200"/>
      </w:pPr>
      <w:r>
        <w:t xml:space="preserve"/>
      </w:r>
    </w:p>
    <w:p>
      <w:pPr>
        <w:pStyle w:val="Heading1"/>
        <w:spacing w:before="480" w:after="200"/>
      </w:pPr>
      <w:r>
        <w:rPr>
          <w:rFonts w:ascii="Noto Sans" w:cs="Noto Sans" w:eastAsia="Noto Sans" w:hAnsi="Noto Sans"/>
          <w:b/>
          <w:bCs/>
          <w:color w:val="4A2C17"/>
          <w:sz w:val="40"/>
          <w:szCs w:val="40"/>
        </w:rPr>
        <w:t xml:space="preserve">MUI v7 — What Changed</w:t>
      </w:r>
    </w:p>
    <w:p>
      <w:pPr>
        <w:spacing w:before="60" w:after="100"/>
      </w:pPr>
      <w:r>
        <w:rPr>
          <w:rFonts w:ascii="Noto Sans" w:cs="Noto Sans" w:eastAsia="Noto Sans" w:hAnsi="Noto Sans"/>
          <w:b w:val="false"/>
          <w:bCs w:val="false"/>
          <w:i w:val="false"/>
          <w:iCs w:val="false"/>
          <w:color w:val="212121"/>
          <w:sz w:val="22"/>
          <w:szCs w:val="22"/>
        </w:rPr>
        <w:t xml:space="preserve">This edition of the spec targets MUI v7 (released 2025). The component library, theme API, and import paths have changed in ways that affect every file in the codebase. The ten breaking changes below are applied throughout all generated components.</w:t>
      </w:r>
    </w:p>
    <w:p>
      <w:pPr>
        <w:spacing w:before="12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800"/>
      </w:tblGrid>
      <w:tr>
        <w:trPr>
          <w:tblHeader/>
        </w:trPr>
        <w:tc>
          <w:tcPr>
            <w:tcW w:type="dxa" w:w="2400"/>
            <w:tcBorders>
              <w:top w:val="single" w:color="E0E0E0" w:sz="1"/>
              <w:left w:val="single" w:color="E0E0E0" w:sz="1"/>
              <w:bottom w:val="single" w:color="E0E0E0" w:sz="1"/>
              <w:right w:val="single" w:color="E0E0E0"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Change</w:t>
            </w:r>
          </w:p>
        </w:tc>
        <w:tc>
          <w:tcPr>
            <w:tcW w:type="dxa" w:w="3000"/>
            <w:tcBorders>
              <w:top w:val="single" w:color="E0E0E0" w:sz="1"/>
              <w:left w:val="single" w:color="E0E0E0" w:sz="1"/>
              <w:bottom w:val="single" w:color="E0E0E0" w:sz="1"/>
              <w:right w:val="single" w:color="E0E0E0"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v6 (old)</w:t>
            </w:r>
          </w:p>
        </w:tc>
        <w:tc>
          <w:tcPr>
            <w:tcW w:type="dxa" w:w="3800"/>
            <w:tcBorders>
              <w:top w:val="single" w:color="E0E0E0" w:sz="1"/>
              <w:left w:val="single" w:color="E0E0E0" w:sz="1"/>
              <w:bottom w:val="single" w:color="E0E0E0" w:sz="1"/>
              <w:right w:val="single" w:color="E0E0E0"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v7 (new)</w:t>
            </w:r>
          </w:p>
        </w:tc>
      </w:tr>
      <w:tr>
        <w:trPr>
          <w:tblHeader w:val="false"/>
        </w:trP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Grid renamed</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Grid2 / Grid</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Grid (was Grid2); old Grid → GridLegacy</w:t>
            </w:r>
          </w:p>
        </w:tc>
      </w:tr>
      <w:tr>
        <w:trPr>
          <w:tblHeader w:val="false"/>
        </w:trP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Grid size prop</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&lt;Grid xs={12} sm={6}&gt;</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&lt;Grid size={{ xs: 12, sm: 6 }}&gt;</w:t>
            </w:r>
          </w:p>
        </w:tc>
      </w:tr>
      <w:tr>
        <w:trPr>
          <w:tblHeader w:val="false"/>
        </w:trP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Hidden removed</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&lt;Hidden mdDown&gt;…&lt;/Hidden&gt;</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sx={{ display: { xs: "none", md: "block" } }}</w:t>
            </w:r>
          </w:p>
        </w:tc>
      </w:tr>
      <w:tr>
        <w:trPr>
          <w:tblHeader w:val="false"/>
        </w:trP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Lab components</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import from @mui/lab</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import from @mui/material (Skeleton, Alert, etc.)</w:t>
            </w:r>
          </w:p>
        </w:tc>
      </w:tr>
      <w:tr>
        <w:trPr>
          <w:tblHeader w:val="false"/>
        </w:trP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StyledEngineProvider</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import from @mui/material</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import from @mui/material/styles</w:t>
            </w:r>
          </w:p>
        </w:tc>
      </w:tr>
      <w:tr>
        <w:trPr>
          <w:tblHeader w:val="false"/>
        </w:trP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Dialog onBackdropClick</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onBackdropClick prop</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onClose(event, reason) — check reason === "backdropClick"</w:t>
            </w:r>
          </w:p>
        </w:tc>
      </w:tr>
      <w:tr>
        <w:trPr>
          <w:tblHeader w:val="false"/>
        </w:trP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Deep imports banned</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@mui/material/styles/create…</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@mui/material/styles only (one level)</w:t>
            </w:r>
          </w:p>
        </w:tc>
      </w:tr>
      <w:tr>
        <w:trPr>
          <w:tblHeader w:val="false"/>
        </w:trP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CSS variables</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cssVariables optional</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cssVariables: true recommended; use theme.vars.*</w:t>
            </w:r>
          </w:p>
        </w:tc>
      </w:tr>
      <w:tr>
        <w:trPr>
          <w:tblHeader w:val="false"/>
        </w:trP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AppRouterCacheProvider</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no enableCssLayer</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enableCssLayer prop available for Tailwind v4</w:t>
            </w:r>
          </w:p>
        </w:tc>
      </w:tr>
      <w:tr>
        <w:trPr>
          <w:tblHeader w:val="false"/>
        </w:trP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TS interfaces</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TypographyOptions</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TypographyVariantsOptions / TypographyVariants</w:t>
            </w:r>
          </w:p>
        </w:tc>
      </w:tr>
      <w:tr>
        <w:trPr>
          <w:tblHeader w:val="false"/>
        </w:trP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createMuiTheme</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deprecated</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fully removed — use createTheme only</w:t>
            </w:r>
          </w:p>
        </w:tc>
      </w:tr>
      <w:tr>
        <w:trPr>
          <w:tblHeader w:val="false"/>
        </w:trP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slotProps pattern</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InputProps on TextField</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slotProps={{ input: {…} }} on TextField</w:t>
            </w:r>
          </w:p>
        </w:tc>
      </w:tr>
    </w:tbl>
    <w:p>
      <w:pPr>
        <w:spacing w:before="200" w:after="0"/>
      </w:pPr>
    </w:p>
    <w:p>
      <w:pPr>
        <w:pBdr>
          <w:bottom w:val="single" w:color="E0E0E0" w:sz="4"/>
        </w:pBdr>
        <w:spacing w:before="200" w:after="200"/>
      </w:pPr>
      <w:r>
        <w:t xml:space="preserve"/>
      </w:r>
    </w:p>
    <w:p>
      <w:pPr>
        <w:pStyle w:val="Heading1"/>
        <w:spacing w:before="480" w:after="200"/>
      </w:pPr>
      <w:r>
        <w:rPr>
          <w:rFonts w:ascii="Noto Sans" w:cs="Noto Sans" w:eastAsia="Noto Sans" w:hAnsi="Noto Sans"/>
          <w:b/>
          <w:bCs/>
          <w:color w:val="4A2C17"/>
          <w:sz w:val="40"/>
          <w:szCs w:val="40"/>
        </w:rPr>
        <w:t xml:space="preserve">Design Principles</w:t>
      </w:r>
    </w:p>
    <w:p>
      <w:pPr>
        <w:pStyle w:val="ListParagraph"/>
        <w:numPr>
          <w:ilvl w:val="0"/>
          <w:numId w:val="2"/>
        </w:numPr>
        <w:spacing w:before="40" w:after="60"/>
      </w:pPr>
      <w:r>
        <w:rPr>
          <w:rFonts w:ascii="Noto Sans" w:cs="Noto Sans" w:eastAsia="Noto Sans" w:hAnsi="Noto Sans"/>
          <w:color w:val="212121"/>
          <w:sz w:val="21"/>
          <w:szCs w:val="21"/>
        </w:rPr>
        <w:t xml:space="preserve">Academic clarity first — Greek text is always the hero. Every UI decision defers to text readability.</w:t>
      </w:r>
    </w:p>
    <w:p>
      <w:pPr>
        <w:pStyle w:val="ListParagraph"/>
        <w:numPr>
          <w:ilvl w:val="0"/>
          <w:numId w:val="2"/>
        </w:numPr>
        <w:spacing w:before="40" w:after="60"/>
      </w:pPr>
      <w:r>
        <w:rPr>
          <w:rFonts w:ascii="Noto Sans" w:cs="Noto Sans" w:eastAsia="Noto Sans" w:hAnsi="Noto Sans"/>
          <w:color w:val="212121"/>
          <w:sz w:val="21"/>
          <w:szCs w:val="21"/>
        </w:rPr>
        <w:t xml:space="preserve">Scholarly restraint — whitespace is generous, ornamentation minimal, typography carries the aesthetic weight.</w:t>
      </w:r>
    </w:p>
    <w:p>
      <w:pPr>
        <w:pStyle w:val="ListParagraph"/>
        <w:numPr>
          <w:ilvl w:val="0"/>
          <w:numId w:val="2"/>
        </w:numPr>
        <w:spacing w:before="40" w:after="60"/>
      </w:pPr>
      <w:r>
        <w:rPr>
          <w:rFonts w:ascii="Noto Sans" w:cs="Noto Sans" w:eastAsia="Noto Sans" w:hAnsi="Noto Sans"/>
          <w:color w:val="212121"/>
          <w:sz w:val="21"/>
          <w:szCs w:val="21"/>
        </w:rPr>
        <w:t xml:space="preserve">Gamification as reward, not noise — XP, streaks, and tiers appear at the periphery, surfacing fully only on the profile page.</w:t>
      </w:r>
    </w:p>
    <w:p>
      <w:pPr>
        <w:pStyle w:val="ListParagraph"/>
        <w:numPr>
          <w:ilvl w:val="0"/>
          <w:numId w:val="2"/>
        </w:numPr>
        <w:spacing w:before="40" w:after="60"/>
      </w:pPr>
      <w:r>
        <w:rPr>
          <w:rFonts w:ascii="Noto Sans" w:cs="Noto Sans" w:eastAsia="Noto Sans" w:hAnsi="Noto Sans"/>
          <w:color w:val="212121"/>
          <w:sz w:val="21"/>
          <w:szCs w:val="21"/>
        </w:rPr>
        <w:t xml:space="preserve">Context-sensitive chrome — no persistent top AppBar; navigation lives in the NavRail (desktop) or BottomNav (mobile).</w:t>
      </w:r>
    </w:p>
    <w:p>
      <w:pPr>
        <w:pStyle w:val="ListParagraph"/>
        <w:numPr>
          <w:ilvl w:val="0"/>
          <w:numId w:val="2"/>
        </w:numPr>
        <w:spacing w:before="40" w:after="60"/>
      </w:pPr>
      <w:r>
        <w:rPr>
          <w:rFonts w:ascii="Noto Sans" w:cs="Noto Sans" w:eastAsia="Noto Sans" w:hAnsi="Noto Sans"/>
          <w:color w:val="212121"/>
          <w:sz w:val="21"/>
          <w:szCs w:val="21"/>
        </w:rPr>
        <w:t xml:space="preserve">LTR/RTL modularity — all layout components accept a direction prop via RTLWrapper context. Greek/French = LTR, Arabic = RTL.</w:t>
      </w:r>
    </w:p>
    <w:p>
      <w:pPr>
        <w:pStyle w:val="ListParagraph"/>
        <w:numPr>
          <w:ilvl w:val="0"/>
          <w:numId w:val="2"/>
        </w:numPr>
        <w:spacing w:before="40" w:after="60"/>
      </w:pPr>
      <w:r>
        <w:rPr>
          <w:rFonts w:ascii="Noto Sans" w:cs="Noto Sans" w:eastAsia="Noto Sans" w:hAnsi="Noto Sans"/>
          <w:color w:val="212121"/>
          <w:sz w:val="21"/>
          <w:szCs w:val="21"/>
        </w:rPr>
        <w:t xml:space="preserve">Accessibility — WCAG 2.1 AA minimum. Focus rings, aria-labels, sufficient contrast on all semantic color pairs.</w:t>
      </w:r>
    </w:p>
    <w:p>
      <w:pPr>
        <w:pBdr>
          <w:bottom w:val="single" w:color="E0E0E0" w:sz="4"/>
        </w:pBdr>
        <w:spacing w:before="200" w:after="200"/>
      </w:pPr>
      <w:r>
        <w:t xml:space="preserve"/>
      </w:r>
    </w:p>
    <w:p>
      <w:pPr>
        <w:pStyle w:val="Heading1"/>
        <w:spacing w:before="480" w:after="200"/>
      </w:pPr>
      <w:r>
        <w:rPr>
          <w:rFonts w:ascii="Noto Sans" w:cs="Noto Sans" w:eastAsia="Noto Sans" w:hAnsi="Noto Sans"/>
          <w:b/>
          <w:bCs/>
          <w:color w:val="4A2C17"/>
          <w:sz w:val="40"/>
          <w:szCs w:val="40"/>
        </w:rPr>
        <w:t xml:space="preserve">Design Tokens</w:t>
      </w:r>
    </w:p>
    <w:p>
      <w:pPr>
        <w:pStyle w:val="Heading2"/>
        <w:spacing w:before="360" w:after="160"/>
      </w:pPr>
      <w:r>
        <w:rPr>
          <w:rFonts w:ascii="Noto Sans" w:cs="Noto Sans" w:eastAsia="Noto Sans" w:hAnsi="Noto Sans"/>
          <w:b/>
          <w:bCs/>
          <w:color w:val="6B4226"/>
          <w:sz w:val="28"/>
          <w:szCs w:val="28"/>
        </w:rPr>
        <w:t xml:space="preserve">Color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200"/>
      </w:tblGrid>
      <w:tr>
        <w:trPr>
          <w:tblHeader/>
        </w:trPr>
        <w:tc>
          <w:tcPr>
            <w:tcW w:type="dxa" w:w="2600"/>
            <w:tcBorders>
              <w:top w:val="single" w:color="E0E0E0" w:sz="1"/>
              <w:left w:val="single" w:color="E0E0E0" w:sz="1"/>
              <w:bottom w:val="single" w:color="E0E0E0" w:sz="1"/>
              <w:right w:val="single" w:color="E0E0E0"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Token</w:t>
            </w:r>
          </w:p>
        </w:tc>
        <w:tc>
          <w:tcPr>
            <w:tcW w:type="dxa" w:w="1400"/>
            <w:tcBorders>
              <w:top w:val="single" w:color="E0E0E0" w:sz="1"/>
              <w:left w:val="single" w:color="E0E0E0" w:sz="1"/>
              <w:bottom w:val="single" w:color="E0E0E0" w:sz="1"/>
              <w:right w:val="single" w:color="E0E0E0"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Hex</w:t>
            </w:r>
          </w:p>
        </w:tc>
        <w:tc>
          <w:tcPr>
            <w:tcW w:type="dxa" w:w="5200"/>
            <w:tcBorders>
              <w:top w:val="single" w:color="E0E0E0" w:sz="1"/>
              <w:left w:val="single" w:color="E0E0E0" w:sz="1"/>
              <w:bottom w:val="single" w:color="E0E0E0" w:sz="1"/>
              <w:right w:val="single" w:color="E0E0E0"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Usage</w:t>
            </w:r>
          </w:p>
        </w:tc>
      </w:tr>
      <w:tr>
        <w:trPr>
          <w:tblHeader w:val="false"/>
        </w:trP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color.primary.main</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#6B4226</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Buttons, active nav, accents, links</w:t>
            </w:r>
          </w:p>
        </w:tc>
      </w:tr>
      <w:tr>
        <w:trPr>
          <w:tblHeader w:val="false"/>
        </w:trP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color.primary.light</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#FBF3EE</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Hover states, chips, tinted bg</w:t>
            </w:r>
          </w:p>
        </w:tc>
      </w:tr>
      <w:tr>
        <w:trPr>
          <w:tblHeader w:val="false"/>
        </w:trP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color.primary.dark</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#4A2C17</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Pressed states, heading color</w:t>
            </w:r>
          </w:p>
        </w:tc>
      </w:tr>
      <w:tr>
        <w:trPr>
          <w:tblHeader w:val="false"/>
        </w:trP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color.bg.default</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#FFFFFF</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Page background</w:t>
            </w:r>
          </w:p>
        </w:tc>
      </w:tr>
      <w:tr>
        <w:trPr>
          <w:tblHeader w:val="false"/>
        </w:trP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color.bg.surface</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#FAFAFA</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NavRail, sidebar, cards</w:t>
            </w:r>
          </w:p>
        </w:tc>
      </w:tr>
      <w:tr>
        <w:trPr>
          <w:tblHeader w:val="false"/>
        </w:trP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color.bg.surfaceAlt</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#F5F5F5</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Alt table rows, input backgrounds</w:t>
            </w:r>
          </w:p>
        </w:tc>
      </w:tr>
      <w:tr>
        <w:trPr>
          <w:tblHeader w:val="false"/>
        </w:trP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color.border.default</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#E0E0E0</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Dividers, card borders</w:t>
            </w:r>
          </w:p>
        </w:tc>
      </w:tr>
      <w:tr>
        <w:trPr>
          <w:tblHeader w:val="false"/>
        </w:trP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color.text.primary</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#212121</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Body text, headings</w:t>
            </w:r>
          </w:p>
        </w:tc>
      </w:tr>
      <w:tr>
        <w:trPr>
          <w:tblHeader w:val="false"/>
        </w:trP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color.text.secondary</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#616161</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Labels, captions</w:t>
            </w:r>
          </w:p>
        </w:tc>
      </w:tr>
      <w:tr>
        <w:trPr>
          <w:tblHeader w:val="false"/>
        </w:trP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color.text.muted</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#9E9E9E</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Placeholder, disabled, copyright</w:t>
            </w:r>
          </w:p>
        </w:tc>
      </w:tr>
      <w:tr>
        <w:trPr>
          <w:tblHeader w:val="false"/>
        </w:trP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color.srs.new</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#1565C0</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New word underline + chip</w:t>
            </w:r>
          </w:p>
        </w:tc>
      </w:tr>
      <w:tr>
        <w:trPr>
          <w:tblHeader w:val="false"/>
        </w:trP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color.srs.again</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#C62828</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Again button + due underline</w:t>
            </w:r>
          </w:p>
        </w:tc>
      </w:tr>
      <w:tr>
        <w:trPr>
          <w:tblHeader w:val="false"/>
        </w:trP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color.srs.hard</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#E65100</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Hard button</w:t>
            </w:r>
          </w:p>
        </w:tc>
      </w:tr>
      <w:tr>
        <w:trPr>
          <w:tblHeader w:val="false"/>
        </w:trP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color.srs.good</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#2E7D32</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Good button</w:t>
            </w:r>
          </w:p>
        </w:tc>
      </w:tr>
      <w:tr>
        <w:trPr>
          <w:tblHeader w:val="false"/>
        </w:trP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color.srs.easy</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#00695C</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Easy button + mastered underline</w:t>
            </w:r>
          </w:p>
        </w:tc>
      </w:tr>
      <w:tr>
        <w:trPr>
          <w:tblHeader w:val="false"/>
        </w:trP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color.xp.gold</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#C9A84C</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XP ring, streak icon, tier Master</w:t>
            </w:r>
          </w:p>
        </w:tc>
      </w:tr>
      <w:tr>
        <w:trPr>
          <w:tblHeader w:val="false"/>
        </w:trP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color.tier.novice</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#78909C</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Tier badge — Novice</w:t>
            </w:r>
          </w:p>
        </w:tc>
      </w:tr>
      <w:tr>
        <w:trPr>
          <w:tblHeader w:val="false"/>
        </w:trP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color.tier.apprentice</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#1976D2</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Tier badge — Apprentice</w:t>
            </w:r>
          </w:p>
        </w:tc>
      </w:tr>
      <w:tr>
        <w:trPr>
          <w:tblHeader w:val="false"/>
        </w:trP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color.tier.scholar</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#6A1B9A</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Tier badge — Scholar</w:t>
            </w:r>
          </w:p>
        </w:tc>
      </w:tr>
      <w:tr>
        <w:trPr>
          <w:tblHeader w:val="false"/>
        </w:trP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color.tier.master</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#C9A84C</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Tier badge — Master</w:t>
            </w:r>
          </w:p>
        </w:tc>
      </w:tr>
    </w:tbl>
    <w:p>
      <w:pPr>
        <w:spacing w:before="160" w:after="0"/>
      </w:pPr>
    </w:p>
    <w:p>
      <w:pPr>
        <w:pStyle w:val="Heading2"/>
        <w:spacing w:before="360" w:after="160"/>
      </w:pPr>
      <w:r>
        <w:rPr>
          <w:rFonts w:ascii="Noto Sans" w:cs="Noto Sans" w:eastAsia="Noto Sans" w:hAnsi="Noto Sans"/>
          <w:b/>
          <w:bCs/>
          <w:color w:val="6B4226"/>
          <w:sz w:val="28"/>
          <w:szCs w:val="28"/>
        </w:rPr>
        <w:t xml:space="preserve">Typography Scale</w:t>
      </w:r>
    </w:p>
    <w:p>
      <w:pPr>
        <w:spacing w:before="60" w:after="100"/>
      </w:pPr>
      <w:r>
        <w:rPr>
          <w:rFonts w:ascii="Noto Sans" w:cs="Noto Sans" w:eastAsia="Noto Sans" w:hAnsi="Noto Sans"/>
          <w:b w:val="false"/>
          <w:bCs w:val="false"/>
          <w:i w:val="false"/>
          <w:iCs w:val="false"/>
          <w:color w:val="212121"/>
          <w:sz w:val="22"/>
          <w:szCs w:val="22"/>
        </w:rPr>
        <w:t xml:space="preserve">Two font families: Noto Sans for all UI chrome. Noto Serif for all language content (Greek text in reader, flashcard fronts/backs, inline definitions).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200"/>
      </w:tblGrid>
      <w:tr>
        <w:trPr>
          <w:tblHeader/>
        </w:trPr>
        <w:tc>
          <w:tcPr>
            <w:tcW w:type="dxa" w:w="2200"/>
            <w:tcBorders>
              <w:top w:val="single" w:color="E0E0E0" w:sz="1"/>
              <w:left w:val="single" w:color="E0E0E0" w:sz="1"/>
              <w:bottom w:val="single" w:color="E0E0E0" w:sz="1"/>
              <w:right w:val="single" w:color="E0E0E0"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Token</w:t>
            </w:r>
          </w:p>
        </w:tc>
        <w:tc>
          <w:tcPr>
            <w:tcW w:type="dxa" w:w="1800"/>
            <w:tcBorders>
              <w:top w:val="single" w:color="E0E0E0" w:sz="1"/>
              <w:left w:val="single" w:color="E0E0E0" w:sz="1"/>
              <w:bottom w:val="single" w:color="E0E0E0" w:sz="1"/>
              <w:right w:val="single" w:color="E0E0E0"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Family</w:t>
            </w:r>
          </w:p>
        </w:tc>
        <w:tc>
          <w:tcPr>
            <w:tcW w:type="dxa" w:w="2000"/>
            <w:tcBorders>
              <w:top w:val="single" w:color="E0E0E0" w:sz="1"/>
              <w:left w:val="single" w:color="E0E0E0" w:sz="1"/>
              <w:bottom w:val="single" w:color="E0E0E0" w:sz="1"/>
              <w:right w:val="single" w:color="E0E0E0"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Size</w:t>
            </w:r>
          </w:p>
        </w:tc>
        <w:tc>
          <w:tcPr>
            <w:tcW w:type="dxa" w:w="3200"/>
            <w:tcBorders>
              <w:top w:val="single" w:color="E0E0E0" w:sz="1"/>
              <w:left w:val="single" w:color="E0E0E0" w:sz="1"/>
              <w:bottom w:val="single" w:color="E0E0E0" w:sz="1"/>
              <w:right w:val="single" w:color="E0E0E0"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Usage</w:t>
            </w:r>
          </w:p>
        </w:tc>
      </w:tr>
      <w:tr>
        <w:trPr>
          <w:tblHeader w:val="false"/>
        </w:trP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type.h1</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Noto Sans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1.75rem / 700</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Page titles</w:t>
            </w:r>
          </w:p>
        </w:tc>
      </w:tr>
      <w:tr>
        <w:trPr>
          <w:tblHeader w:val="false"/>
        </w:trP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type.h2</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Noto Sans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1.375rem / 600</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Section headings, card titles</w:t>
            </w:r>
          </w:p>
        </w:tc>
      </w:tr>
      <w:tr>
        <w:trPr>
          <w:tblHeader w:val="false"/>
        </w:trP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type.h3</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Noto Sans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1.125rem / 600</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Panel headings</w:t>
            </w:r>
          </w:p>
        </w:tc>
      </w:tr>
      <w:tr>
        <w:trPr>
          <w:tblHeader w:val="false"/>
        </w:trP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type.body1</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Noto Sans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0.9375rem / 400</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Body text, descriptions</w:t>
            </w:r>
          </w:p>
        </w:tc>
      </w:tr>
      <w:tr>
        <w:trPr>
          <w:tblHeader w:val="false"/>
        </w:trP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type.body2</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Noto Sans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0.8125rem / 400</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Secondary info, captions</w:t>
            </w:r>
          </w:p>
        </w:tc>
      </w:tr>
      <w:tr>
        <w:trPr>
          <w:tblHeader w:val="false"/>
        </w:trP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type.label</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Noto Sans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0.6875rem / 600</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Nav labels, ALL CAPS</w:t>
            </w:r>
          </w:p>
        </w:tc>
      </w:tr>
      <w:tr>
        <w:trPr>
          <w:tblHeader w:val="false"/>
        </w:trP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type.greek.display</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Noto Serif</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1.75rem / 400</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Reader body text, verses (lineHeight 2.1)</w:t>
            </w:r>
          </w:p>
        </w:tc>
      </w:tr>
      <w:tr>
        <w:trPr>
          <w:tblHeader w:val="false"/>
        </w:trP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type.greek.card</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Noto Serif</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2.25rem / 400</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Flashcard front word</w:t>
            </w:r>
          </w:p>
        </w:tc>
      </w:tr>
      <w:tr>
        <w:trPr>
          <w:tblHeader w:val="false"/>
        </w:trP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type.greek.inline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Noto Serif</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1.125rem / 400</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Noto Sans" w:cs="Noto Sans" w:eastAsia="Noto Sans" w:hAnsi="Noto Sans"/>
                <w:b w:val="false"/>
                <w:bCs w:val="false"/>
                <w:color w:val="212121"/>
                <w:sz w:val="18"/>
                <w:szCs w:val="18"/>
              </w:rPr>
              <w:t xml:space="preserve">Inline Greek in parsing panel</w:t>
            </w:r>
          </w:p>
        </w:tc>
      </w:tr>
    </w:tbl>
    <w:p>
      <w:pPr>
        <w:spacing w:before="160" w:after="0"/>
      </w:pPr>
    </w:p>
    <w:p>
      <w:pPr>
        <w:pStyle w:val="Heading2"/>
        <w:spacing w:before="360" w:after="160"/>
      </w:pPr>
      <w:r>
        <w:rPr>
          <w:rFonts w:ascii="Noto Sans" w:cs="Noto Sans" w:eastAsia="Noto Sans" w:hAnsi="Noto Sans"/>
          <w:b/>
          <w:bCs/>
          <w:color w:val="6B4226"/>
          <w:sz w:val="28"/>
          <w:szCs w:val="28"/>
        </w:rPr>
        <w:t xml:space="preserve">Spacing, Shape &amp; Motion</w:t>
      </w:r>
    </w:p>
    <w:p>
      <w:pPr>
        <w:spacing w:before="60" w:after="100"/>
      </w:pPr>
      <w:r>
        <w:rPr>
          <w:rFonts w:ascii="Noto Sans" w:cs="Noto Sans" w:eastAsia="Noto Sans" w:hAnsi="Noto Sans"/>
          <w:b w:val="false"/>
          <w:bCs w:val="false"/>
          <w:i w:val="false"/>
          <w:iCs w:val="false"/>
          <w:color w:val="212121"/>
          <w:sz w:val="22"/>
          <w:szCs w:val="22"/>
        </w:rPr>
        <w:t xml:space="preserve">Spacing: 4px base unit. shape.radius.xs=4px, sm=6px, md=8px, lg=12px, xl=16px, full=9999px.</w:t>
      </w:r>
    </w:p>
    <w:p>
      <w:pPr>
        <w:spacing w:before="60" w:after="100"/>
      </w:pPr>
      <w:r>
        <w:rPr>
          <w:rFonts w:ascii="Noto Sans" w:cs="Noto Sans" w:eastAsia="Noto Sans" w:hAnsi="Noto Sans"/>
          <w:b w:val="false"/>
          <w:bCs w:val="false"/>
          <w:i w:val="false"/>
          <w:iCs w:val="false"/>
          <w:color w:val="212121"/>
          <w:sz w:val="22"/>
          <w:szCs w:val="22"/>
        </w:rPr>
        <w:t xml:space="preserve">Motion: fast=150ms, normal=250ms, slow=400ms. Easing: ease=cubic-bezier(0.4,0,0.2,1), decel=cubic-bezier(0,0,0.2,1).</w:t>
      </w:r>
    </w:p>
    <w:p>
      <w:pPr>
        <w:pBdr>
          <w:bottom w:val="single" w:color="E0E0E0" w:sz="4"/>
        </w:pBdr>
        <w:spacing w:before="200" w:after="200"/>
      </w:pPr>
      <w:r>
        <w:t xml:space="preserve"/>
      </w:r>
    </w:p>
    <w:p>
      <w:pPr>
        <w:pStyle w:val="Heading1"/>
        <w:spacing w:before="480" w:after="200"/>
      </w:pPr>
      <w:r>
        <w:rPr>
          <w:rFonts w:ascii="Noto Sans" w:cs="Noto Sans" w:eastAsia="Noto Sans" w:hAnsi="Noto Sans"/>
          <w:b/>
          <w:bCs/>
          <w:color w:val="4A2C17"/>
          <w:sz w:val="40"/>
          <w:szCs w:val="40"/>
        </w:rPr>
        <w:t xml:space="preserve">Generated Component Files</w:t>
      </w:r>
    </w:p>
    <w:p>
      <w:pPr>
        <w:spacing w:before="60" w:after="100"/>
      </w:pPr>
      <w:r>
        <w:rPr>
          <w:rFonts w:ascii="Noto Sans" w:cs="Noto Sans" w:eastAsia="Noto Sans" w:hAnsi="Noto Sans"/>
          <w:b w:val="false"/>
          <w:bCs w:val="false"/>
          <w:i w:val="false"/>
          <w:iCs w:val="false"/>
          <w:color w:val="212121"/>
          <w:sz w:val="22"/>
          <w:szCs w:val="22"/>
        </w:rPr>
        <w:t xml:space="preserve">49 TypeScript source files. All apply the MUI v7 patterns above.</w:t>
      </w:r>
    </w:p>
    <w:p>
      <w:pPr>
        <w:spacing w:before="120" w:after="0"/>
      </w:pPr>
    </w:p>
    <w:p>
      <w:pPr>
        <w:shd w:fill="4A2C17" w:val="clear"/>
        <w:spacing w:before="400" w:after="120"/>
      </w:pPr>
      <w:r>
        <w:rPr>
          <w:rFonts w:ascii="Noto Sans" w:cs="Noto Sans" w:eastAsia="Noto Sans" w:hAnsi="Noto Sans"/>
          <w:b/>
          <w:bCs/>
          <w:color w:val="FFFFFF"/>
          <w:sz w:val="20"/>
          <w:szCs w:val="20"/>
        </w:rPr>
        <w:t xml:space="preserve">  THEME  </w:t>
      </w:r>
    </w:p>
    <w:p>
      <w:pPr>
        <w:pStyle w:val="ListParagraph"/>
        <w:numPr>
          <w:ilvl w:val="0"/>
          <w:numId w:val="2"/>
        </w:numPr>
        <w:spacing w:before="40" w:after="60"/>
      </w:pPr>
      <w:r>
        <w:rPr>
          <w:rFonts w:ascii="Noto Sans" w:cs="Noto Sans" w:eastAsia="Noto Sans" w:hAnsi="Noto Sans"/>
          <w:color w:val="212121"/>
          <w:sz w:val="21"/>
          <w:szCs w:val="21"/>
        </w:rPr>
        <w:t xml:space="preserve">src/theme/theme.ts — createTheme with cssVariables:true, all color/typography/shape tokens, component overrides</w:t>
      </w:r>
    </w:p>
    <w:p>
      <w:pPr>
        <w:pStyle w:val="ListParagraph"/>
        <w:numPr>
          <w:ilvl w:val="0"/>
          <w:numId w:val="2"/>
        </w:numPr>
        <w:spacing w:before="40" w:after="60"/>
      </w:pPr>
      <w:r>
        <w:rPr>
          <w:rFonts w:ascii="Noto Sans" w:cs="Noto Sans" w:eastAsia="Noto Sans" w:hAnsi="Noto Sans"/>
          <w:color w:val="212121"/>
          <w:sz w:val="21"/>
          <w:szCs w:val="21"/>
        </w:rPr>
        <w:t xml:space="preserve">src/theme/ThemeProvider.tsx — AppRouterCacheProvider (enableCssLayer) + MuiThemeProvider + CssBaseline</w:t>
      </w:r>
    </w:p>
    <w:p>
      <w:pPr>
        <w:pStyle w:val="ListParagraph"/>
        <w:numPr>
          <w:ilvl w:val="0"/>
          <w:numId w:val="2"/>
        </w:numPr>
        <w:spacing w:before="40" w:after="60"/>
      </w:pPr>
      <w:r>
        <w:rPr>
          <w:rFonts w:ascii="Noto Sans" w:cs="Noto Sans" w:eastAsia="Noto Sans" w:hAnsi="Noto Sans"/>
          <w:color w:val="212121"/>
          <w:sz w:val="21"/>
          <w:szCs w:val="21"/>
        </w:rPr>
        <w:t xml:space="preserve">src/theme/mui.d.ts — Module augmentation: TypographyVariantsOptions / TypographyVariants (v7 names)</w:t>
      </w:r>
    </w:p>
    <w:p>
      <w:pPr>
        <w:shd w:fill="4A2C17" w:val="clear"/>
        <w:spacing w:before="400" w:after="120"/>
      </w:pPr>
      <w:r>
        <w:rPr>
          <w:rFonts w:ascii="Noto Sans" w:cs="Noto Sans" w:eastAsia="Noto Sans" w:hAnsi="Noto Sans"/>
          <w:b/>
          <w:bCs/>
          <w:color w:val="FFFFFF"/>
          <w:sz w:val="20"/>
          <w:szCs w:val="20"/>
        </w:rPr>
        <w:t xml:space="preserve">  NAVIGATION  </w:t>
      </w:r>
    </w:p>
    <w:p>
      <w:pPr>
        <w:pStyle w:val="ListParagraph"/>
        <w:numPr>
          <w:ilvl w:val="0"/>
          <w:numId w:val="2"/>
        </w:numPr>
        <w:spacing w:before="40" w:after="60"/>
      </w:pPr>
      <w:r>
        <w:rPr>
          <w:rFonts w:ascii="Noto Sans" w:cs="Noto Sans" w:eastAsia="Noto Sans" w:hAnsi="Noto Sans"/>
          <w:color w:val="212121"/>
          <w:sz w:val="21"/>
          <w:szCs w:val="21"/>
        </w:rPr>
        <w:t xml:space="preserve">components/nav/UserAvatarBadge.tsx — 2-initial avatar + SVG XP progress ring + tier badge overlay</w:t>
      </w:r>
    </w:p>
    <w:p>
      <w:pPr>
        <w:pStyle w:val="ListParagraph"/>
        <w:numPr>
          <w:ilvl w:val="0"/>
          <w:numId w:val="2"/>
        </w:numPr>
        <w:spacing w:before="40" w:after="60"/>
      </w:pPr>
      <w:r>
        <w:rPr>
          <w:rFonts w:ascii="Noto Sans" w:cs="Noto Sans" w:eastAsia="Noto Sans" w:hAnsi="Noto Sans"/>
          <w:color w:val="212121"/>
          <w:sz w:val="21"/>
          <w:szCs w:val="21"/>
        </w:rPr>
        <w:t xml:space="preserve">components/nav/NavRail.tsx — 72px fixed desktop rail, RTL-aware (rail side flips), icon-only + tooltip</w:t>
      </w:r>
    </w:p>
    <w:p>
      <w:pPr>
        <w:pStyle w:val="ListParagraph"/>
        <w:numPr>
          <w:ilvl w:val="0"/>
          <w:numId w:val="2"/>
        </w:numPr>
        <w:spacing w:before="40" w:after="60"/>
      </w:pPr>
      <w:r>
        <w:rPr>
          <w:rFonts w:ascii="Noto Sans" w:cs="Noto Sans" w:eastAsia="Noto Sans" w:hAnsi="Noto Sans"/>
          <w:color w:val="212121"/>
          <w:sz w:val="21"/>
          <w:szCs w:val="21"/>
        </w:rPr>
        <w:t xml:space="preserve">components/nav/BottomNav.tsx — 56px MUI BottomNavigation, icon-only, iOS safe-area inset</w:t>
      </w:r>
    </w:p>
    <w:p>
      <w:pPr>
        <w:shd w:fill="4A2C17" w:val="clear"/>
        <w:spacing w:before="400" w:after="120"/>
      </w:pPr>
      <w:r>
        <w:rPr>
          <w:rFonts w:ascii="Noto Sans" w:cs="Noto Sans" w:eastAsia="Noto Sans" w:hAnsi="Noto Sans"/>
          <w:b/>
          <w:bCs/>
          <w:color w:val="FFFFFF"/>
          <w:sz w:val="20"/>
          <w:szCs w:val="20"/>
        </w:rPr>
        <w:t xml:space="preserve">  LAYOUTS  </w:t>
      </w:r>
    </w:p>
    <w:p>
      <w:pPr>
        <w:pStyle w:val="ListParagraph"/>
        <w:numPr>
          <w:ilvl w:val="0"/>
          <w:numId w:val="2"/>
        </w:numPr>
        <w:spacing w:before="40" w:after="60"/>
      </w:pPr>
      <w:r>
        <w:rPr>
          <w:rFonts w:ascii="Noto Sans" w:cs="Noto Sans" w:eastAsia="Noto Sans" w:hAnsi="Noto Sans"/>
          <w:color w:val="212121"/>
          <w:sz w:val="21"/>
          <w:szCs w:val="21"/>
        </w:rPr>
        <w:t xml:space="preserve">components/layouts/AppShell.tsx — NavRail+content+sidebar (desktop); content+BottomNav (mobile). No Hidden — sx breakpoints only.</w:t>
      </w:r>
    </w:p>
    <w:p>
      <w:pPr>
        <w:pStyle w:val="ListParagraph"/>
        <w:numPr>
          <w:ilvl w:val="0"/>
          <w:numId w:val="2"/>
        </w:numPr>
        <w:spacing w:before="40" w:after="60"/>
      </w:pPr>
      <w:r>
        <w:rPr>
          <w:rFonts w:ascii="Noto Sans" w:cs="Noto Sans" w:eastAsia="Noto Sans" w:hAnsi="Noto Sans"/>
          <w:color w:val="212121"/>
          <w:sz w:val="21"/>
          <w:szCs w:val="21"/>
        </w:rPr>
        <w:t xml:space="preserve">components/layouts/AuthShell.tsx — Centered 420px card, dot-grid background, logo wordmark above card</w:t>
      </w:r>
    </w:p>
    <w:p>
      <w:pPr>
        <w:pStyle w:val="ListParagraph"/>
        <w:numPr>
          <w:ilvl w:val="0"/>
          <w:numId w:val="2"/>
        </w:numPr>
        <w:spacing w:before="40" w:after="60"/>
      </w:pPr>
      <w:r>
        <w:rPr>
          <w:rFonts w:ascii="Noto Sans" w:cs="Noto Sans" w:eastAsia="Noto Sans" w:hAnsi="Noto Sans"/>
          <w:color w:val="212121"/>
          <w:sz w:val="21"/>
          <w:szCs w:val="21"/>
        </w:rPr>
        <w:t xml:space="preserve">components/layouts/RTLWrapper.tsx — Direction context provider, Emotion cache with stylis-plugin-rtl, MUI theme re-instantiation</w:t>
      </w:r>
    </w:p>
    <w:p>
      <w:pPr>
        <w:shd w:fill="4A2C17" w:val="clear"/>
        <w:spacing w:before="400" w:after="120"/>
      </w:pPr>
      <w:r>
        <w:rPr>
          <w:rFonts w:ascii="Noto Sans" w:cs="Noto Sans" w:eastAsia="Noto Sans" w:hAnsi="Noto Sans"/>
          <w:b/>
          <w:bCs/>
          <w:color w:val="FFFFFF"/>
          <w:sz w:val="20"/>
          <w:szCs w:val="20"/>
        </w:rPr>
        <w:t xml:space="preserve">  READER  </w:t>
      </w:r>
    </w:p>
    <w:p>
      <w:pPr>
        <w:pStyle w:val="ListParagraph"/>
        <w:numPr>
          <w:ilvl w:val="0"/>
          <w:numId w:val="2"/>
        </w:numPr>
        <w:spacing w:before="40" w:after="60"/>
      </w:pPr>
      <w:r>
        <w:rPr>
          <w:rFonts w:ascii="Noto Sans" w:cs="Noto Sans" w:eastAsia="Noto Sans" w:hAnsi="Noto Sans"/>
          <w:color w:val="212121"/>
          <w:sz w:val="21"/>
          <w:szCs w:val="21"/>
        </w:rPr>
        <w:t xml:space="preserve">components/reader/GreekWord.tsx — Inline span, 4 states: default/new/due/mastered (colored underlines), selected bg tint</w:t>
      </w:r>
    </w:p>
    <w:p>
      <w:pPr>
        <w:pStyle w:val="ListParagraph"/>
        <w:numPr>
          <w:ilvl w:val="0"/>
          <w:numId w:val="2"/>
        </w:numPr>
        <w:spacing w:before="40" w:after="60"/>
      </w:pPr>
      <w:r>
        <w:rPr>
          <w:rFonts w:ascii="Noto Sans" w:cs="Noto Sans" w:eastAsia="Noto Sans" w:hAnsi="Noto Sans"/>
          <w:color w:val="212121"/>
          <w:sz w:val="21"/>
          <w:szCs w:val="21"/>
        </w:rPr>
        <w:t xml:space="preserve">components/reader/VerseDisplay.tsx — Chapter renderer, verse number superscript, overflow:visible for diacritics</w:t>
      </w:r>
    </w:p>
    <w:p>
      <w:pPr>
        <w:pStyle w:val="ListParagraph"/>
        <w:numPr>
          <w:ilvl w:val="0"/>
          <w:numId w:val="2"/>
        </w:numPr>
        <w:spacing w:before="40" w:after="60"/>
      </w:pPr>
      <w:r>
        <w:rPr>
          <w:rFonts w:ascii="Noto Sans" w:cs="Noto Sans" w:eastAsia="Noto Sans" w:hAnsi="Noto Sans"/>
          <w:color w:val="212121"/>
          <w:sz w:val="21"/>
          <w:szCs w:val="21"/>
        </w:rPr>
        <w:t xml:space="preserve">components/reader/ChapterSelector.tsx — Ghost-style Select pairs, borderless, hover tint to primary</w:t>
      </w:r>
    </w:p>
    <w:p>
      <w:pPr>
        <w:pStyle w:val="ListParagraph"/>
        <w:numPr>
          <w:ilvl w:val="0"/>
          <w:numId w:val="2"/>
        </w:numPr>
        <w:spacing w:before="40" w:after="60"/>
      </w:pPr>
      <w:r>
        <w:rPr>
          <w:rFonts w:ascii="Noto Sans" w:cs="Noto Sans" w:eastAsia="Noto Sans" w:hAnsi="Noto Sans"/>
          <w:color w:val="212121"/>
          <w:sz w:val="21"/>
          <w:szCs w:val="21"/>
        </w:rPr>
        <w:t xml:space="preserve">components/reader/ChapterNavigator.tsx — Full-height margin arrows, opacity 0→1 on parent hover, hidden on mobile</w:t>
      </w:r>
    </w:p>
    <w:p>
      <w:pPr>
        <w:shd w:fill="4A2C17" w:val="clear"/>
        <w:spacing w:before="400" w:after="120"/>
      </w:pPr>
      <w:r>
        <w:rPr>
          <w:rFonts w:ascii="Noto Sans" w:cs="Noto Sans" w:eastAsia="Noto Sans" w:hAnsi="Noto Sans"/>
          <w:b/>
          <w:bCs/>
          <w:color w:val="FFFFFF"/>
          <w:sz w:val="20"/>
          <w:szCs w:val="20"/>
        </w:rPr>
        <w:t xml:space="preserve">  SIDEBAR &amp; BOTTOM SHEET  </w:t>
      </w:r>
    </w:p>
    <w:p>
      <w:pPr>
        <w:pStyle w:val="ListParagraph"/>
        <w:numPr>
          <w:ilvl w:val="0"/>
          <w:numId w:val="2"/>
        </w:numPr>
        <w:spacing w:before="40" w:after="60"/>
      </w:pPr>
      <w:r>
        <w:rPr>
          <w:rFonts w:ascii="Noto Sans" w:cs="Noto Sans" w:eastAsia="Noto Sans" w:hAnsi="Noto Sans"/>
          <w:color w:val="212121"/>
          <w:sz w:val="21"/>
          <w:szCs w:val="21"/>
        </w:rPr>
        <w:t xml:space="preserve">components/sidebar/WordDetailPanel.tsx — Lexical form, definition, 2-col parsing grid, SRS chip, frequency, sets</w:t>
      </w:r>
    </w:p>
    <w:p>
      <w:pPr>
        <w:pStyle w:val="ListParagraph"/>
        <w:numPr>
          <w:ilvl w:val="0"/>
          <w:numId w:val="2"/>
        </w:numPr>
        <w:spacing w:before="40" w:after="60"/>
      </w:pPr>
      <w:r>
        <w:rPr>
          <w:rFonts w:ascii="Noto Sans" w:cs="Noto Sans" w:eastAsia="Noto Sans" w:hAnsi="Noto Sans"/>
          <w:color w:val="212121"/>
          <w:sz w:val="21"/>
          <w:szCs w:val="21"/>
        </w:rPr>
        <w:t xml:space="preserve">components/sidebar/StudyLaunchPanel.tsx — Due count, Begin Review button, fallback to all-vocabulary link</w:t>
      </w:r>
    </w:p>
    <w:p>
      <w:pPr>
        <w:pStyle w:val="ListParagraph"/>
        <w:numPr>
          <w:ilvl w:val="0"/>
          <w:numId w:val="2"/>
        </w:numPr>
        <w:spacing w:before="40" w:after="60"/>
      </w:pPr>
      <w:r>
        <w:rPr>
          <w:rFonts w:ascii="Noto Sans" w:cs="Noto Sans" w:eastAsia="Noto Sans" w:hAnsi="Noto Sans"/>
          <w:color w:val="212121"/>
          <w:sz w:val="21"/>
          <w:szCs w:val="21"/>
        </w:rPr>
        <w:t xml:space="preserve">components/sidebar/ReaderSidebar.tsx — Orchestrates detail mode ↔ study mode, hosts XPToast</w:t>
      </w:r>
    </w:p>
    <w:p>
      <w:pPr>
        <w:pStyle w:val="ListParagraph"/>
        <w:numPr>
          <w:ilvl w:val="0"/>
          <w:numId w:val="2"/>
        </w:numPr>
        <w:spacing w:before="40" w:after="60"/>
      </w:pPr>
      <w:r>
        <w:rPr>
          <w:rFonts w:ascii="Noto Sans" w:cs="Noto Sans" w:eastAsia="Noto Sans" w:hAnsi="Noto Sans"/>
          <w:color w:val="212121"/>
          <w:sz w:val="21"/>
          <w:szCs w:val="21"/>
        </w:rPr>
        <w:t xml:space="preserve">components/mobile/BottomSheet.tsx — Custom 3-snap-point drawer (hidden/peek/full), touch drag, iOS safe-area</w:t>
      </w:r>
    </w:p>
    <w:p>
      <w:pPr>
        <w:shd w:fill="4A2C17" w:val="clear"/>
        <w:spacing w:before="400" w:after="120"/>
      </w:pPr>
      <w:r>
        <w:rPr>
          <w:rFonts w:ascii="Noto Sans" w:cs="Noto Sans" w:eastAsia="Noto Sans" w:hAnsi="Noto Sans"/>
          <w:b/>
          <w:bCs/>
          <w:color w:val="FFFFFF"/>
          <w:sz w:val="20"/>
          <w:szCs w:val="20"/>
        </w:rPr>
        <w:t xml:space="preserve">  SRS FLASHCARD SYSTEM  </w:t>
      </w:r>
    </w:p>
    <w:p>
      <w:pPr>
        <w:pStyle w:val="ListParagraph"/>
        <w:numPr>
          <w:ilvl w:val="0"/>
          <w:numId w:val="2"/>
        </w:numPr>
        <w:spacing w:before="40" w:after="60"/>
      </w:pPr>
      <w:r>
        <w:rPr>
          <w:rFonts w:ascii="Noto Sans" w:cs="Noto Sans" w:eastAsia="Noto Sans" w:hAnsi="Noto Sans"/>
          <w:color w:val="212121"/>
          <w:sz w:val="21"/>
          <w:szCs w:val="21"/>
        </w:rPr>
        <w:t xml:space="preserve">components/srs/FlashCard.tsx — CSS perspective+transformStyle+backfaceVisibility 3D flip, compact/full sizes</w:t>
      </w:r>
    </w:p>
    <w:p>
      <w:pPr>
        <w:pStyle w:val="ListParagraph"/>
        <w:numPr>
          <w:ilvl w:val="0"/>
          <w:numId w:val="2"/>
        </w:numPr>
        <w:spacing w:before="40" w:after="60"/>
      </w:pPr>
      <w:r>
        <w:rPr>
          <w:rFonts w:ascii="Noto Sans" w:cs="Noto Sans" w:eastAsia="Noto Sans" w:hAnsi="Noto Sans"/>
          <w:color w:val="212121"/>
          <w:sz w:val="21"/>
          <w:szCs w:val="21"/>
        </w:rPr>
        <w:t xml:space="preserve">components/srs/SRSRatingButtons.tsx — Again/Hard/Good/Easy with semantic colors + interval labels below</w:t>
      </w:r>
    </w:p>
    <w:p>
      <w:pPr>
        <w:pStyle w:val="ListParagraph"/>
        <w:numPr>
          <w:ilvl w:val="0"/>
          <w:numId w:val="2"/>
        </w:numPr>
        <w:spacing w:before="40" w:after="60"/>
      </w:pPr>
      <w:r>
        <w:rPr>
          <w:rFonts w:ascii="Noto Sans" w:cs="Noto Sans" w:eastAsia="Noto Sans" w:hAnsi="Noto Sans"/>
          <w:color w:val="212121"/>
          <w:sz w:val="21"/>
          <w:szCs w:val="21"/>
        </w:rPr>
        <w:t xml:space="preserve">components/srs/SRSSessionProgress.tsx — LinearProgress + X of N counter</w:t>
      </w:r>
    </w:p>
    <w:p>
      <w:pPr>
        <w:pStyle w:val="ListParagraph"/>
        <w:numPr>
          <w:ilvl w:val="0"/>
          <w:numId w:val="2"/>
        </w:numPr>
        <w:spacing w:before="40" w:after="60"/>
      </w:pPr>
      <w:r>
        <w:rPr>
          <w:rFonts w:ascii="Noto Sans" w:cs="Noto Sans" w:eastAsia="Noto Sans" w:hAnsi="Noto Sans"/>
          <w:color w:val="212121"/>
          <w:sz w:val="21"/>
          <w:szCs w:val="21"/>
        </w:rPr>
        <w:t xml:space="preserve">components/srs/SRSStudyPanel.tsx — Full session: progress→card→rating→next, session complete state</w:t>
      </w:r>
    </w:p>
    <w:p>
      <w:pPr>
        <w:shd w:fill="4A2C17" w:val="clear"/>
        <w:spacing w:before="400" w:after="120"/>
      </w:pPr>
      <w:r>
        <w:rPr>
          <w:rFonts w:ascii="Noto Sans" w:cs="Noto Sans" w:eastAsia="Noto Sans" w:hAnsi="Noto Sans"/>
          <w:b/>
          <w:bCs/>
          <w:color w:val="FFFFFF"/>
          <w:sz w:val="20"/>
          <w:szCs w:val="20"/>
        </w:rPr>
        <w:t xml:space="preserve">  VOCABULARY  </w:t>
      </w:r>
    </w:p>
    <w:p>
      <w:pPr>
        <w:pStyle w:val="ListParagraph"/>
        <w:numPr>
          <w:ilvl w:val="0"/>
          <w:numId w:val="2"/>
        </w:numPr>
        <w:spacing w:before="40" w:after="60"/>
      </w:pPr>
      <w:r>
        <w:rPr>
          <w:rFonts w:ascii="Noto Sans" w:cs="Noto Sans" w:eastAsia="Noto Sans" w:hAnsi="Noto Sans"/>
          <w:color w:val="212121"/>
          <w:sz w:val="21"/>
          <w:szCs w:val="21"/>
        </w:rPr>
        <w:t xml:space="preserve">components/vocab/VocabSetCard.tsx — Card with title, 2-line description, progress bar, due badge, study button</w:t>
      </w:r>
    </w:p>
    <w:p>
      <w:pPr>
        <w:pStyle w:val="ListParagraph"/>
        <w:numPr>
          <w:ilvl w:val="0"/>
          <w:numId w:val="2"/>
        </w:numPr>
        <w:spacing w:before="40" w:after="60"/>
      </w:pPr>
      <w:r>
        <w:rPr>
          <w:rFonts w:ascii="Noto Sans" w:cs="Noto Sans" w:eastAsia="Noto Sans" w:hAnsi="Noto Sans"/>
          <w:color w:val="212121"/>
          <w:sz w:val="21"/>
          <w:szCs w:val="21"/>
        </w:rPr>
        <w:t xml:space="preserve">components/vocab/VocabWordRow.tsx — TableRow with Greek (Noto Serif), transliteration, definition, frequency, status chip</w:t>
      </w:r>
    </w:p>
    <w:p>
      <w:pPr>
        <w:pStyle w:val="ListParagraph"/>
        <w:numPr>
          <w:ilvl w:val="0"/>
          <w:numId w:val="2"/>
        </w:numPr>
        <w:spacing w:before="40" w:after="60"/>
      </w:pPr>
      <w:r>
        <w:rPr>
          <w:rFonts w:ascii="Noto Sans" w:cs="Noto Sans" w:eastAsia="Noto Sans" w:hAnsi="Noto Sans"/>
          <w:color w:val="212121"/>
          <w:sz w:val="21"/>
          <w:szCs w:val="21"/>
        </w:rPr>
        <w:t xml:space="preserve">components/vocab/TransliterationSearchInput.tsx — Latin→Greek regex pattern mapper, helper text, slotProps (v7 pattern)</w:t>
      </w:r>
    </w:p>
    <w:p>
      <w:pPr>
        <w:shd w:fill="4A2C17" w:val="clear"/>
        <w:spacing w:before="400" w:after="120"/>
      </w:pPr>
      <w:r>
        <w:rPr>
          <w:rFonts w:ascii="Noto Sans" w:cs="Noto Sans" w:eastAsia="Noto Sans" w:hAnsi="Noto Sans"/>
          <w:b/>
          <w:bCs/>
          <w:color w:val="FFFFFF"/>
          <w:sz w:val="20"/>
          <w:szCs w:val="20"/>
        </w:rPr>
        <w:t xml:space="preserve">  LESSONS  </w:t>
      </w:r>
    </w:p>
    <w:p>
      <w:pPr>
        <w:pStyle w:val="ListParagraph"/>
        <w:numPr>
          <w:ilvl w:val="0"/>
          <w:numId w:val="2"/>
        </w:numPr>
        <w:spacing w:before="40" w:after="60"/>
      </w:pPr>
      <w:r>
        <w:rPr>
          <w:rFonts w:ascii="Noto Sans" w:cs="Noto Sans" w:eastAsia="Noto Sans" w:hAnsi="Noto Sans"/>
          <w:color w:val="212121"/>
          <w:sz w:val="21"/>
          <w:szCs w:val="21"/>
        </w:rPr>
        <w:t xml:space="preserve">components/lessons/LessonCard.tsx — List item with circular number/checkmark, type chip, read time</w:t>
      </w:r>
    </w:p>
    <w:p>
      <w:pPr>
        <w:pStyle w:val="ListParagraph"/>
        <w:numPr>
          <w:ilvl w:val="0"/>
          <w:numId w:val="2"/>
        </w:numPr>
        <w:spacing w:before="40" w:after="60"/>
      </w:pPr>
      <w:r>
        <w:rPr>
          <w:rFonts w:ascii="Noto Sans" w:cs="Noto Sans" w:eastAsia="Noto Sans" w:hAnsi="Noto Sans"/>
          <w:color w:val="212121"/>
          <w:sz w:val="21"/>
          <w:szCs w:val="21"/>
        </w:rPr>
        <w:t xml:space="preserve">components/lessons/LessonBlocks.tsx — TextBlock, ImageBlock, VideoBlock, ConfirmCheckbox (MVP), MultipleChoice, TextInputQuestion (future)</w:t>
      </w:r>
    </w:p>
    <w:p>
      <w:pPr>
        <w:pStyle w:val="ListParagraph"/>
        <w:numPr>
          <w:ilvl w:val="0"/>
          <w:numId w:val="2"/>
        </w:numPr>
        <w:spacing w:before="40" w:after="60"/>
      </w:pPr>
      <w:r>
        <w:rPr>
          <w:rFonts w:ascii="Noto Sans" w:cs="Noto Sans" w:eastAsia="Noto Sans" w:hAnsi="Noto Sans"/>
          <w:color w:val="212121"/>
          <w:sz w:val="21"/>
          <w:szCs w:val="21"/>
        </w:rPr>
        <w:t xml:space="preserve">components/lessons/LessonCompletionBanner.tsx — XP earned display, Next Lesson button, primary-light background</w:t>
      </w:r>
    </w:p>
    <w:p>
      <w:pPr>
        <w:shd w:fill="4A2C17" w:val="clear"/>
        <w:spacing w:before="400" w:after="120"/>
      </w:pPr>
      <w:r>
        <w:rPr>
          <w:rFonts w:ascii="Noto Sans" w:cs="Noto Sans" w:eastAsia="Noto Sans" w:hAnsi="Noto Sans"/>
          <w:b/>
          <w:bCs/>
          <w:color w:val="FFFFFF"/>
          <w:sz w:val="20"/>
          <w:szCs w:val="20"/>
        </w:rPr>
        <w:t xml:space="preserve">  AUTH  </w:t>
      </w:r>
    </w:p>
    <w:p>
      <w:pPr>
        <w:pStyle w:val="ListParagraph"/>
        <w:numPr>
          <w:ilvl w:val="0"/>
          <w:numId w:val="2"/>
        </w:numPr>
        <w:spacing w:before="40" w:after="60"/>
      </w:pPr>
      <w:r>
        <w:rPr>
          <w:rFonts w:ascii="Noto Sans" w:cs="Noto Sans" w:eastAsia="Noto Sans" w:hAnsi="Noto Sans"/>
          <w:color w:val="212121"/>
          <w:sz w:val="21"/>
          <w:szCs w:val="21"/>
        </w:rPr>
        <w:t xml:space="preserve">components/auth/AuthForms.tsx — LoginForm, SignUpForm, ForgotPasswordForm, GuestCTA (all in one file)</w:t>
      </w:r>
    </w:p>
    <w:p>
      <w:pPr>
        <w:pStyle w:val="ListParagraph"/>
        <w:numPr>
          <w:ilvl w:val="0"/>
          <w:numId w:val="2"/>
        </w:numPr>
        <w:spacing w:before="40" w:after="60"/>
      </w:pPr>
      <w:r>
        <w:rPr>
          <w:rFonts w:ascii="Noto Sans" w:cs="Noto Sans" w:eastAsia="Noto Sans" w:hAnsi="Noto Sans"/>
          <w:color w:val="212121"/>
          <w:sz w:val="21"/>
          <w:szCs w:val="21"/>
        </w:rPr>
        <w:t xml:space="preserve">AuthShell shared layout — logo, centered card, dot-grid background (see layouts section)</w:t>
      </w:r>
    </w:p>
    <w:p>
      <w:pPr>
        <w:shd w:fill="4A2C17" w:val="clear"/>
        <w:spacing w:before="400" w:after="120"/>
      </w:pPr>
      <w:r>
        <w:rPr>
          <w:rFonts w:ascii="Noto Sans" w:cs="Noto Sans" w:eastAsia="Noto Sans" w:hAnsi="Noto Sans"/>
          <w:b/>
          <w:bCs/>
          <w:color w:val="FFFFFF"/>
          <w:sz w:val="20"/>
          <w:szCs w:val="20"/>
        </w:rPr>
        <w:t xml:space="preserve">  PROFILE  </w:t>
      </w:r>
    </w:p>
    <w:p>
      <w:pPr>
        <w:pStyle w:val="ListParagraph"/>
        <w:numPr>
          <w:ilvl w:val="0"/>
          <w:numId w:val="2"/>
        </w:numPr>
        <w:spacing w:before="40" w:after="60"/>
      </w:pPr>
      <w:r>
        <w:rPr>
          <w:rFonts w:ascii="Noto Sans" w:cs="Noto Sans" w:eastAsia="Noto Sans" w:hAnsi="Noto Sans"/>
          <w:color w:val="212121"/>
          <w:sz w:val="21"/>
          <w:szCs w:val="21"/>
        </w:rPr>
        <w:t xml:space="preserve">components/profile/StatCard.tsx — Large value + label + icon, configurable accent color</w:t>
      </w:r>
    </w:p>
    <w:p>
      <w:pPr>
        <w:pStyle w:val="ListParagraph"/>
        <w:numPr>
          <w:ilvl w:val="0"/>
          <w:numId w:val="2"/>
        </w:numPr>
        <w:spacing w:before="40" w:after="60"/>
      </w:pPr>
      <w:r>
        <w:rPr>
          <w:rFonts w:ascii="Noto Sans" w:cs="Noto Sans" w:eastAsia="Noto Sans" w:hAnsi="Noto Sans"/>
          <w:color w:val="212121"/>
          <w:sz w:val="21"/>
          <w:szCs w:val="21"/>
        </w:rPr>
        <w:t xml:space="preserve">components/profile/ActivityHeatmap.tsx — 26-week grid, 5 intensity levels, Tooltip on hover, legend</w:t>
      </w:r>
    </w:p>
    <w:p>
      <w:pPr>
        <w:shd w:fill="4A2C17" w:val="clear"/>
        <w:spacing w:before="400" w:after="120"/>
      </w:pPr>
      <w:r>
        <w:rPr>
          <w:rFonts w:ascii="Noto Sans" w:cs="Noto Sans" w:eastAsia="Noto Sans" w:hAnsi="Noto Sans"/>
          <w:b/>
          <w:bCs/>
          <w:color w:val="FFFFFF"/>
          <w:sz w:val="20"/>
          <w:szCs w:val="20"/>
        </w:rPr>
        <w:t xml:space="preserve">  GAMIFICATION  </w:t>
      </w:r>
    </w:p>
    <w:p>
      <w:pPr>
        <w:pStyle w:val="ListParagraph"/>
        <w:numPr>
          <w:ilvl w:val="0"/>
          <w:numId w:val="2"/>
        </w:numPr>
        <w:spacing w:before="40" w:after="60"/>
      </w:pPr>
      <w:r>
        <w:rPr>
          <w:rFonts w:ascii="Noto Sans" w:cs="Noto Sans" w:eastAsia="Noto Sans" w:hAnsi="Noto Sans"/>
          <w:color w:val="212121"/>
          <w:sz w:val="21"/>
          <w:szCs w:val="21"/>
        </w:rPr>
        <w:t xml:space="preserve">components/gamification/XPToast.tsx — Absolute-positioned pill, fadeIn+slideUp, 2s duration, aria-live</w:t>
      </w:r>
    </w:p>
    <w:p>
      <w:pPr>
        <w:pStyle w:val="ListParagraph"/>
        <w:numPr>
          <w:ilvl w:val="0"/>
          <w:numId w:val="2"/>
        </w:numPr>
        <w:spacing w:before="40" w:after="60"/>
      </w:pPr>
      <w:r>
        <w:rPr>
          <w:rFonts w:ascii="Noto Sans" w:cs="Noto Sans" w:eastAsia="Noto Sans" w:hAnsi="Noto Sans"/>
          <w:color w:val="212121"/>
          <w:sz w:val="21"/>
          <w:szCs w:val="21"/>
        </w:rPr>
        <w:t xml:space="preserve">components/gamification/TierUpModal.tsx — MUI Dialog, pop animation (cubic-bezier spring), auto-close 4.5s, v7 onClose pattern</w:t>
      </w:r>
    </w:p>
    <w:p>
      <w:pPr>
        <w:shd w:fill="4A2C17" w:val="clear"/>
        <w:spacing w:before="400" w:after="120"/>
      </w:pPr>
      <w:r>
        <w:rPr>
          <w:rFonts w:ascii="Noto Sans" w:cs="Noto Sans" w:eastAsia="Noto Sans" w:hAnsi="Noto Sans"/>
          <w:b/>
          <w:bCs/>
          <w:color w:val="FFFFFF"/>
          <w:sz w:val="20"/>
          <w:szCs w:val="20"/>
        </w:rPr>
        <w:t xml:space="preserve">  SHARED  </w:t>
      </w:r>
    </w:p>
    <w:p>
      <w:pPr>
        <w:pStyle w:val="ListParagraph"/>
        <w:numPr>
          <w:ilvl w:val="0"/>
          <w:numId w:val="2"/>
        </w:numPr>
        <w:spacing w:before="40" w:after="60"/>
      </w:pPr>
      <w:r>
        <w:rPr>
          <w:rFonts w:ascii="Noto Sans" w:cs="Noto Sans" w:eastAsia="Noto Sans" w:hAnsi="Noto Sans"/>
          <w:color w:val="212121"/>
          <w:sz w:val="21"/>
          <w:szCs w:val="21"/>
        </w:rPr>
        <w:t xml:space="preserve">components/shared/PageHeader.tsx — Title + subtitle + right-side action slot + Divider</w:t>
      </w:r>
    </w:p>
    <w:p>
      <w:pPr>
        <w:pStyle w:val="ListParagraph"/>
        <w:numPr>
          <w:ilvl w:val="0"/>
          <w:numId w:val="2"/>
        </w:numPr>
        <w:spacing w:before="40" w:after="60"/>
      </w:pPr>
      <w:r>
        <w:rPr>
          <w:rFonts w:ascii="Noto Sans" w:cs="Noto Sans" w:eastAsia="Noto Sans" w:hAnsi="Noto Sans"/>
          <w:color w:val="212121"/>
          <w:sz w:val="21"/>
          <w:szCs w:val="21"/>
        </w:rPr>
        <w:t xml:space="preserve">components/shared/EmptyState.tsx — Centered icon + heading + description + optional CTA</w:t>
      </w:r>
    </w:p>
    <w:p>
      <w:pPr>
        <w:pStyle w:val="ListParagraph"/>
        <w:numPr>
          <w:ilvl w:val="0"/>
          <w:numId w:val="2"/>
        </w:numPr>
        <w:spacing w:before="40" w:after="60"/>
      </w:pPr>
      <w:r>
        <w:rPr>
          <w:rFonts w:ascii="Noto Sans" w:cs="Noto Sans" w:eastAsia="Noto Sans" w:hAnsi="Noto Sans"/>
          <w:color w:val="212121"/>
          <w:sz w:val="21"/>
          <w:szCs w:val="21"/>
        </w:rPr>
        <w:t xml:space="preserve">components/shared/LoadingSkeleton.tsx — ReaderSkeleton, VocabCardSkeleton, LessonCardSkeleton, SidebarSkeleton. Skeleton from @mui/material (v7).</w:t>
      </w:r>
    </w:p>
    <w:p>
      <w:pPr>
        <w:pStyle w:val="ListParagraph"/>
        <w:numPr>
          <w:ilvl w:val="0"/>
          <w:numId w:val="2"/>
        </w:numPr>
        <w:spacing w:before="40" w:after="60"/>
      </w:pPr>
      <w:r>
        <w:rPr>
          <w:rFonts w:ascii="Noto Sans" w:cs="Noto Sans" w:eastAsia="Noto Sans" w:hAnsi="Noto Sans"/>
          <w:color w:val="212121"/>
          <w:sz w:val="21"/>
          <w:szCs w:val="21"/>
        </w:rPr>
        <w:t xml:space="preserve">components/shared/ProgressChip.tsx — Colored dot + label chip, 4 statuses: unseen/new/due/mastered</w:t>
      </w:r>
    </w:p>
    <w:p>
      <w:pPr>
        <w:shd w:fill="4A2C17" w:val="clear"/>
        <w:spacing w:before="400" w:after="120"/>
      </w:pPr>
      <w:r>
        <w:rPr>
          <w:rFonts w:ascii="Noto Sans" w:cs="Noto Sans" w:eastAsia="Noto Sans" w:hAnsi="Noto Sans"/>
          <w:b/>
          <w:bCs/>
          <w:color w:val="FFFFFF"/>
          <w:sz w:val="20"/>
          <w:szCs w:val="20"/>
        </w:rPr>
        <w:t xml:space="preserve">  PAGES (App Router)  </w:t>
      </w:r>
    </w:p>
    <w:p>
      <w:pPr>
        <w:pStyle w:val="ListParagraph"/>
        <w:numPr>
          <w:ilvl w:val="0"/>
          <w:numId w:val="2"/>
        </w:numPr>
        <w:spacing w:before="40" w:after="60"/>
      </w:pPr>
      <w:r>
        <w:rPr>
          <w:rFonts w:ascii="Noto Sans" w:cs="Noto Sans" w:eastAsia="Noto Sans" w:hAnsi="Noto Sans"/>
          <w:color w:val="212121"/>
          <w:sz w:val="21"/>
          <w:szCs w:val="21"/>
        </w:rPr>
        <w:t xml:space="preserve">app/layout.tsx — Root layout with ThemeProvider wrapper</w:t>
      </w:r>
    </w:p>
    <w:p>
      <w:pPr>
        <w:pStyle w:val="ListParagraph"/>
        <w:numPr>
          <w:ilvl w:val="0"/>
          <w:numId w:val="2"/>
        </w:numPr>
        <w:spacing w:before="40" w:after="60"/>
      </w:pPr>
      <w:r>
        <w:rPr>
          <w:rFonts w:ascii="Noto Sans" w:cs="Noto Sans" w:eastAsia="Noto Sans" w:hAnsi="Noto Sans"/>
          <w:color w:val="212121"/>
          <w:sz w:val="21"/>
          <w:szCs w:val="21"/>
        </w:rPr>
        <w:t xml:space="preserve">app/page.tsx — Root route → redirect to /read</w:t>
      </w:r>
    </w:p>
    <w:p>
      <w:pPr>
        <w:pStyle w:val="ListParagraph"/>
        <w:numPr>
          <w:ilvl w:val="0"/>
          <w:numId w:val="2"/>
        </w:numPr>
        <w:spacing w:before="40" w:after="60"/>
      </w:pPr>
      <w:r>
        <w:rPr>
          <w:rFonts w:ascii="Noto Sans" w:cs="Noto Sans" w:eastAsia="Noto Sans" w:hAnsi="Noto Sans"/>
          <w:color w:val="212121"/>
          <w:sz w:val="21"/>
          <w:szCs w:val="21"/>
        </w:rPr>
        <w:t xml:space="preserve">app/read/page.tsx — Reader page: ChapterSelector + VerseDisplay + ReaderSidebar + BottomSheet</w:t>
      </w:r>
    </w:p>
    <w:p>
      <w:pPr>
        <w:pStyle w:val="ListParagraph"/>
        <w:numPr>
          <w:ilvl w:val="0"/>
          <w:numId w:val="2"/>
        </w:numPr>
        <w:spacing w:before="40" w:after="60"/>
      </w:pPr>
      <w:r>
        <w:rPr>
          <w:rFonts w:ascii="Noto Sans" w:cs="Noto Sans" w:eastAsia="Noto Sans" w:hAnsi="Noto Sans"/>
          <w:color w:val="212121"/>
          <w:sz w:val="21"/>
          <w:szCs w:val="21"/>
        </w:rPr>
        <w:t xml:space="preserve">app/study/page.tsx — Standalone SRS session for all due cards</w:t>
      </w:r>
    </w:p>
    <w:p>
      <w:pPr>
        <w:pStyle w:val="ListParagraph"/>
        <w:numPr>
          <w:ilvl w:val="0"/>
          <w:numId w:val="2"/>
        </w:numPr>
        <w:spacing w:before="40" w:after="60"/>
      </w:pPr>
      <w:r>
        <w:rPr>
          <w:rFonts w:ascii="Noto Sans" w:cs="Noto Sans" w:eastAsia="Noto Sans" w:hAnsi="Noto Sans"/>
          <w:color w:val="212121"/>
          <w:sz w:val="21"/>
          <w:szCs w:val="21"/>
        </w:rPr>
        <w:t xml:space="preserve">app/vocabulary/page.tsx — Vocab sets grid with MUI v7 Grid (size prop)</w:t>
      </w:r>
    </w:p>
    <w:p>
      <w:pPr>
        <w:pStyle w:val="ListParagraph"/>
        <w:numPr>
          <w:ilvl w:val="0"/>
          <w:numId w:val="2"/>
        </w:numPr>
        <w:spacing w:before="40" w:after="60"/>
      </w:pPr>
      <w:r>
        <w:rPr>
          <w:rFonts w:ascii="Noto Sans" w:cs="Noto Sans" w:eastAsia="Noto Sans" w:hAnsi="Noto Sans"/>
          <w:color w:val="212121"/>
          <w:sz w:val="21"/>
          <w:szCs w:val="21"/>
        </w:rPr>
        <w:t xml:space="preserve">app/vocabulary/master/page.tsx — Sortable/filterable all-words table with transliteration search</w:t>
      </w:r>
    </w:p>
    <w:p>
      <w:pPr>
        <w:pStyle w:val="ListParagraph"/>
        <w:numPr>
          <w:ilvl w:val="0"/>
          <w:numId w:val="2"/>
        </w:numPr>
        <w:spacing w:before="40" w:after="60"/>
      </w:pPr>
      <w:r>
        <w:rPr>
          <w:rFonts w:ascii="Noto Sans" w:cs="Noto Sans" w:eastAsia="Noto Sans" w:hAnsi="Noto Sans"/>
          <w:color w:val="212121"/>
          <w:sz w:val="21"/>
          <w:szCs w:val="21"/>
        </w:rPr>
        <w:t xml:space="preserve">app/vocabulary/[setId]/page.tsx — Set detail with filtered word list and progress bar</w:t>
      </w:r>
    </w:p>
    <w:p>
      <w:pPr>
        <w:pStyle w:val="ListParagraph"/>
        <w:numPr>
          <w:ilvl w:val="0"/>
          <w:numId w:val="2"/>
        </w:numPr>
        <w:spacing w:before="40" w:after="60"/>
      </w:pPr>
      <w:r>
        <w:rPr>
          <w:rFonts w:ascii="Noto Sans" w:cs="Noto Sans" w:eastAsia="Noto Sans" w:hAnsi="Noto Sans"/>
          <w:color w:val="212121"/>
          <w:sz w:val="21"/>
          <w:szCs w:val="21"/>
        </w:rPr>
        <w:t xml:space="preserve">app/lessons/page.tsx — Ordered lesson list with type grouping</w:t>
      </w:r>
    </w:p>
    <w:p>
      <w:pPr>
        <w:pStyle w:val="ListParagraph"/>
        <w:numPr>
          <w:ilvl w:val="0"/>
          <w:numId w:val="2"/>
        </w:numPr>
        <w:spacing w:before="40" w:after="60"/>
      </w:pPr>
      <w:r>
        <w:rPr>
          <w:rFonts w:ascii="Noto Sans" w:cs="Noto Sans" w:eastAsia="Noto Sans" w:hAnsi="Noto Sans"/>
          <w:color w:val="212121"/>
          <w:sz w:val="21"/>
          <w:szCs w:val="21"/>
        </w:rPr>
        <w:t xml:space="preserve">app/lessons/[lessonId]/page.tsx — Lesson detail with block renderer and completion banner</w:t>
      </w:r>
    </w:p>
    <w:p>
      <w:pPr>
        <w:pStyle w:val="ListParagraph"/>
        <w:numPr>
          <w:ilvl w:val="0"/>
          <w:numId w:val="2"/>
        </w:numPr>
        <w:spacing w:before="40" w:after="60"/>
      </w:pPr>
      <w:r>
        <w:rPr>
          <w:rFonts w:ascii="Noto Sans" w:cs="Noto Sans" w:eastAsia="Noto Sans" w:hAnsi="Noto Sans"/>
          <w:color w:val="212121"/>
          <w:sz w:val="21"/>
          <w:szCs w:val="21"/>
        </w:rPr>
        <w:t xml:space="preserve">app/profile/page.tsx — Dashboard: identity, tier progress, stat grid, heatmap, activity feed</w:t>
      </w:r>
    </w:p>
    <w:p>
      <w:pPr>
        <w:pStyle w:val="ListParagraph"/>
        <w:numPr>
          <w:ilvl w:val="0"/>
          <w:numId w:val="2"/>
        </w:numPr>
        <w:spacing w:before="40" w:after="60"/>
      </w:pPr>
      <w:r>
        <w:rPr>
          <w:rFonts w:ascii="Noto Sans" w:cs="Noto Sans" w:eastAsia="Noto Sans" w:hAnsi="Noto Sans"/>
          <w:color w:val="212121"/>
          <w:sz w:val="21"/>
          <w:szCs w:val="21"/>
        </w:rPr>
        <w:t xml:space="preserve">app/auth/login/page.tsx — AuthShell + LoginForm</w:t>
      </w:r>
    </w:p>
    <w:p>
      <w:pPr>
        <w:pStyle w:val="ListParagraph"/>
        <w:numPr>
          <w:ilvl w:val="0"/>
          <w:numId w:val="2"/>
        </w:numPr>
        <w:spacing w:before="40" w:after="60"/>
      </w:pPr>
      <w:r>
        <w:rPr>
          <w:rFonts w:ascii="Noto Sans" w:cs="Noto Sans" w:eastAsia="Noto Sans" w:hAnsi="Noto Sans"/>
          <w:color w:val="212121"/>
          <w:sz w:val="21"/>
          <w:szCs w:val="21"/>
        </w:rPr>
        <w:t xml:space="preserve">app/auth/signup/page.tsx — AuthShell + SignUpForm</w:t>
      </w:r>
    </w:p>
    <w:p>
      <w:pPr>
        <w:pStyle w:val="ListParagraph"/>
        <w:numPr>
          <w:ilvl w:val="0"/>
          <w:numId w:val="2"/>
        </w:numPr>
        <w:spacing w:before="40" w:after="60"/>
      </w:pPr>
      <w:r>
        <w:rPr>
          <w:rFonts w:ascii="Noto Sans" w:cs="Noto Sans" w:eastAsia="Noto Sans" w:hAnsi="Noto Sans"/>
          <w:color w:val="212121"/>
          <w:sz w:val="21"/>
          <w:szCs w:val="21"/>
        </w:rPr>
        <w:t xml:space="preserve">app/auth/forgot-password/page.tsx — AuthShell + ForgotPasswordForm</w:t>
      </w:r>
    </w:p>
    <w:p>
      <w:pPr>
        <w:pBdr>
          <w:bottom w:val="single" w:color="E0E0E0" w:sz="4"/>
        </w:pBdr>
        <w:spacing w:before="200" w:after="200"/>
      </w:pPr>
      <w:r>
        <w:t xml:space="preserve"/>
      </w:r>
    </w:p>
    <w:p>
      <w:pPr>
        <w:spacing w:before="200" w:after="0"/>
      </w:pPr>
      <w:r>
        <w:rPr>
          <w:rFonts w:ascii="Noto Sans" w:cs="Noto Sans" w:eastAsia="Noto Sans" w:hAnsi="Noto Sans"/>
          <w:i/>
          <w:iCs/>
          <w:color w:val="9E9E9E"/>
          <w:sz w:val="18"/>
          <w:szCs w:val="18"/>
        </w:rPr>
        <w:t xml:space="preserve">Greek NT Reader · Design System v2.0 · MUI v7 Edition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w:cs="Noto Sans" w:eastAsia="Noto Sans" w:hAnsi="Noto Sans"/>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Noto Sans" w:cs="Noto Sans" w:eastAsia="Noto Sans" w:hAnsi="Noto Sans"/>
      <w:b/>
      <w:bCs/>
      <w:color w:val="4A2C17"/>
      <w:sz w:val="40"/>
      <w:szCs w:val="40"/>
    </w:rPr>
  </w:style>
  <w:style w:type="paragraph" w:styleId="Heading2">
    <w:name w:val="Heading 2"/>
    <w:basedOn w:val="Normal"/>
    <w:next w:val="Normal"/>
    <w:qFormat/>
    <w:pPr>
      <w:spacing w:before="360" w:after="160"/>
      <w:outlineLvl w:val="1"/>
    </w:pPr>
    <w:rPr>
      <w:rFonts w:ascii="Noto Sans" w:cs="Noto Sans" w:eastAsia="Noto Sans" w:hAnsi="Noto Sans"/>
      <w:b/>
      <w:bCs/>
      <w:color w:val="6B4226"/>
      <w:sz w:val="28"/>
      <w:szCs w:val="28"/>
    </w:rPr>
  </w:style>
  <w:style w:type="paragraph" w:styleId="Heading3">
    <w:name w:val="Heading 3"/>
    <w:basedOn w:val="Normal"/>
    <w:next w:val="Normal"/>
    <w:qFormat/>
    <w:pPr>
      <w:spacing w:before="280" w:after="120"/>
      <w:outlineLvl w:val="2"/>
    </w:pPr>
    <w:rPr>
      <w:rFonts w:ascii="Noto Sans" w:cs="Noto Sans" w:eastAsia="Noto Sans" w:hAnsi="Noto Sans"/>
      <w:b/>
      <w:bCs/>
      <w:color w:val="2121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2026-03-17T15:17:59.557Z</dcterms:created>
  <dcterms:modified xsi:type="dcterms:W3CDTF">2026-03-17T15:17:59.558Z</dcterms:modified>
</cp:coreProperties>
</file>

<file path=docProps/custom.xml><?xml version="1.0" encoding="utf-8"?>
<Properties xmlns="http://schemas.openxmlformats.org/officeDocument/2006/custom-properties" xmlns:vt="http://schemas.openxmlformats.org/officeDocument/2006/docPropsVTypes"/>
</file>