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48A81"/>
          <w:sz w:val="20"/>
          <w:szCs w:val="20"/>
        </w:rPr>
        <w:t xml:space="preserve">FUNCTION REPORT</w:t>
      </w:r>
    </w:p>
    <w:p>
      <w:pPr>
        <w:spacing w:after="80"/>
        <w:jc w:val="center"/>
      </w:pPr>
      <w:r>
        <w:rPr>
          <w:rFonts w:ascii="Courier New" w:cs="Courier New" w:eastAsia="Courier New" w:hAnsi="Courier New"/>
          <w:b/>
          <w:bCs/>
          <w:color w:val="2E4057"/>
          <w:sz w:val="40"/>
          <w:szCs w:val="40"/>
        </w:rPr>
        <w:t xml:space="preserve">stage1_regression.py</w:t>
      </w:r>
    </w:p>
    <w:p>
      <w:pPr>
        <w:spacing w:after="80"/>
        <w:jc w:val="center"/>
      </w:pPr>
      <w:r>
        <w:rPr>
          <w:rFonts w:ascii="Arial" w:cs="Arial" w:eastAsia="Arial" w:hAnsi="Arial"/>
          <w:color w:val="444444"/>
          <w:sz w:val="26"/>
          <w:szCs w:val="26"/>
        </w:rPr>
        <w:t xml:space="preserve">AI Job Exposure Analysis — Stage 1: OLS Regression</w:t>
      </w:r>
    </w:p>
    <w:p>
      <w:pPr>
        <w:spacing w:after="480"/>
        <w:jc w:val="center"/>
      </w:pPr>
      <w:r>
        <w:rPr>
          <w:rFonts w:ascii="Arial" w:cs="Arial" w:eastAsia="Arial" w:hAnsi="Arial"/>
          <w:color w:val="888888"/>
          <w:sz w:val="22"/>
          <w:szCs w:val="22"/>
        </w:rPr>
        <w:t xml:space="preserve">Dylan Myers  |  Undergraduate Research Paper  |  2026</w:t>
      </w:r>
    </w:p>
    <w:p>
      <w:pPr>
        <w:pBdr>
          <w:bottom w:val="single" w:color="DDDDDD" w:sz="4" w:space="1"/>
        </w:pBdr>
        <w:spacing w:after="200" w:before="200"/>
      </w:pP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Script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stage1_regression.py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OLS regression: predict AI occupational exposure from task content characteristics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Input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ai_exposure_stage1.csv (generated by collect_data.py)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Dependencies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 numpy, statsmodels, matplotlib, seaborn, scipy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Run command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stage1_regression.py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Models run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OLS models (baseline → full → robustness check)</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Standard errors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HC3 heteroskedasticity-robust throughout</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Tables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outputs/tables/ → 3 CSV files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Figures output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outputs/figures/ → 5 PNG files</w:t>
            </w:r>
          </w:p>
        </w:tc>
      </w:tr>
    </w:tbl>
    <w:p>
      <w:pPr>
        <w:spacing w:after="320"/>
      </w:pPr>
    </w:p>
    <w:p>
      <w:pPr>
        <w:pStyle w:val="Heading1"/>
        <w:spacing w:after="160" w:before="360"/>
      </w:pPr>
      <w:r>
        <w:rPr>
          <w:rFonts w:ascii="Arial" w:cs="Arial" w:eastAsia="Arial" w:hAnsi="Arial"/>
          <w:b/>
          <w:bCs/>
          <w:color w:val="2E4057"/>
          <w:sz w:val="30"/>
          <w:szCs w:val="30"/>
        </w:rPr>
        <w:t xml:space="preserve">1. What the Script Does</w:t>
      </w:r>
    </w:p>
    <w:p>
      <w:pPr>
        <w:spacing w:after="160" w:line="360"/>
        <w:ind/>
        <w:jc w:val="both"/>
      </w:pPr>
      <w:r>
        <w:rPr>
          <w:rFonts w:ascii="Arial" w:cs="Arial" w:eastAsia="Arial" w:hAnsi="Arial"/>
          <w:sz w:val="22"/>
          <w:szCs w:val="22"/>
        </w:rPr>
        <w:t xml:space="preserve">stage1_regression.py is the core econometric engine of Stage 1. It loads the merged occupational dataset produced by collect_data.py, runs four progressively specified OLS models with heteroskedasticity-robust standard errors, conducts multicollinearity and diagnostic checks, exports publication-ready tables and figures, and prints a plain-English interpretation guide directly to the terminal. The script is designed to run in a single command and produce all outputs needed for the Stage 1 section of the paper.</w:t>
      </w:r>
    </w:p>
    <w:p>
      <w:pPr>
        <w:spacing w:after="160" w:line="360"/>
        <w:ind/>
        <w:jc w:val="both"/>
      </w:pPr>
      <w:r>
        <w:rPr>
          <w:rFonts w:ascii="Arial" w:cs="Arial" w:eastAsia="Arial" w:hAnsi="Arial"/>
          <w:sz w:val="22"/>
          <w:szCs w:val="22"/>
        </w:rPr>
        <w:t xml:space="preserve">The central econometric question answered by Stage 1 is: which structural occupational characteristics — task content, required education, and wage level — are statistically significant predictors of AI occupational exposure (AIOE) scores? This treats the AIOE score as an endogenous outcome rather than an exogenous instrument, reversing the causal direction used in most prior literature and providing the coefficient estimates needed for Stage 2's scenario projections.</w:t>
      </w:r>
    </w:p>
    <w:p>
      <w:pPr>
        <w:pBdr>
          <w:bottom w:val="single" w:color="DDDDDD" w:sz="4" w:space="1"/>
        </w:pBdr>
        <w:spacing w:after="200" w:before="200"/>
      </w:pPr>
    </w:p>
    <w:p>
      <w:pPr>
        <w:pStyle w:val="Heading1"/>
        <w:spacing w:after="160" w:before="360"/>
      </w:pPr>
      <w:r>
        <w:rPr>
          <w:rFonts w:ascii="Arial" w:cs="Arial" w:eastAsia="Arial" w:hAnsi="Arial"/>
          <w:b/>
          <w:bCs/>
          <w:color w:val="2E4057"/>
          <w:sz w:val="30"/>
          <w:szCs w:val="30"/>
        </w:rPr>
        <w:t xml:space="preserve">2. Function Reference</w:t>
      </w:r>
    </w:p>
    <w:p>
      <w:pPr>
        <w:spacing w:after="160" w:line="360"/>
        <w:ind/>
        <w:jc w:val="both"/>
      </w:pPr>
      <w:r>
        <w:rPr>
          <w:rFonts w:ascii="Arial" w:cs="Arial" w:eastAsia="Arial" w:hAnsi="Arial"/>
          <w:sz w:val="22"/>
          <w:szCs w:val="22"/>
        </w:rPr>
        <w:t xml:space="preserve">The script contains eight functions that execute sequentially when called from main(). The table below summarizes each function's role, inputs, and outputs.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24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Outputs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load_data()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Loads CSV, validates required columns, drops incomplete 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ai_exposure_stage1.csv</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 (DataFrame)</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compute_summary_stats(df)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Computes N, mean, SD, min, pct, max for all key variables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summary_stats.csv</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compute_correlations(df)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Pairwise Pearson correlations, flags |r| &gt; 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correlation_matrix.csv</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run_regressions(df)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Runs 4 OLS models with HC3 SEs + Breusch-Pagan test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results dict, fit_stats dict</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compute_vif(df)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Variance Inflation Factors for full model regressors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vif_data (DataFrame), console output</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build_regression_table(results, fit_stats)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Formats coefficient table with stars, SEs, fit stats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results, fit_stats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regression_table.csv</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make_figures(df, results)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Generates 5 diagnostic and descriptive figures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df, results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 PNG files in figures/</w:t>
            </w:r>
          </w:p>
        </w:tc>
      </w:tr>
      <w:tr>
        <w:tc>
          <w:tcPr>
            <w:tcW w:type="dxa" w:w="22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Courier New" w:cs="Courier New" w:eastAsia="Courier New" w:hAnsi="Courier New"/>
                <w:b/>
                <w:bCs/>
                <w:color w:val="2E4057"/>
                <w:sz w:val="18"/>
                <w:szCs w:val="18"/>
              </w:rPr>
              <w:t xml:space="preserve">print_interpretation_guide(results, fit_stats)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Prints plain-English coefficient interpretation to terminal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results, fit_stats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Console output</w:t>
            </w:r>
          </w:p>
        </w:tc>
      </w:tr>
    </w:tbl>
    <w:p>
      <w:pPr>
        <w:spacing w:after="320"/>
      </w:pPr>
    </w:p>
    <w:p>
      <w:pPr>
        <w:pStyle w:val="Heading1"/>
        <w:spacing w:after="160" w:before="360"/>
      </w:pPr>
      <w:r>
        <w:rPr>
          <w:rFonts w:ascii="Arial" w:cs="Arial" w:eastAsia="Arial" w:hAnsi="Arial"/>
          <w:b/>
          <w:bCs/>
          <w:color w:val="2E4057"/>
          <w:sz w:val="30"/>
          <w:szCs w:val="30"/>
        </w:rPr>
        <w:t xml:space="preserve">3. Model Specifications</w:t>
      </w:r>
    </w:p>
    <w:p>
      <w:pPr>
        <w:spacing w:after="160" w:line="360"/>
        <w:ind/>
        <w:jc w:val="both"/>
      </w:pPr>
      <w:r>
        <w:rPr>
          <w:rFonts w:ascii="Arial" w:cs="Arial" w:eastAsia="Arial" w:hAnsi="Arial"/>
          <w:sz w:val="22"/>
          <w:szCs w:val="22"/>
        </w:rPr>
        <w:t xml:space="preserve">The script estimates four OLS models in sequence, each adding variables to the previous specification. All models use HC3 heteroskedasticity-robust standard errors.</w:t>
      </w:r>
    </w:p>
    <w:p>
      <w:pPr>
        <w:spacing w:after="120"/>
      </w:pPr>
    </w:p>
    <w:p>
      <w:pPr>
        <w:pStyle w:val="Heading2"/>
        <w:spacing w:after="120" w:before="240"/>
      </w:pPr>
      <w:r>
        <w:rPr>
          <w:rFonts w:ascii="Arial" w:cs="Arial" w:eastAsia="Arial" w:hAnsi="Arial"/>
          <w:b/>
          <w:bCs/>
          <w:color w:val="048A81"/>
          <w:sz w:val="24"/>
          <w:szCs w:val="24"/>
        </w:rPr>
        <w:t xml:space="preserve">Model 1 — Baseline: Task Content Only</w:t>
      </w:r>
    </w:p>
    <w:p>
      <w:pPr>
        <w:spacing w:after="160" w:line="360"/>
        <w:ind/>
        <w:jc w:val="both"/>
      </w:pPr>
      <w:r>
        <w:rPr>
          <w:rFonts w:ascii="Arial" w:cs="Arial" w:eastAsia="Arial" w:hAnsi="Arial"/>
          <w:sz w:val="22"/>
          <w:szCs w:val="22"/>
        </w:rPr>
        <w:t xml:space="preserve">AIOE = β₀ + β₁(Routine Cognitive) + β₂(Social/Interpersonal) + β₃(Physical/Manual) + β₄(Creative/Adaptive) + ε</w:t>
      </w:r>
    </w:p>
    <w:p>
      <w:pPr>
        <w:spacing w:after="160" w:line="360"/>
        <w:ind/>
        <w:jc w:val="both"/>
      </w:pPr>
      <w:r>
        <w:rPr>
          <w:rFonts w:ascii="Arial" w:cs="Arial" w:eastAsia="Arial" w:hAnsi="Arial"/>
          <w:sz w:val="22"/>
          <w:szCs w:val="22"/>
        </w:rPr>
        <w:t xml:space="preserve">This baseline model tests whether O*NET task content dimensions alone predict AI exposure. The expectation from the literature is that routine cognitive tasks will be positively associated with exposure (Acemoglu &amp; Autor 2011), social/interpersonal tasks negatively associated (Felten et al. 2021), and physical/manual tasks negatively associated (Eloundou et al. 2023).</w:t>
      </w:r>
    </w:p>
    <w:p>
      <w:pPr>
        <w:pStyle w:val="Heading2"/>
        <w:spacing w:after="120" w:before="240"/>
      </w:pPr>
      <w:r>
        <w:rPr>
          <w:rFonts w:ascii="Arial" w:cs="Arial" w:eastAsia="Arial" w:hAnsi="Arial"/>
          <w:b/>
          <w:bCs/>
          <w:color w:val="048A81"/>
          <w:sz w:val="24"/>
          <w:szCs w:val="24"/>
        </w:rPr>
        <w:t xml:space="preserve">Model 2 — Task Content + Education</w:t>
      </w:r>
    </w:p>
    <w:p>
      <w:pPr>
        <w:spacing w:after="160" w:line="360"/>
        <w:ind/>
        <w:jc w:val="both"/>
      </w:pPr>
      <w:r>
        <w:rPr>
          <w:rFonts w:ascii="Arial" w:cs="Arial" w:eastAsia="Arial" w:hAnsi="Arial"/>
          <w:sz w:val="22"/>
          <w:szCs w:val="22"/>
        </w:rPr>
        <w:t xml:space="preserve">Model 1 + β₅(Required Education Level)</w:t>
      </w:r>
    </w:p>
    <w:p>
      <w:pPr>
        <w:spacing w:after="160" w:line="360"/>
        <w:ind/>
        <w:jc w:val="both"/>
      </w:pPr>
      <w:r>
        <w:rPr>
          <w:rFonts w:ascii="Arial" w:cs="Arial" w:eastAsia="Arial" w:hAnsi="Arial"/>
          <w:sz w:val="22"/>
          <w:szCs w:val="22"/>
        </w:rPr>
        <w:t xml:space="preserve">Education is added to test whether occupations requiring higher education are more exposed to AI, net of task content. Eloundou et al. find that higher-income, higher-education jobs face greater LLM exposure — this model tests whether that pattern holds after controlling for task structure.</w:t>
      </w:r>
    </w:p>
    <w:p>
      <w:pPr>
        <w:pStyle w:val="Heading2"/>
        <w:spacing w:after="120" w:before="240"/>
      </w:pPr>
      <w:r>
        <w:rPr>
          <w:rFonts w:ascii="Arial" w:cs="Arial" w:eastAsia="Arial" w:hAnsi="Arial"/>
          <w:b/>
          <w:bCs/>
          <w:color w:val="048A81"/>
          <w:sz w:val="24"/>
          <w:szCs w:val="24"/>
        </w:rPr>
        <w:t xml:space="preserve">Model 3 — Full Model (Primary Specification)</w:t>
      </w:r>
    </w:p>
    <w:p>
      <w:pPr>
        <w:spacing w:after="160" w:line="360"/>
        <w:ind/>
        <w:jc w:val="both"/>
      </w:pPr>
      <w:r>
        <w:rPr>
          <w:rFonts w:ascii="Arial" w:cs="Arial" w:eastAsia="Arial" w:hAnsi="Arial"/>
          <w:sz w:val="22"/>
          <w:szCs w:val="22"/>
        </w:rPr>
        <w:t xml:space="preserve">Model 2 + β₆(Log Annual Wage)</w:t>
      </w:r>
    </w:p>
    <w:p>
      <w:pPr>
        <w:spacing w:after="160" w:line="360"/>
        <w:ind/>
        <w:jc w:val="both"/>
      </w:pPr>
      <w:r>
        <w:rPr>
          <w:rFonts w:ascii="Arial" w:cs="Arial" w:eastAsia="Arial" w:hAnsi="Arial"/>
          <w:sz w:val="22"/>
          <w:szCs w:val="22"/>
        </w:rPr>
        <w:t xml:space="preserve">The full model adds log wage as a predictor. Log transformation is standard in labor economics and addresses the right-skewed distribution of annual wages. This is the primary specification from which Stage 2 scenario projections will be derived. Coefficient estimates from this model are used to project the AIOE distribution under alternative AI capability scenarios.</w:t>
      </w:r>
    </w:p>
    <w:p>
      <w:pPr>
        <w:pStyle w:val="Heading2"/>
        <w:spacing w:after="120" w:before="240"/>
      </w:pPr>
      <w:r>
        <w:rPr>
          <w:rFonts w:ascii="Arial" w:cs="Arial" w:eastAsia="Arial" w:hAnsi="Arial"/>
          <w:b/>
          <w:bCs/>
          <w:color w:val="048A81"/>
          <w:sz w:val="24"/>
          <w:szCs w:val="24"/>
        </w:rPr>
        <w:t xml:space="preserve">Model 4 — Robustness Check</w:t>
      </w:r>
    </w:p>
    <w:p>
      <w:pPr>
        <w:spacing w:after="160" w:line="360"/>
        <w:ind/>
        <w:jc w:val="both"/>
      </w:pPr>
      <w:r>
        <w:rPr>
          <w:rFonts w:ascii="Arial" w:cs="Arial" w:eastAsia="Arial" w:hAnsi="Arial"/>
          <w:sz w:val="22"/>
          <w:szCs w:val="22"/>
        </w:rPr>
        <w:t xml:space="preserve">Model 2 + β₆(Wage Percentile) [replaces log wage]</w:t>
      </w:r>
    </w:p>
    <w:p>
      <w:pPr>
        <w:spacing w:after="160" w:line="360"/>
        <w:ind/>
        <w:jc w:val="both"/>
      </w:pPr>
      <w:r>
        <w:rPr>
          <w:rFonts w:ascii="Arial" w:cs="Arial" w:eastAsia="Arial" w:hAnsi="Arial"/>
          <w:sz w:val="22"/>
          <w:szCs w:val="22"/>
        </w:rPr>
        <w:t xml:space="preserve">Replaces log wage with wage percentile rank to check sensitivity to the wage transformation choice. If Model 4 coefficients are qualitatively similar to Model 3, this supports the robustness of the findings. Large differences would indicate the results are sensitive to how wage is operationalized.</w:t>
      </w:r>
    </w:p>
    <w:p>
      <w:pPr>
        <w:pBdr>
          <w:bottom w:val="single" w:color="DDDDDD" w:sz="4" w:space="1"/>
        </w:pBdr>
        <w:spacing w:after="200" w:before="200"/>
      </w:pPr>
    </w:p>
    <w:p>
      <w:pPr>
        <w:pStyle w:val="Heading1"/>
        <w:spacing w:after="160" w:before="360"/>
      </w:pPr>
      <w:r>
        <w:rPr>
          <w:rFonts w:ascii="Arial" w:cs="Arial" w:eastAsia="Arial" w:hAnsi="Arial"/>
          <w:b/>
          <w:bCs/>
          <w:color w:val="2E4057"/>
          <w:sz w:val="30"/>
          <w:szCs w:val="30"/>
        </w:rPr>
        <w:t xml:space="preserve">4. Variables</w:t>
      </w:r>
    </w:p>
    <w:p>
      <w:pPr>
        <w:pStyle w:val="Heading2"/>
        <w:spacing w:after="120" w:before="240"/>
      </w:pPr>
      <w:r>
        <w:rPr>
          <w:rFonts w:ascii="Arial" w:cs="Arial" w:eastAsia="Arial" w:hAnsi="Arial"/>
          <w:b/>
          <w:bCs/>
          <w:color w:val="048A81"/>
          <w:sz w:val="24"/>
          <w:szCs w:val="24"/>
        </w:rPr>
        <w:t xml:space="preserve">Dependent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aioe_score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Occupational Exposure score from Felten, Raj &amp; Seamans (2021). Constructed by mapping AI capability advances to O*NET occupational abilities. Range approximately 0–1; higher = more exposed to AI.</w:t>
            </w:r>
          </w:p>
        </w:tc>
      </w:tr>
    </w:tbl>
    <w:p>
      <w:pPr>
        <w:spacing w:after="160"/>
      </w:pPr>
    </w:p>
    <w:p>
      <w:pPr>
        <w:pStyle w:val="Heading2"/>
        <w:spacing w:after="120" w:before="240"/>
      </w:pPr>
      <w:r>
        <w:rPr>
          <w:rFonts w:ascii="Arial" w:cs="Arial" w:eastAsia="Arial" w:hAnsi="Arial"/>
          <w:b/>
          <w:bCs/>
          <w:color w:val="048A81"/>
          <w:sz w:val="24"/>
          <w:szCs w:val="24"/>
        </w:rPr>
        <w:t xml:space="preserve">Independent Variables (Regressors)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routine_cognitive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of O*NET work activity importance accounted for by routine cognitive tasks (information processing, data analysis, documentation, scheduling). Constructed from O*NET Work Activities importance scores.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social_interpersonal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accounted for by social/interpersonal tasks (communicating, coordinating, coaching, resolving conflicts, customer interaction). Expected negative association with AIOE — AI handles interpersonal tasks poorly.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physical_manual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accounted for by physical/manual tasks (operating equipment, repairing, installing, driving, construction). Expected strong negative association — Moravec's Paradox predicts AI struggles with physical tasks.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creative_adaptive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 accounted for by creative/adaptive tasks (creative thinking, problem solving, strategic planning, design). Direction ambiguous: some AI exposure indices rate creative tasks as highly exposed; others do not.</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education_level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O*NET Required Level of Education scale (1=No HS diploma, 2=HS/GED, 3=Post-secondary certificate, 4=Some college, 5=Associate's, 6=Bachelor's, 7=Post-BA cert, 8=Master's, 9=Doctoral/Professional). Numeric, treated as continuous.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log_wage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log of BLS OES annual median wage. Log transformation addresses right skew in raw wages. A one-unit increase corresponds to approximately a 172% increase in wage level.</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wage_percentile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Percentile rank of occupation by annual median wage (0–100). Used in Model 4 as a robustness alternative to log_wage. More interpretable but loses cardinal information.</w:t>
            </w:r>
          </w:p>
        </w:tc>
      </w:tr>
    </w:tbl>
    <w:p>
      <w:pPr>
        <w:spacing w:after="320"/>
      </w:pPr>
    </w:p>
    <w:p>
      <w:pPr>
        <w:pStyle w:val="Heading1"/>
        <w:spacing w:after="160" w:before="360"/>
      </w:pPr>
      <w:r>
        <w:rPr>
          <w:rFonts w:ascii="Arial" w:cs="Arial" w:eastAsia="Arial" w:hAnsi="Arial"/>
          <w:b/>
          <w:bCs/>
          <w:color w:val="2E4057"/>
          <w:sz w:val="30"/>
          <w:szCs w:val="30"/>
        </w:rPr>
        <w:t xml:space="preserve">5. Statistical Diagnostics</w:t>
      </w:r>
    </w:p>
    <w:p>
      <w:pPr>
        <w:pStyle w:val="Heading2"/>
        <w:spacing w:after="120" w:before="240"/>
      </w:pPr>
      <w:r>
        <w:rPr>
          <w:rFonts w:ascii="Arial" w:cs="Arial" w:eastAsia="Arial" w:hAnsi="Arial"/>
          <w:b/>
          <w:bCs/>
          <w:color w:val="048A81"/>
          <w:sz w:val="24"/>
          <w:szCs w:val="24"/>
        </w:rPr>
        <w:t xml:space="preserve">5.1 Heteroskedasticity — Breusch-Pagan Test</w:t>
      </w:r>
    </w:p>
    <w:p>
      <w:pPr>
        <w:spacing w:after="160" w:line="360"/>
        <w:ind/>
        <w:jc w:val="both"/>
      </w:pPr>
      <w:r>
        <w:rPr>
          <w:rFonts w:ascii="Arial" w:cs="Arial" w:eastAsia="Arial" w:hAnsi="Arial"/>
          <w:sz w:val="22"/>
          <w:szCs w:val="22"/>
        </w:rPr>
        <w:t xml:space="preserve">All four models run an automatic Breusch-Pagan test. If the test p-value is below 0.05, the null of homoskedastic errors is rejected and HC3 robust standard errors are the appropriate choice (which the script uses by default for all models regardless). The test result is printed to console next to each model's summary line.</w:t>
      </w:r>
    </w:p>
    <w:p>
      <w:pPr>
        <w:pStyle w:val="Heading2"/>
        <w:spacing w:after="120" w:before="240"/>
      </w:pPr>
      <w:r>
        <w:rPr>
          <w:rFonts w:ascii="Arial" w:cs="Arial" w:eastAsia="Arial" w:hAnsi="Arial"/>
          <w:b/>
          <w:bCs/>
          <w:color w:val="048A81"/>
          <w:sz w:val="24"/>
          <w:szCs w:val="24"/>
        </w:rPr>
        <w:t xml:space="preserve">5.2 Multicollinearity — Variance Inflation Factors</w:t>
      </w:r>
    </w:p>
    <w:p>
      <w:pPr>
        <w:spacing w:after="160" w:line="360"/>
        <w:ind/>
        <w:jc w:val="both"/>
      </w:pPr>
      <w:r>
        <w:rPr>
          <w:rFonts w:ascii="Arial" w:cs="Arial" w:eastAsia="Arial" w:hAnsi="Arial"/>
          <w:sz w:val="22"/>
          <w:szCs w:val="22"/>
        </w:rPr>
        <w:t xml:space="preserve">compute_vif() calculates Variance Inflation Factors for all regressors in the full model specification. VIF &gt; 10 is flagged as high concern; VIF 5–10 as moderate. If multicollinearity is detected between task content dimensions (e.g., routine_cognitive and creative_adaptive), consider orthogonalizing via PCA or dropping one variable. The function prints a concern label (OK / Moderate / HIGH) for each variable.</w:t>
      </w:r>
    </w:p>
    <w:p>
      <w:pPr>
        <w:pStyle w:val="Heading2"/>
        <w:spacing w:after="120" w:before="240"/>
      </w:pPr>
      <w:r>
        <w:rPr>
          <w:rFonts w:ascii="Arial" w:cs="Arial" w:eastAsia="Arial" w:hAnsi="Arial"/>
          <w:b/>
          <w:bCs/>
          <w:color w:val="048A81"/>
          <w:sz w:val="24"/>
          <w:szCs w:val="24"/>
        </w:rPr>
        <w:t xml:space="preserve">5.3 Residual Diagnostics — Four-Panel Plot</w:t>
      </w:r>
    </w:p>
    <w:p>
      <w:pPr>
        <w:spacing w:after="160" w:line="360"/>
        <w:ind/>
        <w:jc w:val="both"/>
      </w:pPr>
      <w:r>
        <w:rPr>
          <w:rFonts w:ascii="Arial" w:cs="Arial" w:eastAsia="Arial" w:hAnsi="Arial"/>
          <w:sz w:val="22"/>
          <w:szCs w:val="22"/>
        </w:rPr>
        <w:t xml:space="preserve">The residual_plots.png figure contains four panels for Model 3:</w:t>
      </w:r>
    </w:p>
    <w:p>
      <w:pPr>
        <w:spacing w:after="100"/>
        <w:ind w:left="720" w:hanging="360"/>
      </w:pPr>
      <w:r>
        <w:rPr>
          <w:rFonts w:ascii="Arial" w:cs="Arial" w:eastAsia="Arial" w:hAnsi="Arial"/>
          <w:b/>
          <w:bCs/>
          <w:color w:val="048A81"/>
          <w:sz w:val="22"/>
          <w:szCs w:val="22"/>
        </w:rPr>
        <w:t xml:space="preserve">• </w:t>
      </w:r>
      <w:r>
        <w:rPr>
          <w:rFonts w:ascii="Arial" w:cs="Arial" w:eastAsia="Arial" w:hAnsi="Arial"/>
          <w:sz w:val="22"/>
          <w:szCs w:val="22"/>
        </w:rPr>
        <w:t xml:space="preserve">Residuals vs. Fitted — checks for non-linearity and heteroskedasticity patterns; a LOWESS smoother is overlaid</w:t>
      </w:r>
    </w:p>
    <w:p>
      <w:pPr>
        <w:spacing w:after="100"/>
        <w:ind w:left="720" w:hanging="360"/>
      </w:pPr>
      <w:r>
        <w:rPr>
          <w:rFonts w:ascii="Arial" w:cs="Arial" w:eastAsia="Arial" w:hAnsi="Arial"/>
          <w:b/>
          <w:bCs/>
          <w:color w:val="048A81"/>
          <w:sz w:val="22"/>
          <w:szCs w:val="22"/>
        </w:rPr>
        <w:t xml:space="preserve">• </w:t>
      </w:r>
      <w:r>
        <w:rPr>
          <w:rFonts w:ascii="Arial" w:cs="Arial" w:eastAsia="Arial" w:hAnsi="Arial"/>
          <w:sz w:val="22"/>
          <w:szCs w:val="22"/>
        </w:rPr>
        <w:t xml:space="preserve">Scale-Location — √|standardized residuals| vs. fitted; should be roughly flat if homoskedastic</w:t>
      </w:r>
    </w:p>
    <w:p>
      <w:pPr>
        <w:spacing w:after="100"/>
        <w:ind w:left="720" w:hanging="360"/>
      </w:pPr>
      <w:r>
        <w:rPr>
          <w:rFonts w:ascii="Arial" w:cs="Arial" w:eastAsia="Arial" w:hAnsi="Arial"/>
          <w:b/>
          <w:bCs/>
          <w:color w:val="048A81"/>
          <w:sz w:val="22"/>
          <w:szCs w:val="22"/>
        </w:rPr>
        <w:t xml:space="preserve">• </w:t>
      </w:r>
      <w:r>
        <w:rPr>
          <w:rFonts w:ascii="Arial" w:cs="Arial" w:eastAsia="Arial" w:hAnsi="Arial"/>
          <w:sz w:val="22"/>
          <w:szCs w:val="22"/>
        </w:rPr>
        <w:t xml:space="preserve">Residual histogram with normal curve overlay — visual normality check</w:t>
      </w:r>
    </w:p>
    <w:p>
      <w:pPr>
        <w:spacing w:after="100"/>
        <w:ind w:left="720" w:hanging="360"/>
      </w:pPr>
      <w:r>
        <w:rPr>
          <w:rFonts w:ascii="Arial" w:cs="Arial" w:eastAsia="Arial" w:hAnsi="Arial"/>
          <w:b/>
          <w:bCs/>
          <w:color w:val="048A81"/>
          <w:sz w:val="22"/>
          <w:szCs w:val="22"/>
        </w:rPr>
        <w:t xml:space="preserve">• </w:t>
      </w:r>
      <w:r>
        <w:rPr>
          <w:rFonts w:ascii="Arial" w:cs="Arial" w:eastAsia="Arial" w:hAnsi="Arial"/>
          <w:sz w:val="22"/>
          <w:szCs w:val="22"/>
        </w:rPr>
        <w:t xml:space="preserve">Actual vs. Predicted with 45° line — overall model fit visualization; points close to the line indicate good prediction</w:t>
      </w:r>
    </w:p>
    <w:p>
      <w:pPr>
        <w:spacing w:after="160"/>
      </w:pPr>
    </w:p>
    <w:p>
      <w:pPr>
        <w:pBdr>
          <w:bottom w:val="single" w:color="DDDDDD" w:sz="4" w:space="1"/>
        </w:pBdr>
        <w:spacing w:after="200" w:before="200"/>
      </w:pPr>
    </w:p>
    <w:p>
      <w:pPr>
        <w:pStyle w:val="Heading1"/>
        <w:spacing w:after="160" w:before="360"/>
      </w:pPr>
      <w:r>
        <w:rPr>
          <w:rFonts w:ascii="Arial" w:cs="Arial" w:eastAsia="Arial" w:hAnsi="Arial"/>
          <w:b/>
          <w:bCs/>
          <w:color w:val="2E4057"/>
          <w:sz w:val="30"/>
          <w:szCs w:val="30"/>
        </w:rPr>
        <w:t xml:space="preserve">6. Outputs Reference</w:t>
      </w:r>
    </w:p>
    <w:p>
      <w:pPr>
        <w:pStyle w:val="Heading2"/>
        <w:spacing w:after="120" w:before="240"/>
      </w:pPr>
      <w:r>
        <w:rPr>
          <w:rFonts w:ascii="Arial" w:cs="Arial" w:eastAsia="Arial" w:hAnsi="Arial"/>
          <w:b/>
          <w:bCs/>
          <w:color w:val="048A81"/>
          <w:sz w:val="24"/>
          <w:szCs w:val="24"/>
        </w:rPr>
        <w:t xml:space="preserve">Tables (outputs/tables/)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summary_stats.csv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Descriptive statistics for all key variables: N, mean, SD, min, 25th/50th/75th pct, max. Drop directly into your paper's data section.</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correlation_matrix.csv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Pairwise Pearson correlations for AIOE score and all regressors. Used to identify collinearity and describe variable relationships in text.</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regression_table.csv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Four-model coefficient table with robust SEs in parentheses and significance stars (†/*/**/***)  plus fit statistics (N, R², Adj.R², F-stat, AIC, SE type). Format matches standard economics journal tables.</w:t>
            </w:r>
          </w:p>
        </w:tc>
      </w:tr>
    </w:tbl>
    <w:p>
      <w:pPr>
        <w:spacing w:after="160"/>
      </w:pPr>
    </w:p>
    <w:p>
      <w:pPr>
        <w:pStyle w:val="Heading2"/>
        <w:spacing w:after="120" w:before="240"/>
      </w:pPr>
      <w:r>
        <w:rPr>
          <w:rFonts w:ascii="Arial" w:cs="Arial" w:eastAsia="Arial" w:hAnsi="Arial"/>
          <w:b/>
          <w:bCs/>
          <w:color w:val="048A81"/>
          <w:sz w:val="24"/>
          <w:szCs w:val="24"/>
        </w:rPr>
        <w:t xml:space="preserve">Figures (outputs/figures/)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aioe_distribution.png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Histogram of AIOE scores with mean/median lines + Q-Q plot for normality check. Use in data description section.</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scatter_matrix.png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Pairwise scatter plots for AIOE and all regressors. Useful for identifying non-linear relationships and outliers before finalizing model spec.</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residual_plots.png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Four-panel OLS diagnostic plot for Model 3 (see Section 5.3). Include in appendix to demonstrate regression assumptions were checked.</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coef_plot.png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bar chart of Model 3 coefficients with 95% CIs. Significant predictors shown in blue; non-significant in grey. Strong visual for presentation slides.</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top_bottom_occupations.png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Side-by-side bar charts of the 15 most and least AI-exposed occupations by name. Good intuition-builder for the introduction or discussion section.</w:t>
            </w:r>
          </w:p>
        </w:tc>
      </w:tr>
    </w:tbl>
    <w:p>
      <w:pPr>
        <w:spacing w:after="320"/>
      </w:pPr>
    </w:p>
    <w:p>
      <w:pPr>
        <w:pStyle w:val="Heading1"/>
        <w:spacing w:after="160" w:before="360"/>
      </w:pPr>
      <w:r>
        <w:rPr>
          <w:rFonts w:ascii="Arial" w:cs="Arial" w:eastAsia="Arial" w:hAnsi="Arial"/>
          <w:b/>
          <w:bCs/>
          <w:color w:val="2E4057"/>
          <w:sz w:val="30"/>
          <w:szCs w:val="30"/>
        </w:rPr>
        <w:t xml:space="preserve">7. How to Run</w:t>
      </w:r>
    </w:p>
    <w:p>
      <w:pPr>
        <w:pStyle w:val="Heading2"/>
        <w:spacing w:after="120" w:before="240"/>
      </w:pPr>
      <w:r>
        <w:rPr>
          <w:rFonts w:ascii="Arial" w:cs="Arial" w:eastAsia="Arial" w:hAnsi="Arial"/>
          <w:b/>
          <w:bCs/>
          <w:color w:val="048A81"/>
          <w:sz w:val="24"/>
          <w:szCs w:val="24"/>
        </w:rPr>
        <w:t xml:space="preserve">Step 1 — Install dependencies</w:t>
      </w:r>
    </w:p>
    <w:p>
      <w:pPr>
        <w:spacing w:after="80"/>
        <w:ind w:left="720"/>
      </w:pPr>
      <w:r>
        <w:rPr>
          <w:rFonts w:ascii="Courier New" w:cs="Courier New" w:eastAsia="Courier New" w:hAnsi="Courier New"/>
          <w:color w:val="333333"/>
          <w:sz w:val="20"/>
          <w:szCs w:val="20"/>
        </w:rPr>
        <w:t xml:space="preserve">pip install pandas numpy statsmodels matplotlib seaborn scipy</w:t>
      </w:r>
    </w:p>
    <w:p>
      <w:pPr>
        <w:spacing w:after="120"/>
      </w:pPr>
    </w:p>
    <w:p>
      <w:pPr>
        <w:pStyle w:val="Heading2"/>
        <w:spacing w:after="120" w:before="240"/>
      </w:pPr>
      <w:r>
        <w:rPr>
          <w:rFonts w:ascii="Arial" w:cs="Arial" w:eastAsia="Arial" w:hAnsi="Arial"/>
          <w:b/>
          <w:bCs/>
          <w:color w:val="048A81"/>
          <w:sz w:val="24"/>
          <w:szCs w:val="24"/>
        </w:rPr>
        <w:t xml:space="preserve">Step 2 — Ensure input data exists</w:t>
      </w:r>
    </w:p>
    <w:p>
      <w:pPr>
        <w:spacing w:after="80"/>
        <w:ind w:left="720"/>
      </w:pPr>
      <w:r>
        <w:rPr>
          <w:rFonts w:ascii="Courier New" w:cs="Courier New" w:eastAsia="Courier New" w:hAnsi="Courier New"/>
          <w:color w:val="333333"/>
          <w:sz w:val="20"/>
          <w:szCs w:val="20"/>
        </w:rPr>
        <w:t xml:space="preserve">ls ai_exposure_stage1.csv   # must be present</w:t>
      </w:r>
    </w:p>
    <w:p>
      <w:pPr>
        <w:spacing w:after="160" w:line="360"/>
        <w:ind/>
        <w:jc w:val="both"/>
      </w:pPr>
      <w:r>
        <w:rPr>
          <w:rFonts w:ascii="Arial" w:cs="Arial" w:eastAsia="Arial" w:hAnsi="Arial"/>
          <w:sz w:val="22"/>
          <w:szCs w:val="22"/>
        </w:rPr>
        <w:t xml:space="preserve">If not present, run collect_data.py first and check that the merge completed with sufficient complete cases (target: 400+ occupations).</w:t>
      </w:r>
    </w:p>
    <w:p>
      <w:pPr>
        <w:spacing w:after="120"/>
      </w:pPr>
    </w:p>
    <w:p>
      <w:pPr>
        <w:pStyle w:val="Heading2"/>
        <w:spacing w:after="120" w:before="240"/>
      </w:pPr>
      <w:r>
        <w:rPr>
          <w:rFonts w:ascii="Arial" w:cs="Arial" w:eastAsia="Arial" w:hAnsi="Arial"/>
          <w:b/>
          <w:bCs/>
          <w:color w:val="048A81"/>
          <w:sz w:val="24"/>
          <w:szCs w:val="24"/>
        </w:rPr>
        <w:t xml:space="preserve">Step 3 — Run the script</w:t>
      </w:r>
    </w:p>
    <w:p>
      <w:pPr>
        <w:spacing w:after="80"/>
        <w:ind w:left="720"/>
      </w:pPr>
      <w:r>
        <w:rPr>
          <w:rFonts w:ascii="Courier New" w:cs="Courier New" w:eastAsia="Courier New" w:hAnsi="Courier New"/>
          <w:color w:val="333333"/>
          <w:sz w:val="20"/>
          <w:szCs w:val="20"/>
        </w:rPr>
        <w:t xml:space="preserve">python stage1_regression.py</w:t>
      </w:r>
    </w:p>
    <w:p>
      <w:pPr>
        <w:spacing w:after="120"/>
      </w:pPr>
    </w:p>
    <w:p>
      <w:pPr>
        <w:pStyle w:val="Heading2"/>
        <w:spacing w:after="120" w:before="240"/>
      </w:pPr>
      <w:r>
        <w:rPr>
          <w:rFonts w:ascii="Arial" w:cs="Arial" w:eastAsia="Arial" w:hAnsi="Arial"/>
          <w:b/>
          <w:bCs/>
          <w:color w:val="048A81"/>
          <w:sz w:val="24"/>
          <w:szCs w:val="24"/>
        </w:rPr>
        <w:t xml:space="preserve">Step 4 — Check console output</w:t>
      </w:r>
    </w:p>
    <w:p>
      <w:pPr>
        <w:spacing w:after="160" w:line="360"/>
        <w:ind/>
        <w:jc w:val="both"/>
      </w:pPr>
      <w:r>
        <w:rPr>
          <w:rFonts w:ascii="Arial" w:cs="Arial" w:eastAsia="Arial" w:hAnsi="Arial"/>
          <w:sz w:val="22"/>
          <w:szCs w:val="22"/>
        </w:rPr>
        <w:t xml:space="preserve">The terminal will print summary stats, correlation warnings, per-model fit statistics, VIF table, and the full coefficient interpretation guide. Read these before opening the CSV outputs — the console flags any issues (high VIF, unexpected signs, failed Breusch-Pagan) that should be addressed before moving to Stage 2.</w:t>
      </w:r>
    </w:p>
    <w:p>
      <w:pPr>
        <w:spacing w:after="120"/>
      </w:pPr>
    </w:p>
    <w:p>
      <w:pPr>
        <w:pStyle w:val="Heading2"/>
        <w:spacing w:after="120" w:before="240"/>
      </w:pPr>
      <w:r>
        <w:rPr>
          <w:rFonts w:ascii="Arial" w:cs="Arial" w:eastAsia="Arial" w:hAnsi="Arial"/>
          <w:b/>
          <w:bCs/>
          <w:color w:val="048A81"/>
          <w:sz w:val="24"/>
          <w:szCs w:val="24"/>
        </w:rPr>
        <w:t xml:space="preserve">Step 5 — Review outputs and proceed to Stage 2</w:t>
      </w:r>
    </w:p>
    <w:p>
      <w:pPr>
        <w:spacing w:after="160" w:line="360"/>
        <w:ind/>
        <w:jc w:val="both"/>
      </w:pPr>
      <w:r>
        <w:rPr>
          <w:rFonts w:ascii="Arial" w:cs="Arial" w:eastAsia="Arial" w:hAnsi="Arial"/>
          <w:sz w:val="22"/>
          <w:szCs w:val="22"/>
        </w:rPr>
        <w:t xml:space="preserve">Once you are satisfied with Model 3 results, carry the coefficient estimates into stage2_scenarios.py to project AIOE distributions under conservative, moderate, and aggressive AI capability scenarios.</w:t>
      </w:r>
    </w:p>
    <w:p>
      <w:pPr>
        <w:pBdr>
          <w:bottom w:val="single" w:color="DDDDDD" w:sz="4" w:space="1"/>
        </w:pBdr>
        <w:spacing w:after="200" w:before="200"/>
      </w:pPr>
    </w:p>
    <w:p>
      <w:pPr>
        <w:pStyle w:val="Heading1"/>
        <w:spacing w:after="160" w:before="360"/>
      </w:pPr>
      <w:r>
        <w:rPr>
          <w:rFonts w:ascii="Arial" w:cs="Arial" w:eastAsia="Arial" w:hAnsi="Arial"/>
          <w:b/>
          <w:bCs/>
          <w:color w:val="2E4057"/>
          <w:sz w:val="30"/>
          <w:szCs w:val="30"/>
        </w:rPr>
        <w:t xml:space="preserve">8. Common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FileNotFoundError on CSV</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collect_data.py first. Check that the AIOE, O*NET, and BLS sources all downloaded successfully.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KeyError on column name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Column names in the merged CSV may differ if O*NET version changed. Re-run collect_data.py and check the printed column list.</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Very low R² (&lt; 0.10)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in some specs — cross-sectional occupational data has high residual variance. Check VIF; if task dimensions are collinear, try PCA aggregation.</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High VIF (&gt; 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the most collinear variable or combine dimensions. routine_cognitive and creative_adaptive sometimes correlate highly.</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Breusch-Pagan p &lt; 0.05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 and expected. HC3 SEs are already used, so no corrective action needed — just note in the paper.</w:t>
            </w:r>
          </w:p>
        </w:tc>
      </w:tr>
      <w:tr>
        <w:tc>
          <w:tcPr>
            <w:tcW w:type="dxa" w:w="3600"/>
            <w:tcBorders>
              <w:top w:val="single" w:color="CCCCCC" w:sz="1"/>
              <w:left w:val="single" w:color="CCCCCC" w:sz="1"/>
              <w:bottom w:val="single" w:color="CCCCCC" w:sz="1"/>
              <w:right w:val="single" w:color="CCCCCC" w:sz="1"/>
            </w:tcBorders>
            <w:shd w:fill="EAF4F4" w:val="clear"/>
            <w:tcMar>
              <w:top w:type="dxa" w:w="80"/>
              <w:left w:type="dxa" w:w="120"/>
              <w:bottom w:type="dxa" w:w="80"/>
              <w:right w:type="dxa" w:w="120"/>
            </w:tcMar>
          </w:tcPr>
          <w:p>
            <w:r>
              <w:rPr>
                <w:rFonts w:ascii="Arial" w:cs="Arial" w:eastAsia="Arial" w:hAnsi="Arial"/>
                <w:b/>
                <w:bCs/>
                <w:sz w:val="20"/>
                <w:szCs w:val="20"/>
              </w:rPr>
              <w:t xml:space="preserve">figures/ directory missing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auto-creates it. If permissions error, create manually: mkdir -p outputs/figures outputs/tables</w:t>
            </w:r>
          </w:p>
        </w:tc>
      </w:tr>
    </w:tbl>
    <w:p>
      <w:pPr>
        <w:spacing w:after="480"/>
      </w:pPr>
    </w:p>
    <w:p>
      <w:pPr>
        <w:jc w:val="center"/>
      </w:pPr>
      <w:r>
        <w:rPr>
          <w:rFonts w:ascii="Arial" w:cs="Arial" w:eastAsia="Arial" w:hAnsi="Arial"/>
          <w:i/>
          <w:iCs/>
          <w:color w:val="AAAAAA"/>
          <w:sz w:val="20"/>
          <w:szCs w:val="20"/>
        </w:rPr>
        <w:t xml:space="preserve">End of Report</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stage1_regression.py — Function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057"/>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48A8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2026-05-04T20:53:01.027Z</dcterms:created>
  <dcterms:modified xsi:type="dcterms:W3CDTF">2026-05-04T20:53:01.044Z</dcterms:modified>
</cp:coreProperties>
</file>

<file path=docProps/custom.xml><?xml version="1.0" encoding="utf-8"?>
<Properties xmlns="http://schemas.openxmlformats.org/officeDocument/2006/custom-properties" xmlns:vt="http://schemas.openxmlformats.org/officeDocument/2006/docPropsVTypes"/>
</file>