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b/>
          <w:bCs/>
          <w:color w:val="10B981"/>
          <w:spacing w:val="80"/>
          <w:sz w:val="16"/>
          <w:szCs w:val="16"/>
        </w:rPr>
        <w:t xml:space="preserve">CONVERSION ENGINE</w:t>
      </w:r>
    </w:p>
    <w:p>
      <w:pPr>
        <w:pStyle w:val="Title"/>
        <w:spacing w:after="240" w:before="0"/>
      </w:pPr>
      <w:r>
        <w:rPr>
          <w:b/>
          <w:bCs/>
          <w:sz w:val="56"/>
          <w:szCs w:val="56"/>
        </w:rPr>
        <w:t xml:space="preserve">Sales Deck — Team Review</w:t>
      </w:r>
    </w:p>
    <w:p>
      <w:pPr>
        <w:spacing w:after="240" w:before="0"/>
      </w:pPr>
      <w:r>
        <w:rPr>
          <w:color w:val="555555"/>
          <w:sz w:val="22"/>
          <w:szCs w:val="22"/>
        </w:rPr>
        <w:t xml:space="preserve">Slide-by-slide content reference for the live deck at /sales-deck. Use this doc to redline copy, flag missing proof points, or stress-test the narrative before we put it in front of prospects. Each slide entry includes the on-screen kicker, headline, body copy, and a description of what the visual is doing.</w:t>
      </w:r>
    </w:p>
    <w:p>
      <w:pPr>
        <w:pStyle w:val="Heading2"/>
        <w:spacing w:after="80" w:before="240"/>
      </w:pPr>
      <w:r>
        <w:t xml:space="preserve">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shd w:fill="1B1B1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shd w:fill="1B1B1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dxa" w:w="636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shd w:fill="1B1B1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60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Cover</w:t>
            </w:r>
          </w:p>
        </w:tc>
        <w:tc>
          <w:tcPr>
            <w:tcW w:type="dxa" w:w="636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Set the tone — Conversion Engine identity</w:t>
            </w:r>
          </w:p>
        </w:tc>
      </w:tr>
      <w:tr>
        <w:tc>
          <w:tcPr>
            <w:tcW w:type="dxa" w:w="60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The missing layer</w:t>
            </w:r>
          </w:p>
        </w:tc>
        <w:tc>
          <w:tcPr>
            <w:tcW w:type="dxa" w:w="636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Show the gap between ads and email</w:t>
            </w:r>
          </w:p>
        </w:tc>
      </w:tr>
      <w:tr>
        <w:tc>
          <w:tcPr>
            <w:tcW w:type="dxa" w:w="60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Revenue calculator</w:t>
            </w:r>
          </w:p>
        </w:tc>
        <w:tc>
          <w:tcPr>
            <w:tcW w:type="dxa" w:w="636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Quantify their leak — interactive</w:t>
            </w:r>
          </w:p>
        </w:tc>
      </w:tr>
      <w:tr>
        <w:tc>
          <w:tcPr>
            <w:tcW w:type="dxa" w:w="60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Page build vs whole stack</w:t>
            </w:r>
          </w:p>
        </w:tc>
        <w:tc>
          <w:tcPr>
            <w:tcW w:type="dxa" w:w="636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Position retainer vs one-off work</w:t>
            </w:r>
          </w:p>
        </w:tc>
      </w:tr>
      <w:tr>
        <w:tc>
          <w:tcPr>
            <w:tcW w:type="dxa" w:w="60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Partner, not vendor</w:t>
            </w:r>
          </w:p>
        </w:tc>
        <w:tc>
          <w:tcPr>
            <w:tcW w:type="dxa" w:w="636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Frame the working relationship</w:t>
            </w:r>
          </w:p>
        </w:tc>
      </w:tr>
      <w:tr>
        <w:tc>
          <w:tcPr>
            <w:tcW w:type="dxa" w:w="60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What's in the monthly scope</w:t>
            </w:r>
          </w:p>
        </w:tc>
        <w:tc>
          <w:tcPr>
            <w:tcW w:type="dxa" w:w="636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Spell out deliverables</w:t>
            </w:r>
          </w:p>
        </w:tc>
      </w:tr>
      <w:tr>
        <w:tc>
          <w:tcPr>
            <w:tcW w:type="dxa" w:w="60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The rhythm</w:t>
            </w:r>
          </w:p>
        </w:tc>
        <w:tc>
          <w:tcPr>
            <w:tcW w:type="dxa" w:w="636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Show the operating cadence</w:t>
            </w:r>
          </w:p>
        </w:tc>
      </w:tr>
      <w:tr>
        <w:tc>
          <w:tcPr>
            <w:tcW w:type="dxa" w:w="60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Proof</w:t>
            </w:r>
          </w:p>
        </w:tc>
        <w:tc>
          <w:tcPr>
            <w:tcW w:type="dxa" w:w="636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Land credibility with recent lifts</w:t>
            </w:r>
          </w:p>
        </w:tc>
      </w:tr>
      <w:tr>
        <w:tc>
          <w:tcPr>
            <w:tcW w:type="dxa" w:w="60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The investment</w:t>
            </w:r>
          </w:p>
        </w:tc>
        <w:tc>
          <w:tcPr>
            <w:tcW w:type="dxa" w:w="636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Frame price against return</w:t>
            </w:r>
          </w:p>
        </w:tc>
      </w:tr>
      <w:tr>
        <w:tc>
          <w:tcPr>
            <w:tcW w:type="dxa" w:w="60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Next step</w:t>
            </w:r>
          </w:p>
        </w:tc>
        <w:tc>
          <w:tcPr>
            <w:tcW w:type="dxa" w:w="636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Drive the booking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t xml:space="preserve">Slide 1 — Cover</w:t>
      </w:r>
    </w:p>
    <w:p>
      <w:pPr>
        <w:pStyle w:val="Heading3"/>
        <w:spacing w:after="60" w:before="180"/>
      </w:pPr>
      <w:r>
        <w:t xml:space="preserve">On-screen content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Wordmark</w:t>
            </w:r>
          </w:p>
        </w:tc>
        <w:tc>
          <w:tcPr>
            <w:tcW w:type="dxa" w:w="676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Conversion Engine</w:t>
            </w:r>
          </w:p>
        </w:tc>
      </w:tr>
      <w:tr>
        <w:tc>
          <w:tcPr>
            <w:tcW w:type="dxa" w:w="260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Tagline</w:t>
            </w:r>
          </w:p>
        </w:tc>
        <w:tc>
          <w:tcPr>
            <w:tcW w:type="dxa" w:w="676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Covering everything you need post click</w:t>
            </w:r>
          </w:p>
        </w:tc>
      </w:tr>
    </w:tbl>
    <w:p>
      <w:pPr>
        <w:pStyle w:val="Heading3"/>
        <w:spacing w:after="60" w:before="180"/>
      </w:pPr>
      <w:r>
        <w:t xml:space="preserve">Visual treatment</w:t>
      </w:r>
    </w:p>
    <w:p>
      <w:pPr>
        <w:pBdr>
          <w:left w:val="single" w:color="10B981" w:sz="12" w:space="8"/>
        </w:pBdr>
        <w:shd w:fill="F5F7F9" w:val="clear"/>
        <w:spacing w:after="60" w:before="100"/>
        <w:ind w:left="200"/>
      </w:pPr>
      <w:r>
        <w:rPr>
          <w:b/>
          <w:bCs/>
          <w:sz w:val="20"/>
          <w:szCs w:val="20"/>
        </w:rPr>
        <w:t xml:space="preserve">Visual — </w:t>
      </w:r>
      <w:r>
        <w:rPr>
          <w:i/>
          <w:iCs/>
          <w:color w:val="555555"/>
          <w:sz w:val="20"/>
          <w:szCs w:val="20"/>
        </w:rPr>
        <w:t xml:space="preserve">Centered Conversion Engine wordmark + tagline on a black slate. Edge-of-frame marquee columns scroll vertical thumbnails of past project work (portfolio screenshots) in opposite directions, framing the logo without competing with it. Cross-fades into Slide 2.</w:t>
      </w:r>
    </w:p>
    <w:p>
      <w:r>
        <w:br w:type="page"/>
      </w:r>
    </w:p>
    <w:p>
      <w:pPr>
        <w:pStyle w:val="Heading1"/>
        <w:spacing w:after="120" w:before="360"/>
      </w:pPr>
      <w:r>
        <w:t xml:space="preserve">Slide 2 — The missing layer</w:t>
      </w:r>
    </w:p>
    <w:p>
      <w:pPr>
        <w:spacing w:after="40" w:before="120"/>
      </w:pPr>
      <w:r>
        <w:rPr>
          <w:b/>
          <w:bCs/>
          <w:color w:val="10B981"/>
          <w:spacing w:val="60"/>
          <w:sz w:val="16"/>
          <w:szCs w:val="16"/>
        </w:rPr>
        <w:t xml:space="preserve">THE ENTIRE POST-CLICK LAYER</w:t>
      </w:r>
    </w:p>
    <w:p>
      <w:pPr>
        <w:pStyle w:val="Heading3"/>
        <w:spacing w:after="60" w:before="180"/>
      </w:pPr>
      <w:r>
        <w:t xml:space="preserve">On-screen content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Headline</w:t>
            </w:r>
          </w:p>
        </w:tc>
        <w:tc>
          <w:tcPr>
            <w:tcW w:type="dxa" w:w="676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Take the traffic you're paying for. Make it work harder.</w:t>
            </w:r>
          </w:p>
        </w:tc>
      </w:tr>
      <w:tr>
        <w:tc>
          <w:tcPr>
            <w:tcW w:type="dxa" w:w="260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Stack: Acquisition</w:t>
            </w:r>
          </w:p>
        </w:tc>
        <w:tc>
          <w:tcPr>
            <w:tcW w:type="dxa" w:w="676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Ads — the spend that brings traffic in. Tag: Ads agency.</w:t>
            </w:r>
          </w:p>
        </w:tc>
      </w:tr>
      <w:tr>
        <w:tc>
          <w:tcPr>
            <w:tcW w:type="dxa" w:w="260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Stack: Conversion (highlighted)</w:t>
            </w:r>
          </w:p>
        </w:tc>
        <w:tc>
          <w:tcPr>
            <w:tcW w:type="dxa" w:w="676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Every click, working harder — we supercharge the entire post-click experience. Tag: The layer we own. Badge: This is where we come in.</w:t>
            </w:r>
          </w:p>
        </w:tc>
      </w:tr>
      <w:tr>
        <w:tc>
          <w:tcPr>
            <w:tcW w:type="dxa" w:w="260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Stack: Retention</w:t>
            </w:r>
          </w:p>
        </w:tc>
        <w:tc>
          <w:tcPr>
            <w:tcW w:type="dxa" w:w="676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Email / SMS — the list that brings them back. Tag: Email agency.</w:t>
            </w:r>
          </w:p>
        </w:tc>
      </w:tr>
      <w:tr>
        <w:tc>
          <w:tcPr>
            <w:tcW w:type="dxa" w:w="260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Benefits eyebrow</w:t>
            </w:r>
          </w:p>
        </w:tc>
        <w:tc>
          <w:tcPr>
            <w:tcW w:type="dxa" w:w="676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What our layer unlocks</w:t>
            </w:r>
          </w:p>
        </w:tc>
      </w:tr>
      <w:tr>
        <w:tc>
          <w:tcPr>
            <w:tcW w:type="dxa" w:w="260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Higher LTV</w:t>
            </w:r>
          </w:p>
        </w:tc>
        <w:tc>
          <w:tcPr>
            <w:tcW w:type="dxa" w:w="676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Bundles, upsells &amp; post-purchase flows that grow order value.</w:t>
            </w:r>
          </w:p>
        </w:tc>
      </w:tr>
      <w:tr>
        <w:tc>
          <w:tcPr>
            <w:tcW w:type="dxa" w:w="260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Fight rising CAC</w:t>
            </w:r>
          </w:p>
        </w:tc>
        <w:tc>
          <w:tcPr>
            <w:tcW w:type="dxa" w:w="676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Same ad spend, more customers — conversion beats acquisition cost.</w:t>
            </w:r>
          </w:p>
        </w:tc>
      </w:tr>
      <w:tr>
        <w:tc>
          <w:tcPr>
            <w:tcW w:type="dxa" w:w="260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Funnel congruency</w:t>
            </w:r>
          </w:p>
        </w:tc>
        <w:tc>
          <w:tcPr>
            <w:tcW w:type="dxa" w:w="676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Ad → landing → offer aligned end-to-end, no mixed messages.</w:t>
            </w:r>
          </w:p>
        </w:tc>
      </w:tr>
    </w:tbl>
    <w:p>
      <w:pPr>
        <w:pStyle w:val="Heading3"/>
        <w:spacing w:after="60" w:before="180"/>
      </w:pPr>
      <w:r>
        <w:t xml:space="preserve">Visual treatment</w:t>
      </w:r>
    </w:p>
    <w:p>
      <w:pPr>
        <w:pBdr>
          <w:left w:val="single" w:color="10B981" w:sz="12" w:space="8"/>
        </w:pBdr>
        <w:shd w:fill="F5F7F9" w:val="clear"/>
        <w:spacing w:after="60" w:before="100"/>
        <w:ind w:left="200"/>
      </w:pPr>
      <w:r>
        <w:rPr>
          <w:b/>
          <w:bCs/>
          <w:sz w:val="20"/>
          <w:szCs w:val="20"/>
        </w:rPr>
        <w:t xml:space="preserve">Visual — </w:t>
      </w:r>
      <w:r>
        <w:rPr>
          <w:i/>
          <w:iCs/>
          <w:color w:val="555555"/>
          <w:sz w:val="20"/>
          <w:szCs w:val="20"/>
        </w:rPr>
        <w:t xml:space="preserve">Three-column horizontal stack diagram. Outer columns (Acquisition, Retention) are dimmed; middle column (Conversion) is highlighted with a green border, soft glow, and a green 'This is where we come in' badge above. Below the stack: a thin green dividing line with a dot in the middle, then a 3-column benefits row with green icons + concise titles + one-line descriptions.</w:t>
      </w:r>
    </w:p>
    <w:p>
      <w:r>
        <w:br w:type="page"/>
      </w:r>
    </w:p>
    <w:p>
      <w:pPr>
        <w:pStyle w:val="Heading1"/>
        <w:spacing w:after="120" w:before="360"/>
      </w:pPr>
      <w:r>
        <w:t xml:space="preserve">Slide 3 — Revenue calculator</w:t>
      </w:r>
    </w:p>
    <w:p>
      <w:pPr>
        <w:spacing w:after="40" w:before="120"/>
      </w:pPr>
      <w:r>
        <w:rPr>
          <w:b/>
          <w:bCs/>
          <w:color w:val="10B981"/>
          <w:spacing w:val="60"/>
          <w:sz w:val="16"/>
          <w:szCs w:val="16"/>
        </w:rPr>
        <w:t xml:space="preserve">DRAG TO MODEL YOUR NUMBERS</w:t>
      </w:r>
    </w:p>
    <w:p>
      <w:pPr>
        <w:pStyle w:val="Heading3"/>
        <w:spacing w:after="60" w:before="180"/>
      </w:pPr>
      <w:r>
        <w:t xml:space="preserve">On-screen content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Headline</w:t>
            </w:r>
          </w:p>
        </w:tc>
        <w:tc>
          <w:tcPr>
            <w:tcW w:type="dxa" w:w="676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What you're leaving on the table</w:t>
            </w:r>
          </w:p>
        </w:tc>
      </w:tr>
      <w:tr>
        <w:tc>
          <w:tcPr>
            <w:tcW w:type="dxa" w:w="260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Sliders (live, interactive)</w:t>
            </w:r>
          </w:p>
        </w:tc>
        <w:tc>
          <w:tcPr>
            <w:tcW w:type="dxa" w:w="676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Monthly traffic (default 150K sessions) · Current CVR (1.8%) · Average order value (£55) · Target CVR (2.8%)</w:t>
            </w:r>
          </w:p>
        </w:tc>
      </w:tr>
      <w:tr>
        <w:tc>
          <w:tcPr>
            <w:tcW w:type="dxa" w:w="260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Output: Monthly recovered</w:t>
            </w:r>
          </w:p>
        </w:tc>
        <w:tc>
          <w:tcPr>
            <w:tcW w:type="dxa" w:w="676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£82,500 (small label)</w:t>
            </w:r>
          </w:p>
        </w:tc>
      </w:tr>
      <w:tr>
        <w:tc>
          <w:tcPr>
            <w:tcW w:type="dxa" w:w="260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Output: Annual opportunity</w:t>
            </w:r>
          </w:p>
        </w:tc>
        <w:tc>
          <w:tcPr>
            <w:tcW w:type="dxa" w:w="676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£990,000 — displayed huge, in green, with a soft glow</w:t>
            </w:r>
          </w:p>
        </w:tc>
      </w:tr>
    </w:tbl>
    <w:p>
      <w:pPr>
        <w:pStyle w:val="Heading3"/>
        <w:spacing w:after="60" w:before="180"/>
      </w:pPr>
      <w:r>
        <w:t xml:space="preserve">Visual treatment</w:t>
      </w:r>
    </w:p>
    <w:p>
      <w:pPr>
        <w:pBdr>
          <w:left w:val="single" w:color="10B981" w:sz="12" w:space="8"/>
        </w:pBdr>
        <w:shd w:fill="F5F7F9" w:val="clear"/>
        <w:spacing w:after="60" w:before="100"/>
        <w:ind w:left="200"/>
      </w:pPr>
      <w:r>
        <w:rPr>
          <w:b/>
          <w:bCs/>
          <w:sz w:val="20"/>
          <w:szCs w:val="20"/>
        </w:rPr>
        <w:t xml:space="preserve">Visual — </w:t>
      </w:r>
      <w:r>
        <w:rPr>
          <w:i/>
          <w:iCs/>
          <w:color w:val="555555"/>
          <w:sz w:val="20"/>
          <w:szCs w:val="20"/>
        </w:rPr>
        <w:t xml:space="preserve">Two-column layout. Left: stack of four labelled sliders, each with a white-fill progress bar and a bold value pill on the right. Right: two stacked output blocks — Monthly recovered (modest size) above, Annual opportunity (massive, glowing green ~6.5rem) below. Pulling the sliders updates the numbers live during the call.</w:t>
      </w:r>
    </w:p>
    <w:p>
      <w:r>
        <w:br w:type="page"/>
      </w:r>
    </w:p>
    <w:p>
      <w:pPr>
        <w:pStyle w:val="Heading1"/>
        <w:spacing w:after="120" w:before="360"/>
      </w:pPr>
      <w:r>
        <w:t xml:space="preserve">Slide 4 — Page build vs whole stack</w:t>
      </w:r>
    </w:p>
    <w:p>
      <w:pPr>
        <w:spacing w:after="40" w:before="120"/>
      </w:pPr>
      <w:r>
        <w:rPr>
          <w:b/>
          <w:bCs/>
          <w:color w:val="10B981"/>
          <w:spacing w:val="60"/>
          <w:sz w:val="16"/>
          <w:szCs w:val="16"/>
        </w:rPr>
        <w:t xml:space="preserve">WHERE THIS FITS NEXT TO A PAGE BUILD</w:t>
      </w:r>
    </w:p>
    <w:p>
      <w:pPr>
        <w:pStyle w:val="Heading3"/>
        <w:spacing w:after="60" w:before="180"/>
      </w:pPr>
      <w:r>
        <w:t xml:space="preserve">On-screen content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Headline</w:t>
            </w:r>
          </w:p>
        </w:tc>
        <w:tc>
          <w:tcPr>
            <w:tcW w:type="dxa" w:w="676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One precision tool, or the whole system.</w:t>
            </w:r>
          </w:p>
        </w:tc>
      </w:tr>
      <w:tr>
        <w:tc>
          <w:tcPr>
            <w:tcW w:type="dxa" w:w="260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Left side eyebrow</w:t>
            </w:r>
          </w:p>
        </w:tc>
        <w:tc>
          <w:tcPr>
            <w:tcW w:type="dxa" w:w="676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One page</w:t>
            </w:r>
          </w:p>
        </w:tc>
      </w:tr>
      <w:tr>
        <w:tc>
          <w:tcPr>
            <w:tcW w:type="dxa" w:w="260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Left side stack</w:t>
            </w:r>
          </w:p>
        </w:tc>
        <w:tc>
          <w:tcPr>
            <w:tcW w:type="dxa" w:w="676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Tile grid: Roadmap · Landing pages · PDPs · Cart · Checkout · Post-purchase · Bundles + AOV · A/B tests · Reporting. Only the PDPs tile is lit; everything else is ghosted.</w:t>
            </w:r>
          </w:p>
        </w:tc>
      </w:tr>
      <w:tr>
        <w:tc>
          <w:tcPr>
            <w:tcW w:type="dxa" w:w="260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Left caption</w:t>
            </w:r>
          </w:p>
        </w:tc>
        <w:tc>
          <w:tcPr>
            <w:tcW w:type="dxa" w:w="676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Scoped brief → polished asset → live.</w:t>
            </w:r>
          </w:p>
        </w:tc>
      </w:tr>
      <w:tr>
        <w:tc>
          <w:tcPr>
            <w:tcW w:type="dxa" w:w="260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Connector</w:t>
            </w:r>
          </w:p>
        </w:tc>
        <w:tc>
          <w:tcPr>
            <w:tcW w:type="dxa" w:w="676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Graduates to →</w:t>
            </w:r>
          </w:p>
        </w:tc>
      </w:tr>
      <w:tr>
        <w:tc>
          <w:tcPr>
            <w:tcW w:type="dxa" w:w="260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Right side eyebrow</w:t>
            </w:r>
          </w:p>
        </w:tc>
        <w:tc>
          <w:tcPr>
            <w:tcW w:type="dxa" w:w="676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Whole stack</w:t>
            </w:r>
          </w:p>
        </w:tc>
      </w:tr>
      <w:tr>
        <w:tc>
          <w:tcPr>
            <w:tcW w:type="dxa" w:w="260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Right side stack</w:t>
            </w:r>
          </w:p>
        </w:tc>
        <w:tc>
          <w:tcPr>
            <w:tcW w:type="dxa" w:w="676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Same tile grid — every tile lit in green.</w:t>
            </w:r>
          </w:p>
        </w:tc>
      </w:tr>
      <w:tr>
        <w:tc>
          <w:tcPr>
            <w:tcW w:type="dxa" w:w="260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Right caption</w:t>
            </w:r>
          </w:p>
        </w:tc>
        <w:tc>
          <w:tcPr>
            <w:tcW w:type="dxa" w:w="676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We own the roadmap. CVR keeps climbing.</w:t>
            </w:r>
          </w:p>
        </w:tc>
      </w:tr>
    </w:tbl>
    <w:p>
      <w:pPr>
        <w:pStyle w:val="Heading3"/>
        <w:spacing w:after="60" w:before="180"/>
      </w:pPr>
      <w:r>
        <w:t xml:space="preserve">Visual treatment</w:t>
      </w:r>
    </w:p>
    <w:p>
      <w:pPr>
        <w:pBdr>
          <w:left w:val="single" w:color="10B981" w:sz="12" w:space="8"/>
        </w:pBdr>
        <w:shd w:fill="F5F7F9" w:val="clear"/>
        <w:spacing w:after="60" w:before="100"/>
        <w:ind w:left="200"/>
      </w:pPr>
      <w:r>
        <w:rPr>
          <w:b/>
          <w:bCs/>
          <w:sz w:val="20"/>
          <w:szCs w:val="20"/>
        </w:rPr>
        <w:t xml:space="preserve">Visual — </w:t>
      </w:r>
      <w:r>
        <w:rPr>
          <w:i/>
          <w:iCs/>
          <w:color w:val="555555"/>
          <w:sz w:val="20"/>
          <w:szCs w:val="20"/>
        </w:rPr>
        <w:t xml:space="preserve">Two side-by-side 3×3 stack-tile grids. Left grid sits in a faint white-bordered panel with one green-toned tile (PDPs) lit and the rest ghosted at low opacity. Right grid sits in a green-tinted bordered panel with all 9 tiles lit-green. Between them, a vertical 'GRADUATES TO →' connector. Visual contrast IS the message — no bullet copy.</w:t>
      </w:r>
    </w:p>
    <w:p>
      <w:r>
        <w:br w:type="page"/>
      </w:r>
    </w:p>
    <w:p>
      <w:pPr>
        <w:pStyle w:val="Heading1"/>
        <w:spacing w:after="120" w:before="360"/>
      </w:pPr>
      <w:r>
        <w:t xml:space="preserve">Slide 5 — Conversion partner, not vendor</w:t>
      </w:r>
    </w:p>
    <w:p>
      <w:pPr>
        <w:spacing w:after="40" w:before="120"/>
      </w:pPr>
      <w:r>
        <w:rPr>
          <w:b/>
          <w:bCs/>
          <w:color w:val="10B981"/>
          <w:spacing w:val="60"/>
          <w:sz w:val="16"/>
          <w:szCs w:val="16"/>
        </w:rPr>
        <w:t xml:space="preserve">HOW WE SIT IN YOUR STACK</w:t>
      </w:r>
    </w:p>
    <w:p>
      <w:pPr>
        <w:pStyle w:val="Heading3"/>
        <w:spacing w:after="60" w:before="180"/>
      </w:pPr>
      <w:r>
        <w:t xml:space="preserve">On-screen content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Headline</w:t>
            </w:r>
          </w:p>
        </w:tc>
        <w:tc>
          <w:tcPr>
            <w:tcW w:type="dxa" w:w="676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Conversion partner, not vendor.</w:t>
            </w:r>
          </w:p>
        </w:tc>
      </w:tr>
      <w:tr>
        <w:tc>
          <w:tcPr>
            <w:tcW w:type="dxa" w:w="260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Top of diagram</w:t>
            </w:r>
          </w:p>
        </w:tc>
        <w:tc>
          <w:tcPr>
            <w:tcW w:type="dxa" w:w="676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'Your brand' pill with an OWNER tag above</w:t>
            </w:r>
          </w:p>
        </w:tc>
      </w:tr>
      <w:tr>
        <w:tc>
          <w:tcPr>
            <w:tcW w:type="dxa" w:w="260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Peer — Ads agency</w:t>
            </w:r>
          </w:p>
        </w:tc>
        <w:tc>
          <w:tcPr>
            <w:tcW w:type="dxa" w:w="676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Scope: Traffic in</w:t>
            </w:r>
          </w:p>
        </w:tc>
      </w:tr>
      <w:tr>
        <w:tc>
          <w:tcPr>
            <w:tcW w:type="dxa" w:w="260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Peer — Conversion Engine (highlighted)</w:t>
            </w:r>
          </w:p>
        </w:tc>
        <w:tc>
          <w:tcPr>
            <w:tcW w:type="dxa" w:w="676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Scope: Click → buy. Badge: PEER.</w:t>
            </w:r>
          </w:p>
        </w:tc>
      </w:tr>
      <w:tr>
        <w:tc>
          <w:tcPr>
            <w:tcW w:type="dxa" w:w="260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Peer — Email agency</w:t>
            </w:r>
          </w:p>
        </w:tc>
        <w:tc>
          <w:tcPr>
            <w:tcW w:type="dxa" w:w="676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Scope: Retain + LTV</w:t>
            </w:r>
          </w:p>
        </w:tc>
      </w:tr>
      <w:tr>
        <w:tc>
          <w:tcPr>
            <w:tcW w:type="dxa" w:w="260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Foot</w:t>
            </w:r>
          </w:p>
        </w:tc>
        <w:tc>
          <w:tcPr>
            <w:tcW w:type="dxa" w:w="676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We sit beside, not underneath. One owner for everything post-click.</w:t>
            </w:r>
          </w:p>
        </w:tc>
      </w:tr>
    </w:tbl>
    <w:p>
      <w:pPr>
        <w:pStyle w:val="Heading3"/>
        <w:spacing w:after="60" w:before="180"/>
      </w:pPr>
      <w:r>
        <w:t xml:space="preserve">Visual treatment</w:t>
      </w:r>
    </w:p>
    <w:p>
      <w:pPr>
        <w:pBdr>
          <w:left w:val="single" w:color="10B981" w:sz="12" w:space="8"/>
        </w:pBdr>
        <w:shd w:fill="F5F7F9" w:val="clear"/>
        <w:spacing w:after="60" w:before="100"/>
        <w:ind w:left="200"/>
      </w:pPr>
      <w:r>
        <w:rPr>
          <w:b/>
          <w:bCs/>
          <w:sz w:val="20"/>
          <w:szCs w:val="20"/>
        </w:rPr>
        <w:t xml:space="preserve">Visual — </w:t>
      </w:r>
      <w:r>
        <w:rPr>
          <w:i/>
          <w:iCs/>
          <w:color w:val="555555"/>
          <w:sz w:val="20"/>
          <w:szCs w:val="20"/>
        </w:rPr>
        <w:t xml:space="preserve">Centered org chart. 'Your brand' pill at the top (with a small OWNER eyebrow above the pill). Three vertical drop-lines descend to a row of three peer cards. Outer cards (Ads / Email agency) are dimmed; middle card (Conversion Engine) is highlighted with a green border, soft green glow, and a green PEER badge attached to the top centre. Each card has a small icon, the agency name, and an uppercase scope tag.</w:t>
      </w:r>
    </w:p>
    <w:p>
      <w:r>
        <w:br w:type="page"/>
      </w:r>
    </w:p>
    <w:p>
      <w:pPr>
        <w:pStyle w:val="Heading1"/>
        <w:spacing w:after="120" w:before="360"/>
      </w:pPr>
      <w:r>
        <w:t xml:space="preserve">Slide 6 — What's in the monthly scope</w:t>
      </w:r>
    </w:p>
    <w:p>
      <w:pPr>
        <w:spacing w:after="40" w:before="120"/>
      </w:pPr>
      <w:r>
        <w:rPr>
          <w:b/>
          <w:bCs/>
          <w:color w:val="10B981"/>
          <w:spacing w:val="60"/>
          <w:sz w:val="16"/>
          <w:szCs w:val="16"/>
        </w:rPr>
        <w:t xml:space="preserve">EVERYTHING POST-CLICK, ONE RETAINER</w:t>
      </w:r>
    </w:p>
    <w:p>
      <w:pPr>
        <w:pStyle w:val="Heading3"/>
        <w:spacing w:after="60" w:before="180"/>
      </w:pPr>
      <w:r>
        <w:t xml:space="preserve">On-screen content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Headline</w:t>
            </w:r>
          </w:p>
        </w:tc>
        <w:tc>
          <w:tcPr>
            <w:tcW w:type="dxa" w:w="676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What's in the monthly scope.</w:t>
            </w:r>
          </w:p>
        </w:tc>
      </w:tr>
      <w:tr>
        <w:tc>
          <w:tcPr>
            <w:tcW w:type="dxa" w:w="260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Card — STRATEGY</w:t>
            </w:r>
          </w:p>
        </w:tc>
        <w:tc>
          <w:tcPr>
            <w:tcW w:type="dxa" w:w="676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Rolling roadmap — Live in Miro, updated weekly</w:t>
            </w:r>
          </w:p>
        </w:tc>
      </w:tr>
      <w:tr>
        <w:tc>
          <w:tcPr>
            <w:tcW w:type="dxa" w:w="260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Card — EXECUTION</w:t>
            </w:r>
          </w:p>
        </w:tc>
        <w:tc>
          <w:tcPr>
            <w:tcW w:type="dxa" w:w="676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Page builds — PDPs, landers, advertorials</w:t>
            </w:r>
          </w:p>
        </w:tc>
      </w:tr>
      <w:tr>
        <w:tc>
          <w:tcPr>
            <w:tcW w:type="dxa" w:w="260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Card — EXECUTION</w:t>
            </w:r>
          </w:p>
        </w:tc>
        <w:tc>
          <w:tcPr>
            <w:tcW w:type="dxa" w:w="676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A/B testing — Cadence tiered to your traffic</w:t>
            </w:r>
          </w:p>
        </w:tc>
      </w:tr>
      <w:tr>
        <w:tc>
          <w:tcPr>
            <w:tcW w:type="dxa" w:w="260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Card — OPTIMISATION</w:t>
            </w:r>
          </w:p>
        </w:tc>
        <w:tc>
          <w:tcPr>
            <w:tcW w:type="dxa" w:w="676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AOV + LTV — Bundles, upsells, post-purchase</w:t>
            </w:r>
          </w:p>
        </w:tc>
      </w:tr>
      <w:tr>
        <w:tc>
          <w:tcPr>
            <w:tcW w:type="dxa" w:w="260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Card — OPTIMISATION</w:t>
            </w:r>
          </w:p>
        </w:tc>
        <w:tc>
          <w:tcPr>
            <w:tcW w:type="dxa" w:w="676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Offer + positioning — Hero, value props, proof</w:t>
            </w:r>
          </w:p>
        </w:tc>
      </w:tr>
      <w:tr>
        <w:tc>
          <w:tcPr>
            <w:tcW w:type="dxa" w:w="260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Card — REPORTING</w:t>
            </w:r>
          </w:p>
        </w:tc>
        <w:tc>
          <w:tcPr>
            <w:tcW w:type="dxa" w:w="676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Monthly readout — What shipped. What moved. What's next.</w:t>
            </w:r>
          </w:p>
        </w:tc>
      </w:tr>
      <w:tr>
        <w:tc>
          <w:tcPr>
            <w:tcW w:type="dxa" w:w="260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Foot</w:t>
            </w:r>
          </w:p>
        </w:tc>
        <w:tc>
          <w:tcPr>
            <w:tcW w:type="dxa" w:w="676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No à la carte. No per-page upcharges. One retainer, one team.</w:t>
            </w:r>
          </w:p>
        </w:tc>
      </w:tr>
    </w:tbl>
    <w:p>
      <w:pPr>
        <w:pStyle w:val="Heading3"/>
        <w:spacing w:after="60" w:before="180"/>
      </w:pPr>
      <w:r>
        <w:t xml:space="preserve">Visual treatment</w:t>
      </w:r>
    </w:p>
    <w:p>
      <w:pPr>
        <w:pBdr>
          <w:left w:val="single" w:color="10B981" w:sz="12" w:space="8"/>
        </w:pBdr>
        <w:shd w:fill="F5F7F9" w:val="clear"/>
        <w:spacing w:after="60" w:before="100"/>
        <w:ind w:left="200"/>
      </w:pPr>
      <w:r>
        <w:rPr>
          <w:b/>
          <w:bCs/>
          <w:sz w:val="20"/>
          <w:szCs w:val="20"/>
        </w:rPr>
        <w:t xml:space="preserve">Visual — </w:t>
      </w:r>
      <w:r>
        <w:rPr>
          <w:i/>
          <w:iCs/>
          <w:color w:val="555555"/>
          <w:sz w:val="20"/>
          <w:szCs w:val="20"/>
        </w:rPr>
        <w:t xml:space="preserve">3×2 grid of bordered cards on a subtle dark surface. Each card has: a small green uppercase group eyebrow at the top (STRATEGY / EXECUTION / OPTIMISATION / REPORTING), an outline icon, a bold title, and a one-line description. Hover state warms the border to green. Cards are intentionally regular-sized so the grouping reads as a coordinated system, not a menu.</w:t>
      </w:r>
    </w:p>
    <w:p>
      <w:r>
        <w:br w:type="page"/>
      </w:r>
    </w:p>
    <w:p>
      <w:pPr>
        <w:pStyle w:val="Heading1"/>
        <w:spacing w:after="120" w:before="360"/>
      </w:pPr>
      <w:r>
        <w:t xml:space="preserve">Slide 7 — The rhythm</w:t>
      </w:r>
    </w:p>
    <w:p>
      <w:pPr>
        <w:spacing w:after="40" w:before="120"/>
      </w:pPr>
      <w:r>
        <w:rPr>
          <w:b/>
          <w:bCs/>
          <w:color w:val="10B981"/>
          <w:spacing w:val="60"/>
          <w:sz w:val="16"/>
          <w:szCs w:val="16"/>
        </w:rPr>
        <w:t xml:space="preserve">EVERY MONTH, ON CADENCE</w:t>
      </w:r>
    </w:p>
    <w:p>
      <w:pPr>
        <w:pStyle w:val="Heading3"/>
        <w:spacing w:after="60" w:before="180"/>
      </w:pPr>
      <w:r>
        <w:t xml:space="preserve">On-screen content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Headline</w:t>
            </w:r>
          </w:p>
        </w:tc>
        <w:tc>
          <w:tcPr>
            <w:tcW w:type="dxa" w:w="676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The rhythm.</w:t>
            </w:r>
          </w:p>
        </w:tc>
      </w:tr>
      <w:tr>
        <w:tc>
          <w:tcPr>
            <w:tcW w:type="dxa" w:w="260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Step 1 — Week 1</w:t>
            </w:r>
          </w:p>
        </w:tc>
        <w:tc>
          <w:tcPr>
            <w:tcW w:type="dxa" w:w="676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Strategy — Roadmap update, priority review</w:t>
            </w:r>
          </w:p>
        </w:tc>
      </w:tr>
      <w:tr>
        <w:tc>
          <w:tcPr>
            <w:tcW w:type="dxa" w:w="260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Step 2 — Weeks 2–3</w:t>
            </w:r>
          </w:p>
        </w:tc>
        <w:tc>
          <w:tcPr>
            <w:tcW w:type="dxa" w:w="676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Design + build — Figma → dev → staging</w:t>
            </w:r>
          </w:p>
        </w:tc>
      </w:tr>
      <w:tr>
        <w:tc>
          <w:tcPr>
            <w:tcW w:type="dxa" w:w="260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Step 3 — Week 4</w:t>
            </w:r>
          </w:p>
        </w:tc>
        <w:tc>
          <w:tcPr>
            <w:tcW w:type="dxa" w:w="676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Live, test, learn — Ship, measure, feed next cycle</w:t>
            </w:r>
          </w:p>
        </w:tc>
      </w:tr>
      <w:tr>
        <w:tc>
          <w:tcPr>
            <w:tcW w:type="dxa" w:w="260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Loop indicator</w:t>
            </w:r>
          </w:p>
        </w:tc>
        <w:tc>
          <w:tcPr>
            <w:tcW w:type="dxa" w:w="676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Repeats monthly</w:t>
            </w:r>
          </w:p>
        </w:tc>
      </w:tr>
      <w:tr>
        <w:tc>
          <w:tcPr>
            <w:tcW w:type="dxa" w:w="260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Foot</w:t>
            </w:r>
          </w:p>
        </w:tc>
        <w:tc>
          <w:tcPr>
            <w:tcW w:type="dxa" w:w="676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Every week you see progress. Every month you see numbers. Every quarter, the lift compounds.</w:t>
            </w:r>
          </w:p>
        </w:tc>
      </w:tr>
    </w:tbl>
    <w:p>
      <w:pPr>
        <w:pStyle w:val="Heading3"/>
        <w:spacing w:after="60" w:before="180"/>
      </w:pPr>
      <w:r>
        <w:t xml:space="preserve">Visual treatment</w:t>
      </w:r>
    </w:p>
    <w:p>
      <w:pPr>
        <w:pBdr>
          <w:left w:val="single" w:color="10B981" w:sz="12" w:space="8"/>
        </w:pBdr>
        <w:shd w:fill="F5F7F9" w:val="clear"/>
        <w:spacing w:after="60" w:before="100"/>
        <w:ind w:left="200"/>
      </w:pPr>
      <w:r>
        <w:rPr>
          <w:b/>
          <w:bCs/>
          <w:sz w:val="20"/>
          <w:szCs w:val="20"/>
        </w:rPr>
        <w:t xml:space="preserve">Visual — </w:t>
      </w:r>
      <w:r>
        <w:rPr>
          <w:i/>
          <w:iCs/>
          <w:color w:val="555555"/>
          <w:sz w:val="20"/>
          <w:szCs w:val="20"/>
        </w:rPr>
        <w:t xml:space="preserve">Three numbered nodes connected by a thin horizontal line. Each node has a circular green-bordered numeral, a green WEEK eyebrow, a bold title, and a one-line description. To the right of step 3, a curved arrow loops back with a small uppercase 'REPEATS MONTHLY' label, signalling the cycle compounds rather than ends.</w:t>
      </w:r>
    </w:p>
    <w:p>
      <w:r>
        <w:br w:type="page"/>
      </w:r>
    </w:p>
    <w:p>
      <w:pPr>
        <w:pStyle w:val="Heading1"/>
        <w:spacing w:after="120" w:before="360"/>
      </w:pPr>
      <w:r>
        <w:t xml:space="preserve">Slide 8 — Proof</w:t>
      </w:r>
    </w:p>
    <w:p>
      <w:pPr>
        <w:spacing w:after="40" w:before="120"/>
      </w:pPr>
      <w:r>
        <w:rPr>
          <w:b/>
          <w:bCs/>
          <w:color w:val="10B981"/>
          <w:spacing w:val="60"/>
          <w:sz w:val="16"/>
          <w:szCs w:val="16"/>
        </w:rPr>
        <w:t xml:space="preserve">REAL BRANDS · REAL LIFTS · COMPOUNDING</w:t>
      </w:r>
    </w:p>
    <w:p>
      <w:pPr>
        <w:pStyle w:val="Heading3"/>
        <w:spacing w:after="60" w:before="180"/>
      </w:pPr>
      <w:r>
        <w:t xml:space="preserve">On-screen content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Headline</w:t>
            </w:r>
          </w:p>
        </w:tc>
        <w:tc>
          <w:tcPr>
            <w:tcW w:type="dxa" w:w="676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Proof.</w:t>
            </w:r>
          </w:p>
        </w:tc>
      </w:tr>
      <w:tr>
        <w:tc>
          <w:tcPr>
            <w:tcW w:type="dxa" w:w="260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Win 1</w:t>
            </w:r>
          </w:p>
        </w:tc>
        <w:tc>
          <w:tcPr>
            <w:tcW w:type="dxa" w:w="676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+22% · Anglo Spirit · HERO LANDER · Cold-traffic CVR on a rebuilt hero lander</w:t>
            </w:r>
          </w:p>
        </w:tc>
      </w:tr>
      <w:tr>
        <w:tc>
          <w:tcPr>
            <w:tcW w:type="dxa" w:w="260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Win 2</w:t>
            </w:r>
          </w:p>
        </w:tc>
        <w:tc>
          <w:tcPr>
            <w:tcW w:type="dxa" w:w="676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+14% · Client Y · CART BUNDLE · AOV via a cart-level bundle</w:t>
            </w:r>
          </w:p>
        </w:tc>
      </w:tr>
      <w:tr>
        <w:tc>
          <w:tcPr>
            <w:tcW w:type="dxa" w:w="260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Win 3</w:t>
            </w:r>
          </w:p>
        </w:tc>
        <w:tc>
          <w:tcPr>
            <w:tcW w:type="dxa" w:w="676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+7% · Client Z · STICKY ATC · Mobile PDP CVR with sticky ATC</w:t>
            </w:r>
          </w:p>
        </w:tc>
      </w:tr>
    </w:tbl>
    <w:p>
      <w:pPr>
        <w:pStyle w:val="Heading3"/>
        <w:spacing w:after="60" w:before="180"/>
      </w:pPr>
      <w:r>
        <w:t xml:space="preserve">Visual treatment</w:t>
      </w:r>
    </w:p>
    <w:p>
      <w:pPr>
        <w:pBdr>
          <w:left w:val="single" w:color="10B981" w:sz="12" w:space="8"/>
        </w:pBdr>
        <w:shd w:fill="F5F7F9" w:val="clear"/>
        <w:spacing w:after="60" w:before="100"/>
        <w:ind w:left="200"/>
      </w:pPr>
      <w:r>
        <w:rPr>
          <w:b/>
          <w:bCs/>
          <w:sz w:val="20"/>
          <w:szCs w:val="20"/>
        </w:rPr>
        <w:t xml:space="preserve">Visual — </w:t>
      </w:r>
      <w:r>
        <w:rPr>
          <w:i/>
          <w:iCs/>
          <w:color w:val="555555"/>
          <w:sz w:val="20"/>
          <w:szCs w:val="20"/>
        </w:rPr>
        <w:t xml:space="preserve">Three side-by-side bordered cards. Each card opens with a huge green percentage figure (~4.5rem), then a soft green sparkline rising underneath, then a thin separator. Below the separator: a meta row with the brand name (bold) and a bordered uppercase lever pill (HERO LANDER / CART BUNDLE / STICKY ATC). Final line: one-line detail of what changed. Cards are designed to be swapped per-vertical before each call.</w:t>
      </w:r>
    </w:p>
    <w:p>
      <w:r>
        <w:br w:type="page"/>
      </w:r>
    </w:p>
    <w:p>
      <w:pPr>
        <w:pStyle w:val="Heading1"/>
        <w:spacing w:after="120" w:before="360"/>
      </w:pPr>
      <w:r>
        <w:t xml:space="preserve">Slide 9 — The investment</w:t>
      </w:r>
    </w:p>
    <w:p>
      <w:pPr>
        <w:spacing w:after="40" w:before="120"/>
      </w:pPr>
      <w:r>
        <w:rPr>
          <w:b/>
          <w:bCs/>
          <w:color w:val="10B981"/>
          <w:spacing w:val="60"/>
          <w:sz w:val="16"/>
          <w:szCs w:val="16"/>
        </w:rPr>
        <w:t xml:space="preserve">INVESTMENT VS RETURN</w:t>
      </w:r>
    </w:p>
    <w:p>
      <w:pPr>
        <w:pStyle w:val="Heading3"/>
        <w:spacing w:after="60" w:before="180"/>
      </w:pPr>
      <w:r>
        <w:t xml:space="preserve">On-screen content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Headline</w:t>
            </w:r>
          </w:p>
        </w:tc>
        <w:tc>
          <w:tcPr>
            <w:tcW w:type="dxa" w:w="676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The investment.</w:t>
            </w:r>
          </w:p>
        </w:tc>
      </w:tr>
      <w:tr>
        <w:tc>
          <w:tcPr>
            <w:tcW w:type="dxa" w:w="260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Bar — You invest</w:t>
            </w:r>
          </w:p>
        </w:tc>
        <w:tc>
          <w:tcPr>
            <w:tcW w:type="dxa" w:w="676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£8,000/mo (small grey/white-stroke bar)</w:t>
            </w:r>
          </w:p>
        </w:tc>
      </w:tr>
      <w:tr>
        <w:tc>
          <w:tcPr>
            <w:tcW w:type="dxa" w:w="260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Bar — You recover</w:t>
            </w:r>
          </w:p>
        </w:tc>
        <w:tc>
          <w:tcPr>
            <w:tcW w:type="dxa" w:w="676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£82,500/mo (huge green-gradient bar with green glow)</w:t>
            </w:r>
          </w:p>
        </w:tc>
      </w:tr>
      <w:tr>
        <w:tc>
          <w:tcPr>
            <w:tcW w:type="dxa" w:w="260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ROI metric — Return multiple</w:t>
            </w:r>
          </w:p>
        </w:tc>
        <w:tc>
          <w:tcPr>
            <w:tcW w:type="dxa" w:w="676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10.3× (green)</w:t>
            </w:r>
          </w:p>
        </w:tc>
      </w:tr>
      <w:tr>
        <w:tc>
          <w:tcPr>
            <w:tcW w:type="dxa" w:w="260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ROI metric — Annual gain</w:t>
            </w:r>
          </w:p>
        </w:tc>
        <w:tc>
          <w:tcPr>
            <w:tcW w:type="dxa" w:w="676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£990,000</w:t>
            </w:r>
          </w:p>
        </w:tc>
      </w:tr>
      <w:tr>
        <w:tc>
          <w:tcPr>
            <w:tcW w:type="dxa" w:w="260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ROI metric — Breakeven CVR lift</w:t>
            </w:r>
          </w:p>
        </w:tc>
        <w:tc>
          <w:tcPr>
            <w:tcW w:type="dxa" w:w="676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0.10%</w:t>
            </w:r>
          </w:p>
        </w:tc>
      </w:tr>
      <w:tr>
        <w:tc>
          <w:tcPr>
            <w:tcW w:type="dxa" w:w="260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Pills (terms)</w:t>
            </w:r>
          </w:p>
        </w:tc>
        <w:tc>
          <w:tcPr>
            <w:tcW w:type="dxa" w:w="676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£8K/mo flat · 90-day minimum · 30-day notice from M4 · No setup, no upcharges</w:t>
            </w:r>
          </w:p>
        </w:tc>
      </w:tr>
    </w:tbl>
    <w:p>
      <w:pPr>
        <w:pStyle w:val="Heading3"/>
        <w:spacing w:after="60" w:before="180"/>
      </w:pPr>
      <w:r>
        <w:t xml:space="preserve">Visual treatment</w:t>
      </w:r>
    </w:p>
    <w:p>
      <w:pPr>
        <w:pBdr>
          <w:left w:val="single" w:color="10B981" w:sz="12" w:space="8"/>
        </w:pBdr>
        <w:shd w:fill="F5F7F9" w:val="clear"/>
        <w:spacing w:after="60" w:before="100"/>
        <w:ind w:left="200"/>
      </w:pPr>
      <w:r>
        <w:rPr>
          <w:b/>
          <w:bCs/>
          <w:sz w:val="20"/>
          <w:szCs w:val="20"/>
        </w:rPr>
        <w:t xml:space="preserve">Visual — </w:t>
      </w:r>
      <w:r>
        <w:rPr>
          <w:i/>
          <w:iCs/>
          <w:color w:val="555555"/>
          <w:sz w:val="20"/>
          <w:szCs w:val="20"/>
        </w:rPr>
        <w:t xml:space="preserve">Two stacked horizontal bars at a deliberate ~1:10 ratio. Top bar (You invest) is small, neutral grey-white-bordered. Bottom bar (You recover) is wide and filled with a green gradient, throwing a soft green glow. Below the bars: a 3-column ROI summary row (large numbers, with Return multiple in green) bracketed by thin top + bottom dividers. At the very bottom: four neat pill chips listing the commercial terms at a glance.</w:t>
      </w:r>
    </w:p>
    <w:p>
      <w:r>
        <w:br w:type="page"/>
      </w:r>
    </w:p>
    <w:p>
      <w:pPr>
        <w:pStyle w:val="Heading1"/>
        <w:spacing w:after="120" w:before="360"/>
      </w:pPr>
      <w:r>
        <w:t xml:space="preserve">Slide 10 — Next step</w:t>
      </w:r>
    </w:p>
    <w:p>
      <w:pPr>
        <w:spacing w:after="40" w:before="120"/>
      </w:pPr>
      <w:r>
        <w:rPr>
          <w:b/>
          <w:bCs/>
          <w:color w:val="10B981"/>
          <w:spacing w:val="60"/>
          <w:sz w:val="16"/>
          <w:szCs w:val="16"/>
        </w:rPr>
        <w:t xml:space="preserve">ONE STEP FROM HERE</w:t>
      </w:r>
    </w:p>
    <w:p>
      <w:pPr>
        <w:pStyle w:val="Heading3"/>
        <w:spacing w:after="60" w:before="180"/>
      </w:pPr>
      <w:r>
        <w:t xml:space="preserve">On-screen content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Headline</w:t>
            </w:r>
          </w:p>
        </w:tc>
        <w:tc>
          <w:tcPr>
            <w:tcW w:type="dxa" w:w="676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Next step.</w:t>
            </w:r>
          </w:p>
        </w:tc>
      </w:tr>
      <w:tr>
        <w:tc>
          <w:tcPr>
            <w:tcW w:type="dxa" w:w="260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Hero card — tag</w:t>
            </w:r>
          </w:p>
        </w:tc>
        <w:tc>
          <w:tcPr>
            <w:tcW w:type="dxa" w:w="676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STRATEGY CALL</w:t>
            </w:r>
          </w:p>
        </w:tc>
      </w:tr>
      <w:tr>
        <w:tc>
          <w:tcPr>
            <w:tcW w:type="dxa" w:w="260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Hero card — title</w:t>
            </w:r>
          </w:p>
        </w:tc>
        <w:tc>
          <w:tcPr>
            <w:tcW w:type="dxa" w:w="676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Align on the first 90 days.</w:t>
            </w:r>
          </w:p>
        </w:tc>
      </w:tr>
      <w:tr>
        <w:tc>
          <w:tcPr>
            <w:tcW w:type="dxa" w:w="260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Hero card — description</w:t>
            </w:r>
          </w:p>
        </w:tc>
        <w:tc>
          <w:tcPr>
            <w:tcW w:type="dxa" w:w="676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No deck, no pitch — just the plan. We walk through the roadmap, the leak points, the math.</w:t>
            </w:r>
          </w:p>
        </w:tc>
      </w:tr>
      <w:tr>
        <w:tc>
          <w:tcPr>
            <w:tcW w:type="dxa" w:w="260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Hero card — meta</w:t>
            </w:r>
          </w:p>
        </w:tc>
        <w:tc>
          <w:tcPr>
            <w:tcW w:type="dxa" w:w="676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30 min · Google Meet · No prep needed</w:t>
            </w:r>
          </w:p>
        </w:tc>
      </w:tr>
      <w:tr>
        <w:tc>
          <w:tcPr>
            <w:tcW w:type="dxa" w:w="260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Hero card — primary CTA</w:t>
            </w:r>
          </w:p>
        </w:tc>
        <w:tc>
          <w:tcPr>
            <w:tcW w:type="dxa" w:w="676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Book a slot → (large green button, links to cal.com/ecomlanders)</w:t>
            </w:r>
          </w:p>
        </w:tc>
      </w:tr>
      <w:tr>
        <w:tc>
          <w:tcPr>
            <w:tcW w:type="dxa" w:w="260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Secondary line</w:t>
            </w:r>
          </w:p>
        </w:tc>
        <w:tc>
          <w:tcPr>
            <w:tcW w:type="dxa" w:w="6760"/>
            <w:tcBorders>
              <w:top w:val="single" w:color="D5D5DA" w:sz="4"/>
              <w:left w:val="single" w:color="D5D5DA" w:sz="4"/>
              <w:bottom w:val="single" w:color="D5D5DA" w:sz="4"/>
              <w:right w:val="single" w:color="D5D5D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Want the full revenue model first? Email us for a deep-dive audit — custom-built from your analytics, includes a 90-day roadmap draft.</w:t>
            </w:r>
          </w:p>
        </w:tc>
      </w:tr>
    </w:tbl>
    <w:p>
      <w:pPr>
        <w:pStyle w:val="Heading3"/>
        <w:spacing w:after="60" w:before="180"/>
      </w:pPr>
      <w:r>
        <w:t xml:space="preserve">Visual treatment</w:t>
      </w:r>
    </w:p>
    <w:p>
      <w:pPr>
        <w:pBdr>
          <w:left w:val="single" w:color="10B981" w:sz="12" w:space="8"/>
        </w:pBdr>
        <w:shd w:fill="F5F7F9" w:val="clear"/>
        <w:spacing w:after="60" w:before="100"/>
        <w:ind w:left="200"/>
      </w:pPr>
      <w:r>
        <w:rPr>
          <w:b/>
          <w:bCs/>
          <w:sz w:val="20"/>
          <w:szCs w:val="20"/>
        </w:rPr>
        <w:t xml:space="preserve">Visual — </w:t>
      </w:r>
      <w:r>
        <w:rPr>
          <w:i/>
          <w:iCs/>
          <w:color w:val="555555"/>
          <w:sz w:val="20"/>
          <w:szCs w:val="20"/>
        </w:rPr>
        <w:t xml:space="preserve">One large green-tinted hero card with two columns. Left column: copy stack (tag → bold title → description → meta inline → big green Book a slot CTA). Right column: a stylised mini-calendar — Mon-Fri header row, then 4 rows of square availability cells, with one cell glowing bright green (a 'hot' open slot) and several others lit at low green opacity. Below the hero, a single subdued line offers the deep-dive audit as a secondary path, with the email link inline.</w:t>
      </w:r>
    </w:p>
    <w:p>
      <w:r>
        <w:br w:type="page"/>
      </w:r>
    </w:p>
    <w:p>
      <w:pPr>
        <w:pStyle w:val="Heading2"/>
        <w:spacing w:after="80" w:before="240"/>
      </w:pPr>
      <w:r>
        <w:t xml:space="preserve">Review notes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Where to redline: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Slide 2 — Higher LTV / Fight rising CAC / Funnel congruency: are these the three benefits we want leading?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Slide 4 — confirm the 9 tile labels match how we actually scope work.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Slide 6 — six items vs five (added Offer + positioning); confirm or trim.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Slide 8 — Client Y / Client Z need real brand names before this goes to a prospect.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Slide 9 — terms pills currently say £8K/mo flat; confirm we're not exploring tiered pricing.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Slide 10 — should the secondary 'deep-dive audit' line live on this slide, or its own?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color w:val="1B1B1B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1B1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B1B1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2026-05-01T15:21:38.599Z</dcterms:created>
  <dcterms:modified xsi:type="dcterms:W3CDTF">2026-05-01T15:21:38.600Z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