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C0D6" w14:textId="16606698" w:rsidR="00202138" w:rsidRPr="00677D43" w:rsidRDefault="00202138" w:rsidP="00677D43">
      <w:pPr>
        <w:pStyle w:val="ListParagraph"/>
        <w:numPr>
          <w:ilvl w:val="0"/>
          <w:numId w:val="1"/>
        </w:numPr>
        <w:rPr>
          <w:b/>
          <w:bCs/>
          <w:u w:val="single"/>
        </w:rPr>
      </w:pPr>
      <w:r w:rsidRPr="00677D43">
        <w:rPr>
          <w:b/>
          <w:bCs/>
          <w:u w:val="single"/>
        </w:rPr>
        <w:t>Executive Summary</w:t>
      </w:r>
    </w:p>
    <w:p w14:paraId="520D72F6" w14:textId="77777777" w:rsidR="00202138" w:rsidRPr="00202138" w:rsidRDefault="00202138" w:rsidP="00202138"/>
    <w:p w14:paraId="7710B53E" w14:textId="28A4FFBA" w:rsidR="00202138" w:rsidRPr="00202138" w:rsidRDefault="00202138" w:rsidP="00202138">
      <w:r w:rsidRPr="00202138">
        <w:t>This report evaluated how external pressures and internal operations affect Shell plc’s position in the energy sector in response to ESG stakeholder demands. This report applies four frameworks consisting of PESTLE analysis, Porter's 5 Forces, Value Chain analysis, and McKinsey’s 7S, to evaluate Shell plc’s performance and recommend strategies that ensure the company's long-term sustainability in the energy sector.</w:t>
      </w:r>
    </w:p>
    <w:p w14:paraId="5706141E" w14:textId="77777777" w:rsidR="00202138" w:rsidRPr="00202138" w:rsidRDefault="00202138" w:rsidP="00202138">
      <w:r w:rsidRPr="00202138">
        <w:t>The analysis of Shell plc highlights the underutilisation of its free cash flow, with $16.9 billion remaining from 2024, which should be invested in reducing the gender gap in senior leadership roles in North America, mitigating the risk of worker harm through technological developments, and research and development to decarbonise. These strategic issues negatively impact Shell plc’s reputation, as regulatory ESG pressure encourages innovation in its operations.</w:t>
      </w:r>
    </w:p>
    <w:p w14:paraId="1F3EA1D6" w14:textId="77777777" w:rsidR="00202138" w:rsidRPr="00202138" w:rsidRDefault="00202138" w:rsidP="00202138">
      <w:r w:rsidRPr="00202138">
        <w:t>The strategic recommendations included in this report are investments in tech-heavy wearable safety gloves that reduce workplace injuries and applying gamification to condition safety behavioural traits in the workforce. These strategies are critical to sustaining Shell plc's long-term viability as the energy sector undergoes a policy-driven shift, leading to stricter safety and environmental regulations.</w:t>
      </w:r>
    </w:p>
    <w:p w14:paraId="5B7D231D" w14:textId="77777777" w:rsidR="00202138" w:rsidRDefault="00202138" w:rsidP="00202138"/>
    <w:p w14:paraId="40D3478A" w14:textId="211270C6" w:rsidR="00202138" w:rsidRPr="00202138" w:rsidRDefault="00202138" w:rsidP="00202138">
      <w:pPr>
        <w:rPr>
          <w:b/>
          <w:bCs/>
          <w:u w:val="single"/>
        </w:rPr>
      </w:pPr>
      <w:r w:rsidRPr="00202138">
        <w:rPr>
          <w:b/>
          <w:bCs/>
          <w:u w:val="single"/>
        </w:rPr>
        <w:t xml:space="preserve">Table of Contents </w:t>
      </w:r>
    </w:p>
    <w:p w14:paraId="7F2C7E0C" w14:textId="42358707" w:rsidR="006C1FDC" w:rsidRPr="006C1FDC" w:rsidRDefault="006C1FDC" w:rsidP="006C1FDC"/>
    <w:p w14:paraId="68EC8A2B" w14:textId="3CCC80A4" w:rsidR="006C1FDC" w:rsidRPr="006C1FDC" w:rsidRDefault="006C1FDC" w:rsidP="006C1FDC">
      <w:r w:rsidRPr="006C1FDC">
        <w:t> 1 Executive Summary</w:t>
      </w:r>
      <w:r w:rsidR="005A082D">
        <w:t xml:space="preserve"> I</w:t>
      </w:r>
    </w:p>
    <w:p w14:paraId="557D7E8B" w14:textId="489F1A22" w:rsidR="006C1FDC" w:rsidRPr="006C1FDC" w:rsidRDefault="006C1FDC" w:rsidP="006C1FDC">
      <w:r w:rsidRPr="006C1FDC">
        <w:t> 2 Introduction to Shell plc</w:t>
      </w:r>
      <w:r w:rsidR="005A082D">
        <w:t xml:space="preserve"> II</w:t>
      </w:r>
    </w:p>
    <w:p w14:paraId="4A6C7C0D" w14:textId="2E0CA397" w:rsidR="006C1FDC" w:rsidRPr="006C1FDC" w:rsidRDefault="006C1FDC" w:rsidP="006C1FDC">
      <w:r w:rsidRPr="006C1FDC">
        <w:t> 3 Organisational Background of Shell plc</w:t>
      </w:r>
      <w:r w:rsidR="005A082D">
        <w:t xml:space="preserve"> III</w:t>
      </w:r>
    </w:p>
    <w:p w14:paraId="3EDFEB98" w14:textId="3EE7C73F" w:rsidR="006C1FDC" w:rsidRPr="006C1FDC" w:rsidRDefault="006C1FDC" w:rsidP="006C1FDC">
      <w:r w:rsidRPr="006C1FDC">
        <w:t> 4 Internal Organisational Analysis</w:t>
      </w:r>
      <w:r w:rsidR="005A082D">
        <w:t xml:space="preserve"> III</w:t>
      </w:r>
    </w:p>
    <w:p w14:paraId="2F5DFD23" w14:textId="35D20A14" w:rsidR="006C1FDC" w:rsidRPr="006C1FDC" w:rsidRDefault="006C1FDC" w:rsidP="006C1FDC">
      <w:r w:rsidRPr="006C1FDC">
        <w:t>4.1 Value Chain Analysis and McKinsey 7S Framework</w:t>
      </w:r>
      <w:r w:rsidR="005A082D">
        <w:t xml:space="preserve"> III</w:t>
      </w:r>
    </w:p>
    <w:p w14:paraId="43C4F62A" w14:textId="10C529F8" w:rsidR="006C1FDC" w:rsidRPr="006C1FDC" w:rsidRDefault="006C1FDC" w:rsidP="006C1FDC">
      <w:r w:rsidRPr="006C1FDC">
        <w:t xml:space="preserve">4.2 Organisational Culture and Human Resource Management in North America </w:t>
      </w:r>
      <w:r w:rsidR="005A082D">
        <w:t>IV</w:t>
      </w:r>
    </w:p>
    <w:p w14:paraId="762489EA" w14:textId="36E34CE6" w:rsidR="006C1FDC" w:rsidRPr="006C1FDC" w:rsidRDefault="006C1FDC" w:rsidP="006C1FDC">
      <w:r w:rsidRPr="006C1FDC">
        <w:t xml:space="preserve">4.3 Firm Infrastructure, Strategy and Leadership Style </w:t>
      </w:r>
      <w:r w:rsidR="005A082D">
        <w:t>IV</w:t>
      </w:r>
    </w:p>
    <w:p w14:paraId="72CBBBFC" w14:textId="1A612A56" w:rsidR="006C1FDC" w:rsidRPr="006C1FDC" w:rsidRDefault="006C1FDC" w:rsidP="006C1FDC">
      <w:r w:rsidRPr="006C1FDC">
        <w:t xml:space="preserve">4.4 Operations, Systems, and Technological Development </w:t>
      </w:r>
      <w:r w:rsidR="005A082D">
        <w:t>IV</w:t>
      </w:r>
    </w:p>
    <w:p w14:paraId="0CF794A2" w14:textId="1CA1DAAB" w:rsidR="006C1FDC" w:rsidRPr="006C1FDC" w:rsidRDefault="006C1FDC" w:rsidP="006C1FDC">
      <w:r w:rsidRPr="006C1FDC">
        <w:t xml:space="preserve">4.5 Procurement, Logistics, Marketing and Customer Service </w:t>
      </w:r>
      <w:r w:rsidR="005A082D">
        <w:t>V</w:t>
      </w:r>
    </w:p>
    <w:p w14:paraId="110DB57D" w14:textId="084E9928" w:rsidR="006C1FDC" w:rsidRPr="006C1FDC" w:rsidRDefault="006C1FDC" w:rsidP="006C1FDC">
      <w:r w:rsidRPr="006C1FDC">
        <w:t xml:space="preserve"> 5 External Environmental Analysis </w:t>
      </w:r>
      <w:r w:rsidR="005A082D">
        <w:t>V</w:t>
      </w:r>
    </w:p>
    <w:p w14:paraId="55F83D72" w14:textId="09A960FC" w:rsidR="006C1FDC" w:rsidRPr="006C1FDC" w:rsidRDefault="006C1FDC" w:rsidP="006C1FDC">
      <w:r w:rsidRPr="006C1FDC">
        <w:t>5.1 Porter's 5 Forces Framework and PESTLE analysis</w:t>
      </w:r>
      <w:r w:rsidR="005A082D">
        <w:t xml:space="preserve"> VI</w:t>
      </w:r>
    </w:p>
    <w:p w14:paraId="2F5A31BB" w14:textId="3A551341" w:rsidR="006C1FDC" w:rsidRPr="006C1FDC" w:rsidRDefault="006C1FDC" w:rsidP="006C1FDC">
      <w:r w:rsidRPr="006C1FDC">
        <w:lastRenderedPageBreak/>
        <w:t>5.2 Economic Pressures of Bargaining Power from Buyers and Suppliers</w:t>
      </w:r>
      <w:r w:rsidR="005A082D">
        <w:t xml:space="preserve"> VI</w:t>
      </w:r>
    </w:p>
    <w:p w14:paraId="32329B51" w14:textId="35BCFC6B" w:rsidR="006C1FDC" w:rsidRPr="006C1FDC" w:rsidRDefault="006C1FDC" w:rsidP="006C1FDC">
      <w:r w:rsidRPr="006C1FDC">
        <w:t>5.3 Social Pressures Increasing Barriers to Entry</w:t>
      </w:r>
      <w:r w:rsidR="005A082D">
        <w:t xml:space="preserve"> VI</w:t>
      </w:r>
    </w:p>
    <w:p w14:paraId="5A7D37BC" w14:textId="59746DEF" w:rsidR="006C1FDC" w:rsidRPr="006C1FDC" w:rsidRDefault="006C1FDC" w:rsidP="006C1FDC">
      <w:r w:rsidRPr="006C1FDC">
        <w:t xml:space="preserve">5.4 Political Regulations Sparking Competitive Rivalry </w:t>
      </w:r>
      <w:r w:rsidR="005A082D">
        <w:t>VII</w:t>
      </w:r>
    </w:p>
    <w:p w14:paraId="10D001D0" w14:textId="13C1D5E3" w:rsidR="006C1FDC" w:rsidRPr="006C1FDC" w:rsidRDefault="006C1FDC" w:rsidP="006C1FDC">
      <w:r w:rsidRPr="006C1FDC">
        <w:t>5.5 Environmental-Technological Shift Driving The Threat of Substitutes</w:t>
      </w:r>
      <w:r w:rsidR="005A082D">
        <w:t xml:space="preserve"> VII</w:t>
      </w:r>
    </w:p>
    <w:p w14:paraId="16E24C3A" w14:textId="78AF9F33" w:rsidR="006C1FDC" w:rsidRPr="006C1FDC" w:rsidRDefault="006C1FDC" w:rsidP="006C1FDC">
      <w:r w:rsidRPr="006C1FDC">
        <w:t> 6 Findings and Discussion</w:t>
      </w:r>
      <w:r w:rsidR="005A082D">
        <w:t xml:space="preserve"> VII</w:t>
      </w:r>
    </w:p>
    <w:p w14:paraId="02930160" w14:textId="0001A7BE" w:rsidR="006C1FDC" w:rsidRPr="006C1FDC" w:rsidRDefault="006C1FDC" w:rsidP="006C1FDC">
      <w:r w:rsidRPr="006C1FDC">
        <w:t> 7 Strategic Recommendations</w:t>
      </w:r>
      <w:r w:rsidR="005A082D">
        <w:t xml:space="preserve"> VIII</w:t>
      </w:r>
    </w:p>
    <w:p w14:paraId="5CA86B1B" w14:textId="125DEA26" w:rsidR="006C1FDC" w:rsidRPr="006C1FDC" w:rsidRDefault="006C1FDC" w:rsidP="006C1FDC">
      <w:r w:rsidRPr="006C1FDC">
        <w:t> 8 Conclusion</w:t>
      </w:r>
      <w:r w:rsidR="005A082D">
        <w:t xml:space="preserve"> IX</w:t>
      </w:r>
    </w:p>
    <w:p w14:paraId="4421E398" w14:textId="68B6C317" w:rsidR="006C1FDC" w:rsidRPr="006C1FDC" w:rsidRDefault="006C1FDC" w:rsidP="006C1FDC">
      <w:r w:rsidRPr="006C1FDC">
        <w:t> 9 Reference List</w:t>
      </w:r>
      <w:r w:rsidR="005A082D">
        <w:t xml:space="preserve"> IX</w:t>
      </w:r>
    </w:p>
    <w:p w14:paraId="444348B8" w14:textId="026CB0E9" w:rsidR="00202138" w:rsidRDefault="006C1FDC" w:rsidP="00202138">
      <w:r w:rsidRPr="006C1FDC">
        <w:t>10 Appendix</w:t>
      </w:r>
      <w:r w:rsidR="00677D43">
        <w:t>es</w:t>
      </w:r>
      <w:r w:rsidR="005A082D">
        <w:t xml:space="preserve"> X</w:t>
      </w:r>
    </w:p>
    <w:p w14:paraId="7788FBD8" w14:textId="77777777" w:rsidR="00202138" w:rsidRPr="00202138" w:rsidRDefault="00202138" w:rsidP="00202138"/>
    <w:p w14:paraId="48E64114" w14:textId="32CF8129" w:rsidR="00202138" w:rsidRPr="00677D43" w:rsidRDefault="00202138" w:rsidP="00677D43">
      <w:pPr>
        <w:pStyle w:val="ListParagraph"/>
        <w:numPr>
          <w:ilvl w:val="0"/>
          <w:numId w:val="1"/>
        </w:numPr>
        <w:rPr>
          <w:b/>
          <w:bCs/>
          <w:u w:val="single"/>
        </w:rPr>
      </w:pPr>
      <w:r w:rsidRPr="00677D43">
        <w:rPr>
          <w:b/>
          <w:bCs/>
          <w:u w:val="single"/>
        </w:rPr>
        <w:t>Introduction to Shell plc</w:t>
      </w:r>
    </w:p>
    <w:p w14:paraId="00C5030B" w14:textId="77777777" w:rsidR="00202138" w:rsidRPr="00202138" w:rsidRDefault="00202138" w:rsidP="00202138"/>
    <w:p w14:paraId="445B8517" w14:textId="77777777" w:rsidR="00202138" w:rsidRPr="00202138" w:rsidRDefault="00202138" w:rsidP="00202138">
      <w:r w:rsidRPr="00202138">
        <w:t>This report applies strategic analysis to Shell plc, highlighting the actions the firm should take using internal and external frameworks to reposition itself and maintain long-term sustainability as a top energy sector firm. Shell plc's current strategy, the “Energy Transition Strategy,” is to “deliver more value with less emissions as we work to become a net-zero emissions business by 2050” (Shell plc, 2024), with a target approved by 78% of its shareholders. Shell should strategically reposition itself in the market, decarbonising its scope 1, 2, and 3 emissions in response to the threat of long-term UK government-enforced carbon regulations on greenhouse gases.  </w:t>
      </w:r>
    </w:p>
    <w:p w14:paraId="060DA19E" w14:textId="77777777" w:rsidR="00202138" w:rsidRPr="00202138" w:rsidRDefault="00202138" w:rsidP="00202138">
      <w:r w:rsidRPr="00202138">
        <w:t>Furthermore, this report will strategically analyse how the emergence of artificial intelligence impacts the optimisation of the logistics and operations for Shell plc and the energy sector. As part of Shell plc’s commitment to digitisation, it is investing “in new technologies, such as artificial intelligence (AI) and quantum computing” (Shell plc, 2024). These investments allow Shell plc to reduce fossil fuel emissions and lower operating costs by minimising waste. Building on these introductory themes, this report will use PESTLE analysis, Value Chain Analysis, McKinsey’s 7S Framework, and Porter's 5 Forces to recommend strategies to reduce Shell plc's emissions through digital innovation and streamlined procurement.</w:t>
      </w:r>
    </w:p>
    <w:p w14:paraId="53FDF134" w14:textId="77777777" w:rsidR="00202138" w:rsidRPr="00202138" w:rsidRDefault="00202138" w:rsidP="00202138">
      <w:pPr>
        <w:rPr>
          <w:b/>
          <w:bCs/>
          <w:u w:val="single"/>
        </w:rPr>
      </w:pPr>
    </w:p>
    <w:p w14:paraId="501B4AAE" w14:textId="3783B7BF" w:rsidR="00202138" w:rsidRPr="00677D43" w:rsidRDefault="00202138" w:rsidP="00677D43">
      <w:pPr>
        <w:pStyle w:val="ListParagraph"/>
        <w:numPr>
          <w:ilvl w:val="0"/>
          <w:numId w:val="1"/>
        </w:numPr>
        <w:rPr>
          <w:b/>
          <w:bCs/>
          <w:u w:val="single"/>
        </w:rPr>
      </w:pPr>
      <w:r w:rsidRPr="00677D43">
        <w:rPr>
          <w:b/>
          <w:bCs/>
          <w:u w:val="single"/>
        </w:rPr>
        <w:t>Organisational Background of Shell plc</w:t>
      </w:r>
    </w:p>
    <w:p w14:paraId="2C4BE0D4" w14:textId="77777777" w:rsidR="00202138" w:rsidRPr="00202138" w:rsidRDefault="00202138" w:rsidP="00202138"/>
    <w:p w14:paraId="420CD98A" w14:textId="77777777" w:rsidR="00202138" w:rsidRPr="00202138" w:rsidRDefault="00202138" w:rsidP="00202138">
      <w:r w:rsidRPr="00202138">
        <w:lastRenderedPageBreak/>
        <w:t>Shell plc was founded in 1907 and is a global energy market leader headquartered in the UK, with a portfolio leveraging fossil fuels and over 73,000 electric vehicle charging points worldwide as of late 2024. The organisation employs “around 96,000 people across more than 70 countries” (Shell plc, 2024), supporting the business's multinational operations with a geographically distributed workforce, enabling it to adapt to new, specific state environmental regulations. Shell plc is structured into six business segments: Integrated Gas, Upstream, Marketing, Chemicals and Products, Renewables and Energy Solutions, and Corporate, which support the management of the company's activities across its global energy value chain, helping it manage risk and optimise operations. Furthermore, Shell plc’s purpose statement makes satisfying stakeholder needs central to its mission, stating that the company wants to “power progress together, by working with each other, our customers and our partners” (Shell plc, 2025). Despite highlighted stakeholder collaboration, the lack of a climate strategy or operational metrics could deter investment from ESG-aligned shareholders. The company's mission and vision statements present a clear numerical goal, providing clarity on the environmental policy-based issues it faces. The mission statement is to deliver “more and cleaner energy solutions” (Shell plc, 2025), and its vision statement is to  become a “net-zero carbon emissions energy business by 2050” (Shell plc, 2024). This highlights the intent to transition from short-term reliance on fossil fuels to long-term market positioning by achieving carbon neutrality, which the majority of Shell plc's shareholders agreed to. Operating in an increasingly regulated industry under ESG pressures, Shell plc must strategically pivot towards decarbonisation to sustain its long-term competitiveness in the energy sector. The energy sector is investing more in its carbon-capture technologies, such as bioengineered microbes that absorb carbon dioxide to address the rising ESG pressures companies face. However, the technologies are still in an early stage of development, highlighting the importance Shell plc should place on technological investments.</w:t>
      </w:r>
    </w:p>
    <w:p w14:paraId="0202654B" w14:textId="77777777" w:rsidR="00202138" w:rsidRPr="00202138" w:rsidRDefault="00202138" w:rsidP="00202138"/>
    <w:p w14:paraId="30F49FC6" w14:textId="6C3D2ABE" w:rsidR="00202138" w:rsidRPr="00677D43" w:rsidRDefault="00202138" w:rsidP="00677D43">
      <w:pPr>
        <w:pStyle w:val="ListParagraph"/>
        <w:numPr>
          <w:ilvl w:val="0"/>
          <w:numId w:val="1"/>
        </w:numPr>
        <w:rPr>
          <w:b/>
          <w:bCs/>
          <w:u w:val="single"/>
        </w:rPr>
      </w:pPr>
      <w:r w:rsidRPr="00677D43">
        <w:rPr>
          <w:b/>
          <w:bCs/>
          <w:u w:val="single"/>
        </w:rPr>
        <w:t xml:space="preserve">Internal </w:t>
      </w:r>
      <w:r w:rsidR="006C1FDC" w:rsidRPr="00677D43">
        <w:rPr>
          <w:b/>
          <w:bCs/>
          <w:u w:val="single"/>
        </w:rPr>
        <w:t>Organisational</w:t>
      </w:r>
      <w:r w:rsidRPr="00677D43">
        <w:rPr>
          <w:b/>
          <w:bCs/>
          <w:u w:val="single"/>
        </w:rPr>
        <w:t xml:space="preserve"> Analysis</w:t>
      </w:r>
    </w:p>
    <w:p w14:paraId="41064377" w14:textId="77777777" w:rsidR="00202138" w:rsidRPr="00202138" w:rsidRDefault="00202138" w:rsidP="00202138"/>
    <w:p w14:paraId="33A24B3F" w14:textId="49A5A956" w:rsidR="00202138" w:rsidRPr="00202138" w:rsidRDefault="00202138" w:rsidP="00202138">
      <w:r w:rsidRPr="00202138">
        <w:t xml:space="preserve">Large, highly diversified corporations, such as Shell plc, face internal communication issues between management and employees, leading to </w:t>
      </w:r>
      <w:r w:rsidR="002E3F54">
        <w:t>misalignment</w:t>
      </w:r>
      <w:r w:rsidR="006F21DF">
        <w:t xml:space="preserve"> of the companies</w:t>
      </w:r>
      <w:r w:rsidR="002E3F54">
        <w:t xml:space="preserve"> </w:t>
      </w:r>
      <w:r w:rsidRPr="00202138">
        <w:t>vision</w:t>
      </w:r>
      <w:r w:rsidR="006F21DF">
        <w:t xml:space="preserve"> between stakeholders</w:t>
      </w:r>
      <w:r w:rsidRPr="00202138">
        <w:t>. This explains the strategic misalignment Shell plc is currently facing, as women are underrepresented in management roles, and decarbonisation efforts should be amplified.</w:t>
      </w:r>
    </w:p>
    <w:p w14:paraId="6B7DB6C4" w14:textId="77777777" w:rsidR="00202138" w:rsidRDefault="00202138" w:rsidP="00202138"/>
    <w:p w14:paraId="742D71F8" w14:textId="15BC576A" w:rsidR="00202138" w:rsidRPr="006C1FDC" w:rsidRDefault="00677D43" w:rsidP="00202138">
      <w:pPr>
        <w:rPr>
          <w:b/>
          <w:bCs/>
        </w:rPr>
      </w:pPr>
      <w:r>
        <w:rPr>
          <w:b/>
          <w:bCs/>
        </w:rPr>
        <w:t xml:space="preserve">    4.1.     </w:t>
      </w:r>
      <w:r w:rsidR="00202138" w:rsidRPr="00202138">
        <w:rPr>
          <w:b/>
          <w:bCs/>
        </w:rPr>
        <w:t xml:space="preserve">Value Chain Analysis and McKinsey 7S Framework </w:t>
      </w:r>
    </w:p>
    <w:p w14:paraId="36F254EF" w14:textId="77777777" w:rsidR="00202138" w:rsidRPr="00202138" w:rsidRDefault="00202138" w:rsidP="00202138"/>
    <w:p w14:paraId="0E7A3F3E" w14:textId="5B967035" w:rsidR="00202138" w:rsidRPr="00202138" w:rsidRDefault="002E3F54" w:rsidP="002E3F54">
      <w:r>
        <w:t>The Value Chain analysis</w:t>
      </w:r>
      <w:r w:rsidRPr="00202138">
        <w:t xml:space="preserve"> framework </w:t>
      </w:r>
      <w:r w:rsidR="00202138" w:rsidRPr="00202138">
        <w:t xml:space="preserve">is a credible tool for analysing Shell plc’s internal structure, as Whittington et al state, </w:t>
      </w:r>
      <w:r w:rsidRPr="00202138">
        <w:t>“</w:t>
      </w:r>
      <w:r>
        <w:t xml:space="preserve">Porter's broadly defined value chain activities can be disaggregated to provide a more detailed identification of the firm's activities (and the capabilities that correspond to each activity)” </w:t>
      </w:r>
      <w:r w:rsidRPr="00202138">
        <w:t>(Grant, 2016). Additionally,</w:t>
      </w:r>
      <w:r w:rsidRPr="002E3F54">
        <w:t xml:space="preserve"> </w:t>
      </w:r>
      <w:r w:rsidRPr="00202138">
        <w:t xml:space="preserve">McKinsey’s 7S </w:t>
      </w:r>
      <w:r w:rsidR="00202138" w:rsidRPr="00202138">
        <w:t xml:space="preserve">framework will be applied, </w:t>
      </w:r>
      <w:r>
        <w:t>identifying underlying biases in the organisational culture of Shell plc.</w:t>
      </w:r>
      <w:r w:rsidR="00202138" w:rsidRPr="00202138">
        <w:t xml:space="preserve"> </w:t>
      </w:r>
    </w:p>
    <w:p w14:paraId="6223DC78" w14:textId="77777777" w:rsidR="00202138" w:rsidRDefault="00202138" w:rsidP="00202138"/>
    <w:p w14:paraId="02D8E2A7" w14:textId="6B90581D" w:rsidR="00202138" w:rsidRPr="006C1FDC" w:rsidRDefault="00677D43" w:rsidP="00202138">
      <w:pPr>
        <w:rPr>
          <w:b/>
          <w:bCs/>
        </w:rPr>
      </w:pPr>
      <w:r>
        <w:rPr>
          <w:b/>
          <w:bCs/>
        </w:rPr>
        <w:t xml:space="preserve">   4.2.    </w:t>
      </w:r>
      <w:r w:rsidR="00202138" w:rsidRPr="00202138">
        <w:rPr>
          <w:b/>
          <w:bCs/>
        </w:rPr>
        <w:t xml:space="preserve">Organisational Culture and Human Resource Management in North America </w:t>
      </w:r>
    </w:p>
    <w:p w14:paraId="71AA6011" w14:textId="77777777" w:rsidR="00202138" w:rsidRPr="00202138" w:rsidRDefault="00202138" w:rsidP="00202138"/>
    <w:p w14:paraId="557BCBD3" w14:textId="55131CF4" w:rsidR="00202138" w:rsidRPr="00202138" w:rsidRDefault="00202138" w:rsidP="00202138">
      <w:r w:rsidRPr="00202138">
        <w:t xml:space="preserve">A chi-squared test was conducted to test whether the observed gender ratio in senior leadership roles deviates significantly from the expected gender ratio of employees, considering that the global gender ratio of 67% male and 33% female holds in North America. The test revealed a significant deviation in expected gender representation (p &lt; 0.05), indicating female underrepresentation in senior leadership roles in North America (Appendix 1.1). The data reveals that the senior promotions, the recruitment process, or both are subject to systemic gender bias, suggesting that the organisational structure and human resource management are underperforming and </w:t>
      </w:r>
      <w:r w:rsidR="00B61BF8">
        <w:t>preventing</w:t>
      </w:r>
      <w:r w:rsidRPr="00202138">
        <w:t xml:space="preserve"> career progression for women. This narrows its talent pool by overlooking qualified women for senior leadership roles, which may impact internal organisational efficiency and performance in the North American branches.</w:t>
      </w:r>
    </w:p>
    <w:p w14:paraId="3D38D861" w14:textId="77777777" w:rsidR="00677D43" w:rsidRDefault="00677D43" w:rsidP="00677D43"/>
    <w:p w14:paraId="09474F79" w14:textId="7980AD3D" w:rsidR="00202138" w:rsidRPr="00677D43" w:rsidRDefault="00202138" w:rsidP="00677D43">
      <w:pPr>
        <w:pStyle w:val="ListParagraph"/>
        <w:numPr>
          <w:ilvl w:val="1"/>
          <w:numId w:val="1"/>
        </w:numPr>
        <w:rPr>
          <w:b/>
          <w:bCs/>
        </w:rPr>
      </w:pPr>
      <w:r w:rsidRPr="00677D43">
        <w:rPr>
          <w:b/>
          <w:bCs/>
        </w:rPr>
        <w:t xml:space="preserve">Firm Infrastructure, Strategy and Leadership Style </w:t>
      </w:r>
    </w:p>
    <w:p w14:paraId="343CBFEF" w14:textId="77777777" w:rsidR="00202138" w:rsidRPr="00202138" w:rsidRDefault="00202138" w:rsidP="00202138"/>
    <w:p w14:paraId="0FC09C11" w14:textId="77777777" w:rsidR="00202138" w:rsidRPr="00202138" w:rsidRDefault="00202138" w:rsidP="00202138">
      <w:r w:rsidRPr="00202138">
        <w:t>A majority of Shell plc’s risk management and internal control reviews are conducted periodically, raising concerns about whether their frequency adequately addresses financial, legal, or capital issues. This may suggest the company has a complacent culture, underscoring vulnerabilities in the leadership’s communication style towards its workers. This causes issues within its infrastructure, as effective planning can be undermined by a misaligned workforce, leading to operational inefficiencies that divert them from specific objectives, such as reducing workplace injuries.</w:t>
      </w:r>
    </w:p>
    <w:p w14:paraId="4F5833AD" w14:textId="77777777" w:rsidR="00202138" w:rsidRDefault="00202138" w:rsidP="00202138"/>
    <w:p w14:paraId="6B2FFA1C" w14:textId="135F3824" w:rsidR="00202138" w:rsidRPr="00677D43" w:rsidRDefault="00202138" w:rsidP="00677D43">
      <w:pPr>
        <w:pStyle w:val="ListParagraph"/>
        <w:numPr>
          <w:ilvl w:val="1"/>
          <w:numId w:val="1"/>
        </w:numPr>
        <w:rPr>
          <w:b/>
          <w:bCs/>
        </w:rPr>
      </w:pPr>
      <w:r w:rsidRPr="00677D43">
        <w:rPr>
          <w:b/>
          <w:bCs/>
        </w:rPr>
        <w:t xml:space="preserve">Operations, Systems, and Technological Development </w:t>
      </w:r>
    </w:p>
    <w:p w14:paraId="4D6BD3E5" w14:textId="77777777" w:rsidR="00202138" w:rsidRPr="00202138" w:rsidRDefault="00202138" w:rsidP="00202138"/>
    <w:p w14:paraId="2A9AFE62" w14:textId="7526B249" w:rsidR="00202138" w:rsidRPr="00202138" w:rsidRDefault="00202138" w:rsidP="001443AE">
      <w:r w:rsidRPr="00202138">
        <w:lastRenderedPageBreak/>
        <w:t>Shell plc has an alarming 20,000 safety alerts annually, equating to 0.208 hazards per employee, highlighting the need to invest in machinery adaptable to internal environmental conditions. In developing new safety technology, consideration must be given to whether the production cycle will reduce efficiency, as Robert M. Grant states,</w:t>
      </w:r>
      <w:r w:rsidR="001443AE">
        <w:t xml:space="preserve"> </w:t>
      </w:r>
      <w:r w:rsidRPr="00202138">
        <w:t>“</w:t>
      </w:r>
      <w:r w:rsidR="00AD05FC">
        <w:t>combining resources to create capability requires conscious and systematic actions by management</w:t>
      </w:r>
      <w:r w:rsidR="001443AE">
        <w:t>”</w:t>
      </w:r>
      <w:r w:rsidR="001443AE" w:rsidRPr="00202138">
        <w:t xml:space="preserve"> </w:t>
      </w:r>
      <w:r w:rsidRPr="00202138">
        <w:t>(Grant, 2016), highlighting that technology integration is only effective if it seamlessly transitions into its operational system. Shell has addressed its safety concerns by developing T-Pulse, a CCTV utilising artificial intelligence to identify hazards endangering workers. However, this provides no practical safety for workers as it lacks immediate protective measures in the event of a safety breach. Therefore, it should consider investing in more effective emergency stop buttons to halt machinery in a way that makes it unlikely an employee would be harmed.</w:t>
      </w:r>
    </w:p>
    <w:p w14:paraId="2AA4C405" w14:textId="77777777" w:rsidR="00202138" w:rsidRDefault="00202138" w:rsidP="00202138"/>
    <w:p w14:paraId="171DB2F8" w14:textId="64C1A074" w:rsidR="00202138" w:rsidRPr="00677D43" w:rsidRDefault="00202138" w:rsidP="00677D43">
      <w:pPr>
        <w:pStyle w:val="ListParagraph"/>
        <w:numPr>
          <w:ilvl w:val="1"/>
          <w:numId w:val="1"/>
        </w:numPr>
        <w:rPr>
          <w:b/>
          <w:bCs/>
        </w:rPr>
      </w:pPr>
      <w:r w:rsidRPr="00677D43">
        <w:rPr>
          <w:b/>
          <w:bCs/>
        </w:rPr>
        <w:t xml:space="preserve">Procurement, Logistics, Marketing and Customer Service </w:t>
      </w:r>
    </w:p>
    <w:p w14:paraId="02FF79A1" w14:textId="77777777" w:rsidR="00202138" w:rsidRPr="00202138" w:rsidRDefault="00202138" w:rsidP="00202138"/>
    <w:p w14:paraId="56A65246" w14:textId="0871224E" w:rsidR="00A733C8" w:rsidRPr="00A733C8" w:rsidRDefault="00A733C8" w:rsidP="00A733C8">
      <w:r w:rsidRPr="00A733C8">
        <w:t>A Pearson's Rho correlation analysis was conducted to assess the relationship between processing volume and product sales across regions (Appendix 1.2). The result, r = 0.9876, reveals a strong positive correlation, suggesting that a top-to-bottom-organised primary value chain yields greater efficiency towards Shell plc’s operations. The correlation reinforces the need to optimise its logistics and procurement to maximise efficiency for its sales volume. This suggests that enhancing Asia’s upstream operations would be beneficial, given its large population and emerging economies, thereby enabling Shell plc to gain a larger market share in this region. However, as sales volumes increase at fuel stations, the customer service infrastructure will need to support consumers by having communication tailored training programmes and have support systems</w:t>
      </w:r>
      <w:r>
        <w:t xml:space="preserve"> in place for employees dealing with challenging customers,</w:t>
      </w:r>
      <w:r w:rsidRPr="00A733C8">
        <w:t xml:space="preserve"> to maintain customer satisfaction and prevent reputational damage to Shell plc.</w:t>
      </w:r>
    </w:p>
    <w:p w14:paraId="74AE83C1" w14:textId="77777777" w:rsidR="00202138" w:rsidRPr="00202138" w:rsidRDefault="00202138" w:rsidP="00202138"/>
    <w:p w14:paraId="660170BB" w14:textId="78841BAD" w:rsidR="00202138" w:rsidRPr="00677D43" w:rsidRDefault="00202138" w:rsidP="00677D43">
      <w:pPr>
        <w:pStyle w:val="ListParagraph"/>
        <w:numPr>
          <w:ilvl w:val="0"/>
          <w:numId w:val="1"/>
        </w:numPr>
        <w:rPr>
          <w:b/>
          <w:bCs/>
          <w:u w:val="single"/>
        </w:rPr>
      </w:pPr>
      <w:r w:rsidRPr="00677D43">
        <w:rPr>
          <w:b/>
          <w:bCs/>
          <w:u w:val="single"/>
        </w:rPr>
        <w:t xml:space="preserve">External Environmental Analysis </w:t>
      </w:r>
    </w:p>
    <w:p w14:paraId="7519F643" w14:textId="77777777" w:rsidR="00202138" w:rsidRPr="00202138" w:rsidRDefault="00202138" w:rsidP="00202138"/>
    <w:p w14:paraId="604EAC3E" w14:textId="52C8DF9B" w:rsidR="00202138" w:rsidRPr="00202138" w:rsidRDefault="00202138" w:rsidP="00F20166">
      <w:r w:rsidRPr="00202138">
        <w:t>Shell plc operates in an ever-evolving, saturated market, shifting in response to ESG pressures to become more carbon neutral. It is essential to create a strategy that considers the external environment, as Anthony Henry states, "</w:t>
      </w:r>
      <w:r w:rsidR="00F20166">
        <w:t>external trends such as changes in buyers' behaviour or a change in technology can impact strategic groups by creating new groups and making others obsolete</w:t>
      </w:r>
      <w:r w:rsidR="00F20166" w:rsidRPr="00202138">
        <w:t xml:space="preserve"> </w:t>
      </w:r>
      <w:r w:rsidRPr="00202138">
        <w:t>" (Henry, 2021). This is especially relevant to Shell plc as environmental regulatory demands increase, prompting rivals to develop new renewable technologies and weakening its market presence.</w:t>
      </w:r>
    </w:p>
    <w:p w14:paraId="6665EB49" w14:textId="77777777" w:rsidR="00202138" w:rsidRDefault="00202138" w:rsidP="00202138"/>
    <w:p w14:paraId="0F3D1152" w14:textId="1F2B25BF" w:rsidR="00202138" w:rsidRPr="006C1FDC" w:rsidRDefault="00677D43" w:rsidP="00202138">
      <w:pPr>
        <w:rPr>
          <w:b/>
          <w:bCs/>
        </w:rPr>
      </w:pPr>
      <w:r>
        <w:rPr>
          <w:b/>
          <w:bCs/>
        </w:rPr>
        <w:t xml:space="preserve">    5.1.    </w:t>
      </w:r>
      <w:r w:rsidR="00202138" w:rsidRPr="00202138">
        <w:rPr>
          <w:b/>
          <w:bCs/>
        </w:rPr>
        <w:t>Porter's 5 Forces Framework and PESTLE analysis</w:t>
      </w:r>
    </w:p>
    <w:p w14:paraId="4532BF75" w14:textId="40E7949D" w:rsidR="00202138" w:rsidRPr="00202138" w:rsidRDefault="00202138" w:rsidP="00202138">
      <w:r w:rsidRPr="00202138">
        <w:t xml:space="preserve"> </w:t>
      </w:r>
    </w:p>
    <w:p w14:paraId="46E7CBC9" w14:textId="5A34448B" w:rsidR="00202138" w:rsidRPr="00202138" w:rsidRDefault="00202138" w:rsidP="00202138">
      <w:r w:rsidRPr="00202138">
        <w:t xml:space="preserve">The volatile external environment for ESG shifts means external analysis is compulsory for Shell plc, as </w:t>
      </w:r>
      <w:r w:rsidR="00F20166">
        <w:t xml:space="preserve">Whittington </w:t>
      </w:r>
      <w:r w:rsidRPr="00202138">
        <w:t>argues that "</w:t>
      </w:r>
      <w:r w:rsidR="00F20166">
        <w:t>the most fundamental point is that to be valuable resources and capabilities need to address opportunities and threats that arise in an organisation’s environment</w:t>
      </w:r>
      <w:r w:rsidRPr="00202138">
        <w:t>" (</w:t>
      </w:r>
      <w:r w:rsidR="00F20166">
        <w:t>Whittington, 2023</w:t>
      </w:r>
      <w:r w:rsidRPr="00202138">
        <w:t>), highlighting the importance of implementing effective risk-benefit strategies that account for every scenario. Furthermore, using PESTLE analysis and Porter’s 5 Forces frameworks can identify potential risks that may adversely affect Shell plc’s stakeholder reputation and leverage external forces such as suppliers, competitors, and consumers, thereby creating clearer, more efficient strategies for the firm.</w:t>
      </w:r>
    </w:p>
    <w:p w14:paraId="683B32D7" w14:textId="77777777" w:rsidR="00202138" w:rsidRPr="006C1FDC" w:rsidRDefault="00202138" w:rsidP="00202138">
      <w:pPr>
        <w:rPr>
          <w:b/>
          <w:bCs/>
        </w:rPr>
      </w:pPr>
    </w:p>
    <w:p w14:paraId="5893A474" w14:textId="0E6B133D" w:rsidR="00202138" w:rsidRPr="006C1FDC" w:rsidRDefault="00677D43" w:rsidP="00202138">
      <w:pPr>
        <w:rPr>
          <w:b/>
          <w:bCs/>
        </w:rPr>
      </w:pPr>
      <w:r>
        <w:rPr>
          <w:b/>
          <w:bCs/>
        </w:rPr>
        <w:t xml:space="preserve">    5.2.    </w:t>
      </w:r>
      <w:r w:rsidR="00202138" w:rsidRPr="00202138">
        <w:rPr>
          <w:b/>
          <w:bCs/>
        </w:rPr>
        <w:t>Economic Pressures of Bargaining Power from Buyers and Suppliers</w:t>
      </w:r>
    </w:p>
    <w:p w14:paraId="06B09F9A" w14:textId="77777777" w:rsidR="00202138" w:rsidRPr="00202138" w:rsidRDefault="00202138" w:rsidP="00202138"/>
    <w:p w14:paraId="1ED00991" w14:textId="38FBA18A" w:rsidR="00202138" w:rsidRPr="00202138" w:rsidRDefault="00202138" w:rsidP="00202138">
      <w:r w:rsidRPr="00202138">
        <w:t>A T-test was conducted comparing Shell plc and BP plc investments in supplier-related spending in 2023 and 2024, revealing a significant difference (p &lt; 0.05) that indicates BP plc leverages its bargaining power with suppliers more effectively than Shell plc (Appendix 2.1). BP plc integrates a unique strategy to get the most from its supplier relations, as its 2024 annual report states, "We maintain supplier financing arrangements as part of our working capital strategy, allowing us to extend payment terms with key suppliers through third-party platforms" (BP, 2024), enhancing the leverage it has over suppliers who typically have bargaining power over energy companies. On the other hand, Shell plc hasn't integrated supplier financing</w:t>
      </w:r>
      <w:r>
        <w:t xml:space="preserve"> </w:t>
      </w:r>
      <w:r w:rsidRPr="00202138">
        <w:t>suggesting its procurement isn't fully optimised, straining the company under economic pressures, weakening its bargaining power if it shifts those costs onto price-sensitive retailers.</w:t>
      </w:r>
    </w:p>
    <w:p w14:paraId="58BDC26F" w14:textId="77777777" w:rsidR="00202138" w:rsidRDefault="00202138" w:rsidP="00202138"/>
    <w:p w14:paraId="2E0BC7C2" w14:textId="6D3EAE3F" w:rsidR="00202138" w:rsidRPr="00677D43" w:rsidRDefault="00202138" w:rsidP="00677D43">
      <w:pPr>
        <w:pStyle w:val="ListParagraph"/>
        <w:numPr>
          <w:ilvl w:val="1"/>
          <w:numId w:val="1"/>
        </w:numPr>
        <w:rPr>
          <w:b/>
          <w:bCs/>
        </w:rPr>
      </w:pPr>
      <w:r w:rsidRPr="00677D43">
        <w:rPr>
          <w:b/>
          <w:bCs/>
        </w:rPr>
        <w:t>Social Pressures Increasing Barriers to Entry</w:t>
      </w:r>
    </w:p>
    <w:p w14:paraId="293C151B" w14:textId="77777777" w:rsidR="00202138" w:rsidRPr="00202138" w:rsidRDefault="00202138" w:rsidP="00202138"/>
    <w:p w14:paraId="14FB2D47" w14:textId="77777777" w:rsidR="00202138" w:rsidRPr="00202138" w:rsidRDefault="00202138" w:rsidP="00202138">
      <w:r w:rsidRPr="00202138">
        <w:t xml:space="preserve">Reputational pressure from non-governmental organisations and environmentalists to decarbonise will intensify if they learn of the gender disparity in senior leadership roles at Shell plc branches in North America (Appendix 1.1), as modern ESG pressure tends to be holistic. Furthermore, ESG pressure can erode the business's brand reputation, indirectly reducing the talent pool, as ethically prioritised professionals may refuse to work for Shell plc. This reduces the barriers to entry for new firms, as investors may be </w:t>
      </w:r>
      <w:r w:rsidRPr="00202138">
        <w:lastRenderedPageBreak/>
        <w:t>more inclined to support a more socially responsible competitor, underscoring the need for Shell plc to address its gender bias in senior leadership in North America.</w:t>
      </w:r>
    </w:p>
    <w:p w14:paraId="0566EEB4" w14:textId="77777777" w:rsidR="00202138" w:rsidRDefault="00202138" w:rsidP="00202138"/>
    <w:p w14:paraId="0304C16E" w14:textId="68719E79" w:rsidR="00202138" w:rsidRPr="00677D43" w:rsidRDefault="00202138" w:rsidP="00677D43">
      <w:pPr>
        <w:pStyle w:val="ListParagraph"/>
        <w:numPr>
          <w:ilvl w:val="1"/>
          <w:numId w:val="1"/>
        </w:numPr>
        <w:rPr>
          <w:b/>
          <w:bCs/>
        </w:rPr>
      </w:pPr>
      <w:r w:rsidRPr="00677D43">
        <w:rPr>
          <w:b/>
          <w:bCs/>
        </w:rPr>
        <w:t xml:space="preserve">Political Regulations Sparking Competitive Rivalry </w:t>
      </w:r>
    </w:p>
    <w:p w14:paraId="7D86044B" w14:textId="77777777" w:rsidR="00202138" w:rsidRPr="00202138" w:rsidRDefault="00202138" w:rsidP="00202138"/>
    <w:p w14:paraId="687D5B1F" w14:textId="77777777" w:rsidR="00202138" w:rsidRPr="00202138" w:rsidRDefault="00202138" w:rsidP="00202138">
      <w:r w:rsidRPr="00202138">
        <w:t>A chi-squared test was conducted, revealing that Shell plc’s 2024 low-carbon expenditure deviated significantly from the UK’s low-carbon policy funding (p &lt; 0.05), indicating poor capital allocation to innovation towards decarbonisation for Shell plc (Appendix 2.2), which underscores the company's political and legal pressures, as resources are underutilised. As the company has $16.9 billion in free cash flow after paying dividends and share buybacks, it should invest in research and development or technology to generate renewable energy more efficiently. Although having spare cash flow provides a safety net in a volatile regulatory environment, limited investment allows competitors to enhance their research and development, leading rivals to gain market share from Shell plc.</w:t>
      </w:r>
    </w:p>
    <w:p w14:paraId="598D7495" w14:textId="77777777" w:rsidR="00202138" w:rsidRDefault="00202138" w:rsidP="00202138"/>
    <w:p w14:paraId="2C1D9D04" w14:textId="13ACFEDF" w:rsidR="00202138" w:rsidRPr="00677D43" w:rsidRDefault="00202138" w:rsidP="00677D43">
      <w:pPr>
        <w:pStyle w:val="ListParagraph"/>
        <w:numPr>
          <w:ilvl w:val="1"/>
          <w:numId w:val="1"/>
        </w:numPr>
        <w:rPr>
          <w:b/>
          <w:bCs/>
        </w:rPr>
      </w:pPr>
      <w:r w:rsidRPr="00677D43">
        <w:rPr>
          <w:b/>
          <w:bCs/>
        </w:rPr>
        <w:t>Environmental-Technological Shift Driving the Threat of Substitutes</w:t>
      </w:r>
    </w:p>
    <w:p w14:paraId="1552DB63" w14:textId="77777777" w:rsidR="00202138" w:rsidRPr="00202138" w:rsidRDefault="00202138" w:rsidP="00202138"/>
    <w:p w14:paraId="071D6A63" w14:textId="77777777" w:rsidR="00202138" w:rsidRPr="00202138" w:rsidRDefault="00202138" w:rsidP="00202138">
      <w:r w:rsidRPr="00202138">
        <w:t>By the end of the 2024 performance period, Shell plc planned to invest in five or six advanced biofuel projects but would complete only two. However, as market forces shift toward environmental sustainability, firms like Tesla Energy are providing ESG-conscious customers with alternatives, such as power banks for vehicle charging or electric heating, enabling eco-friendly corporations to take market share from Shell plc. Furthermore, electric vehicles are being produced on a large scale as consumer demand increases, encouraging Shell plc’s eco-friendly competitors to pursue more electric energy projects themselves.</w:t>
      </w:r>
    </w:p>
    <w:p w14:paraId="0E8719D5" w14:textId="11E0F63C" w:rsidR="00202138" w:rsidRPr="00677D43" w:rsidRDefault="00202138" w:rsidP="00677D43">
      <w:pPr>
        <w:pStyle w:val="ListParagraph"/>
        <w:numPr>
          <w:ilvl w:val="0"/>
          <w:numId w:val="1"/>
        </w:numPr>
        <w:rPr>
          <w:b/>
          <w:bCs/>
          <w:u w:val="single"/>
        </w:rPr>
      </w:pPr>
      <w:r w:rsidRPr="00677D43">
        <w:rPr>
          <w:b/>
          <w:bCs/>
          <w:u w:val="single"/>
        </w:rPr>
        <w:t>Findings and Discussions</w:t>
      </w:r>
    </w:p>
    <w:p w14:paraId="6FF6A6E4" w14:textId="77777777" w:rsidR="00202138" w:rsidRPr="00202138" w:rsidRDefault="00202138" w:rsidP="00202138">
      <w:r w:rsidRPr="00202138">
        <w:t>The framework analysis underscores Shell plc’s need to confront its ESG pressures, such as addressing gender bias in North America's organisational culture, investing more of its free cash flow in technological research and development, improving the efficiency of its carbon capture technology, and investing more in production and developing its renewable pipelines for wind, solar and hydrogen energy. Using the McKinsey 7S framework highlights the underutilisation of Shell plc’s $16.9 billion free cash flow, with the company underperforming in its research and development towards decarbonisation.</w:t>
      </w:r>
    </w:p>
    <w:p w14:paraId="00553024" w14:textId="77777777" w:rsidR="00202138" w:rsidRDefault="00202138" w:rsidP="00202138"/>
    <w:p w14:paraId="646D609A" w14:textId="6E55F7C2" w:rsidR="00202138" w:rsidRPr="00677D43" w:rsidRDefault="00202138" w:rsidP="00677D43">
      <w:pPr>
        <w:pStyle w:val="ListParagraph"/>
        <w:numPr>
          <w:ilvl w:val="0"/>
          <w:numId w:val="1"/>
        </w:numPr>
        <w:rPr>
          <w:b/>
          <w:bCs/>
          <w:u w:val="single"/>
        </w:rPr>
      </w:pPr>
      <w:r w:rsidRPr="00677D43">
        <w:rPr>
          <w:b/>
          <w:bCs/>
          <w:u w:val="single"/>
        </w:rPr>
        <w:lastRenderedPageBreak/>
        <w:t>Strategic Recommendations</w:t>
      </w:r>
    </w:p>
    <w:p w14:paraId="5CD5F5F5" w14:textId="77777777" w:rsidR="00202138" w:rsidRPr="00202138" w:rsidRDefault="00202138" w:rsidP="00202138"/>
    <w:p w14:paraId="531FE3D0" w14:textId="3F593A87" w:rsidR="00202138" w:rsidRPr="00202138" w:rsidRDefault="00202138" w:rsidP="00202138">
      <w:r w:rsidRPr="00202138">
        <w:t>Implementing practical safety measures, such as additional trained instructors who can identify risks and advise workers on techniques to keep them safe, would reduce workplace incidents. Given the industrial nature of the work, Shell plc could invest in smart gloves equipped with proximity sensors to detect heat, chemicals, and sharp objects. This would offer a practical alternative to investing in T-pulse, as incidents involving hands or fingers are common at Shell plc, thereby dramatically reducing workplace injuries. Developing gloves tailored for Shell plc will be expensive, so a cost-effective strategy is to gamify safety drills with a mobile app. Workers earn points by identifying hazards or completing drills, and can exchange them for additional paid leave, associating safety measures with reward. This aligns with Whittington et al., who state, “</w:t>
      </w:r>
      <w:r w:rsidR="007C43FD">
        <w:t>It is thus these individuals’ decisions and choices that determine capabilities, strategy and organisational performance</w:t>
      </w:r>
      <w:r w:rsidR="00F20166">
        <w:t>”</w:t>
      </w:r>
      <w:r w:rsidR="007C43FD" w:rsidRPr="00202138">
        <w:t xml:space="preserve"> </w:t>
      </w:r>
      <w:r w:rsidRPr="00202138">
        <w:t xml:space="preserve">(Whittington et al., 2023). Therefore, implementing gamification could reduce workplace incidents and </w:t>
      </w:r>
      <w:r w:rsidR="00F20166">
        <w:t>employee stress</w:t>
      </w:r>
      <w:r w:rsidRPr="00202138">
        <w:t xml:space="preserve"> for its dangerous working conditions, whilst </w:t>
      </w:r>
      <w:r w:rsidR="00F20166">
        <w:t>empowering the workers to make informed decisions as they feel comfortable in the workplace</w:t>
      </w:r>
    </w:p>
    <w:p w14:paraId="1BD22979" w14:textId="5F6BF972" w:rsidR="00666E42" w:rsidRPr="00202138" w:rsidRDefault="00666E42" w:rsidP="00666E42">
      <w:r w:rsidRPr="00202138">
        <w:t>To address gender bias in senior leadership roles in North America, Shell plc could distribute anonymous questionnaires, including one question on caregiving status, to gauge whether certain types of employees require support</w:t>
      </w:r>
      <w:r>
        <w:t>, benchmarking themselves to competition,</w:t>
      </w:r>
      <w:r w:rsidRPr="00202138">
        <w:t xml:space="preserve"> and whether this is a factor in the lack of women in senior leadership. Based on the questionnaire results, the board could implement a free</w:t>
      </w:r>
      <w:r>
        <w:t>-</w:t>
      </w:r>
      <w:r w:rsidRPr="00202138">
        <w:t>of</w:t>
      </w:r>
      <w:r>
        <w:t xml:space="preserve"> </w:t>
      </w:r>
      <w:r w:rsidRPr="00202138">
        <w:t>charge caregiving support programme to encourage career progression for women, as it would reduce stress levels and increase focus, thereby improving their work performance and contributing to gender balance in senior leadership roles. This is supported by Henry stating, “</w:t>
      </w:r>
      <w:r>
        <w:t>benchmarking exposes organizations to state-of-the-art practices and, by inculcating a continuous learning process, can help engender an organizational culture that actively pursues change and innovation</w:t>
      </w:r>
      <w:r w:rsidRPr="00202138">
        <w:t xml:space="preserve">” (Henry, 2021). Additionally, Shell plc’s potential talent pool will expand due to increased employee benefits, potentially offsetting the cost of implementing the strategy. </w:t>
      </w:r>
    </w:p>
    <w:p w14:paraId="2F8F208C" w14:textId="77777777" w:rsidR="00202138" w:rsidRDefault="00202138" w:rsidP="00202138">
      <w:r w:rsidRPr="00202138">
        <w:t xml:space="preserve">Shifting towards a supplier finance programme like BP plc would optimise free cash flow, improve the efficiency of outbound logistics and increase suppliers' reliance on Shell plc. This would be indirectly beneficial to Shell plc, as its suppliers would have to reorganise their operations to accommodate instalment-based payments, thereby shifting supplier dynamics in its favour. However, this may add operational pressure on suppliers, potentially resulting in underperformance of production targets. To offset this risk, Shell plc should diversify its supplier base to maintain its bargaining power with suppliers while improving the reliability of its outbound logistics, thereby reducing delivery times when one supplier underperforms. This would allow Shell plc to invest in </w:t>
      </w:r>
      <w:r w:rsidRPr="00202138">
        <w:lastRenderedPageBreak/>
        <w:t>biotechnology research and development, such as genetically modified microbes that absorb carbon dioxide emissions from natural gas production, thereby reducing its ESG pressures from stakeholders. The potential for utilising bioengineered microbes for reliable carbon capture is supported by the findings stating that “Bioengineered microorganisms can be employed to capture and convert CO₂ into biofuels and other value-added products” (Onyeaka and Ekwebelem, 2023). This would align Shell plc with environmental priorities as competitors shift towards environmentally sustainable technology, helping the company reach its long-term decarbonisation goals.</w:t>
      </w:r>
    </w:p>
    <w:p w14:paraId="0746FA3F" w14:textId="77777777" w:rsidR="00202138" w:rsidRPr="00202138" w:rsidRDefault="00202138" w:rsidP="00202138"/>
    <w:p w14:paraId="20E06424" w14:textId="651DA756" w:rsidR="00202138" w:rsidRPr="00677D43" w:rsidRDefault="00202138" w:rsidP="00677D43">
      <w:pPr>
        <w:pStyle w:val="ListParagraph"/>
        <w:numPr>
          <w:ilvl w:val="0"/>
          <w:numId w:val="1"/>
        </w:numPr>
        <w:rPr>
          <w:b/>
          <w:bCs/>
          <w:u w:val="single"/>
        </w:rPr>
      </w:pPr>
      <w:r w:rsidRPr="00677D43">
        <w:rPr>
          <w:b/>
          <w:bCs/>
          <w:u w:val="single"/>
        </w:rPr>
        <w:t xml:space="preserve">Conclusion </w:t>
      </w:r>
    </w:p>
    <w:p w14:paraId="0EC4EB12" w14:textId="77777777" w:rsidR="00202138" w:rsidRPr="00202138" w:rsidRDefault="00202138" w:rsidP="00202138"/>
    <w:p w14:paraId="5B6E8547" w14:textId="77777777" w:rsidR="00202138" w:rsidRDefault="00202138" w:rsidP="00202138">
      <w:r w:rsidRPr="00202138">
        <w:t>This report critically analysed Shell plc's strategic position, providing practical zero-carbon emitting solutions to enhance its environmental sustainability and maintain competitiveness in the decarbonising regulatory market. Synthesising external and internal analysis frameworks, the report identifies gender imbalance in senior leadership, underutilisation of free cash flow, work hazard concerns, and deficiencies in the company's investment into decarbonisation technology. Applying these strategies is not for shareholder satisfaction or for corporate responsibility under ESG pressure, but to ensure the long-term sustainability of the business as the energy sector undergoes a radical policy-driven transformation. These strategies should not be seen as optional but as essential for Shell plc to preserve its market share dominance in the energy sector.</w:t>
      </w:r>
    </w:p>
    <w:p w14:paraId="6E3992AC" w14:textId="77777777" w:rsidR="00202138" w:rsidRDefault="00202138" w:rsidP="00202138"/>
    <w:p w14:paraId="26CB69CB" w14:textId="0C3EE39F" w:rsidR="00202138" w:rsidRPr="00677D43" w:rsidRDefault="00202138" w:rsidP="00677D43">
      <w:pPr>
        <w:pStyle w:val="ListParagraph"/>
        <w:numPr>
          <w:ilvl w:val="0"/>
          <w:numId w:val="1"/>
        </w:numPr>
        <w:rPr>
          <w:b/>
          <w:bCs/>
          <w:u w:val="single"/>
        </w:rPr>
      </w:pPr>
      <w:r w:rsidRPr="00677D43">
        <w:rPr>
          <w:b/>
          <w:bCs/>
          <w:u w:val="single"/>
        </w:rPr>
        <w:t>Reference List</w:t>
      </w:r>
    </w:p>
    <w:p w14:paraId="2F4EF359" w14:textId="77777777" w:rsidR="00202138" w:rsidRDefault="00202138" w:rsidP="00202138"/>
    <w:p w14:paraId="39FBEA95" w14:textId="31BCB3EA" w:rsidR="00202138" w:rsidRPr="00202138" w:rsidRDefault="00202138" w:rsidP="00202138">
      <w:r w:rsidRPr="00202138">
        <w:t xml:space="preserve">Grant, R.M. (2016) </w:t>
      </w:r>
      <w:r w:rsidRPr="00202138">
        <w:rPr>
          <w:i/>
          <w:iCs/>
        </w:rPr>
        <w:t>Contemporary strategy analysis</w:t>
      </w:r>
      <w:r w:rsidRPr="00202138">
        <w:rPr>
          <w:rFonts w:ascii="Arial" w:hAnsi="Arial" w:cs="Arial"/>
          <w:i/>
          <w:iCs/>
        </w:rPr>
        <w:t> </w:t>
      </w:r>
      <w:r w:rsidRPr="00202138">
        <w:rPr>
          <w:i/>
          <w:iCs/>
        </w:rPr>
        <w:t xml:space="preserve">: text and cases </w:t>
      </w:r>
      <w:r w:rsidRPr="00202138">
        <w:t>. Ninth edition. Chichester, West Sussex, England</w:t>
      </w:r>
      <w:r w:rsidRPr="00202138">
        <w:rPr>
          <w:rFonts w:ascii="Arial" w:hAnsi="Arial" w:cs="Arial"/>
        </w:rPr>
        <w:t> </w:t>
      </w:r>
      <w:r w:rsidRPr="00202138">
        <w:t>: Wiley.</w:t>
      </w:r>
    </w:p>
    <w:p w14:paraId="10631E4A" w14:textId="77777777" w:rsidR="00202138" w:rsidRPr="00202138" w:rsidRDefault="00202138" w:rsidP="00202138">
      <w:r w:rsidRPr="00202138">
        <w:t xml:space="preserve">Whittington, R. </w:t>
      </w:r>
      <w:r w:rsidRPr="00202138">
        <w:rPr>
          <w:i/>
          <w:iCs/>
        </w:rPr>
        <w:t>et al.</w:t>
      </w:r>
      <w:r w:rsidRPr="00202138">
        <w:t xml:space="preserve"> (2023) </w:t>
      </w:r>
      <w:r w:rsidRPr="00202138">
        <w:rPr>
          <w:i/>
          <w:iCs/>
        </w:rPr>
        <w:t>Exploring Strategy, Text and Cases</w:t>
      </w:r>
      <w:r w:rsidRPr="00202138">
        <w:t>. Thirteenth edition. Harlow: Pearson Education, Limited.</w:t>
      </w:r>
    </w:p>
    <w:p w14:paraId="458DAD49" w14:textId="77777777" w:rsidR="00202138" w:rsidRPr="00202138" w:rsidRDefault="00202138" w:rsidP="00202138">
      <w:r w:rsidRPr="00202138">
        <w:t xml:space="preserve">Henry, A. (2021) </w:t>
      </w:r>
      <w:r w:rsidRPr="00202138">
        <w:rPr>
          <w:i/>
          <w:iCs/>
        </w:rPr>
        <w:t xml:space="preserve">Understanding strategic management </w:t>
      </w:r>
      <w:r w:rsidRPr="00202138">
        <w:t>. Fourth edition. Oxford, United Kingdom</w:t>
      </w:r>
      <w:r w:rsidRPr="00202138">
        <w:rPr>
          <w:rFonts w:ascii="Arial" w:hAnsi="Arial" w:cs="Arial"/>
        </w:rPr>
        <w:t> </w:t>
      </w:r>
      <w:r w:rsidRPr="00202138">
        <w:t>: Oxford University Press.</w:t>
      </w:r>
    </w:p>
    <w:p w14:paraId="44A4FB97" w14:textId="77777777" w:rsidR="00202138" w:rsidRPr="00202138" w:rsidRDefault="00202138" w:rsidP="00202138">
      <w:r w:rsidRPr="00202138">
        <w:t xml:space="preserve">Shell plc (2024) </w:t>
      </w:r>
      <w:r w:rsidRPr="00202138">
        <w:rPr>
          <w:i/>
          <w:iCs/>
        </w:rPr>
        <w:t>Annual Report and Accounts 2024</w:t>
      </w:r>
      <w:r w:rsidRPr="00202138">
        <w:t>. Available at: /mnt/data/shell-annual-report-2024.pdf</w:t>
      </w:r>
    </w:p>
    <w:p w14:paraId="0854B516" w14:textId="77777777" w:rsidR="00202138" w:rsidRPr="00202138" w:rsidRDefault="00202138" w:rsidP="00202138">
      <w:r w:rsidRPr="00202138">
        <w:t xml:space="preserve">BP plc (2024) </w:t>
      </w:r>
      <w:r w:rsidRPr="00202138">
        <w:rPr>
          <w:i/>
          <w:iCs/>
        </w:rPr>
        <w:t>Annual Report and Form 20-F 2024</w:t>
      </w:r>
      <w:r w:rsidRPr="00202138">
        <w:t>. Available at: /mnt/data/bp-annual-report-and-form-20f-2024.pdf</w:t>
      </w:r>
    </w:p>
    <w:p w14:paraId="34B3CFAE" w14:textId="77777777" w:rsidR="00202138" w:rsidRPr="00202138" w:rsidRDefault="00202138" w:rsidP="00202138">
      <w:r w:rsidRPr="00202138">
        <w:lastRenderedPageBreak/>
        <w:t xml:space="preserve">HM Government (2023) </w:t>
      </w:r>
      <w:r w:rsidRPr="00202138">
        <w:rPr>
          <w:i/>
          <w:iCs/>
        </w:rPr>
        <w:t>Powering Up Britain: Net Zero Growth Plan</w:t>
      </w:r>
      <w:r w:rsidRPr="00202138">
        <w:t>. Available at: /mnt/data/powering-up-britain-net-zero-growth-plan.pdf</w:t>
      </w:r>
    </w:p>
    <w:p w14:paraId="71331302" w14:textId="77777777" w:rsidR="00202138" w:rsidRPr="00202138" w:rsidRDefault="00202138" w:rsidP="00202138">
      <w:r w:rsidRPr="00202138">
        <w:t xml:space="preserve">Shell plc (2025) </w:t>
      </w:r>
      <w:r w:rsidRPr="00202138">
        <w:rPr>
          <w:i/>
          <w:iCs/>
        </w:rPr>
        <w:t>Our Strategy.</w:t>
      </w:r>
      <w:r w:rsidRPr="00202138">
        <w:t xml:space="preserve"> Available at: </w:t>
      </w:r>
      <w:hyperlink r:id="rId7" w:history="1">
        <w:r w:rsidRPr="00202138">
          <w:rPr>
            <w:rStyle w:val="Hyperlink"/>
          </w:rPr>
          <w:t>https://www.shell.com/what-we-do/our-strategy.html</w:t>
        </w:r>
      </w:hyperlink>
      <w:r w:rsidRPr="00202138">
        <w:t xml:space="preserve"> (Accessed: 23 November 2025).</w:t>
      </w:r>
    </w:p>
    <w:p w14:paraId="4F6D3AE6" w14:textId="77777777" w:rsidR="00202138" w:rsidRPr="00202138" w:rsidRDefault="00202138" w:rsidP="00202138">
      <w:r w:rsidRPr="00202138">
        <w:t xml:space="preserve">Onyeaka, H. and Ekwebelem, O.C. (2023) </w:t>
      </w:r>
      <w:r w:rsidRPr="00202138">
        <w:rPr>
          <w:i/>
          <w:iCs/>
        </w:rPr>
        <w:t>A review of recent advances in engineering bacteria for enhanced CO₂ capture and utilization</w:t>
      </w:r>
      <w:r w:rsidRPr="00202138">
        <w:t xml:space="preserve">. Avaliable at: </w:t>
      </w:r>
      <w:hyperlink r:id="rId8" w:history="1">
        <w:r w:rsidRPr="00202138">
          <w:rPr>
            <w:rStyle w:val="Hyperlink"/>
          </w:rPr>
          <w:t>https://doi.org/10.1007/s13762-022-04303-8</w:t>
        </w:r>
      </w:hyperlink>
    </w:p>
    <w:p w14:paraId="37D8B444" w14:textId="77777777" w:rsidR="00202138" w:rsidRDefault="00202138" w:rsidP="00202138"/>
    <w:p w14:paraId="2C79571B" w14:textId="2F3477EE" w:rsidR="00202138" w:rsidRPr="00677D43" w:rsidRDefault="00202138" w:rsidP="00677D43">
      <w:pPr>
        <w:pStyle w:val="ListParagraph"/>
        <w:numPr>
          <w:ilvl w:val="0"/>
          <w:numId w:val="1"/>
        </w:numPr>
        <w:rPr>
          <w:b/>
          <w:bCs/>
          <w:u w:val="single"/>
        </w:rPr>
      </w:pPr>
      <w:r w:rsidRPr="00677D43">
        <w:rPr>
          <w:b/>
          <w:bCs/>
          <w:u w:val="single"/>
        </w:rPr>
        <w:t>Appendixes</w:t>
      </w:r>
    </w:p>
    <w:p w14:paraId="460F8093" w14:textId="77777777" w:rsidR="00202138" w:rsidRPr="00202138" w:rsidRDefault="00202138" w:rsidP="00202138"/>
    <w:p w14:paraId="5BC4521B" w14:textId="156196D1" w:rsidR="00202138" w:rsidRPr="00202138" w:rsidRDefault="00202138" w:rsidP="00202138">
      <w:r w:rsidRPr="00202138">
        <w:rPr>
          <w:b/>
          <w:bCs/>
        </w:rPr>
        <w:t>Appendix 1.1</w:t>
      </w:r>
      <w:r w:rsidRPr="00202138">
        <w:t>: Chi-Squared Test on North America Shell plc of Gender Representation in Senior Leadership Roles.</w:t>
      </w:r>
    </w:p>
    <w:p w14:paraId="158EB352" w14:textId="77777777" w:rsidR="00202138" w:rsidRPr="00202138" w:rsidRDefault="00202138" w:rsidP="00202138">
      <w:r w:rsidRPr="00202138">
        <w:t>Whether the observed and expected gender ratio of employees in senior leadership roles deviates significantly in North America.</w:t>
      </w:r>
    </w:p>
    <w:p w14:paraId="1E821EA4" w14:textId="77777777" w:rsidR="00202138" w:rsidRPr="00202138" w:rsidRDefault="00202138" w:rsidP="00202138">
      <w:r w:rsidRPr="00202138">
        <w:t>H₀: There is no significant difference between the observed and expected gender ratio of employees in senior leadership roles in North America.</w:t>
      </w:r>
    </w:p>
    <w:p w14:paraId="00DE48DB" w14:textId="77777777" w:rsidR="00202138" w:rsidRPr="00202138" w:rsidRDefault="00202138" w:rsidP="00202138">
      <w:r w:rsidRPr="00202138">
        <w:t>H₁: There is a significant difference between the observed and expected gender ratio of employees in senior leadership roles in North America.</w:t>
      </w:r>
    </w:p>
    <w:p w14:paraId="6A9DB3C7" w14:textId="1598FB50" w:rsidR="00202138" w:rsidRPr="00202138" w:rsidRDefault="00202138" w:rsidP="00202138">
      <w:r w:rsidRPr="00202138">
        <w:rPr>
          <w:noProof/>
        </w:rPr>
        <w:drawing>
          <wp:inline distT="0" distB="0" distL="0" distR="0" wp14:anchorId="40242D0F" wp14:editId="5BE96840">
            <wp:extent cx="5731510" cy="635635"/>
            <wp:effectExtent l="0" t="0" r="2540" b="0"/>
            <wp:docPr id="1341704461" name="Picture 10" descr="A blue and white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04461" name="Picture 10" descr="A blue and white box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35635"/>
                    </a:xfrm>
                    <a:prstGeom prst="rect">
                      <a:avLst/>
                    </a:prstGeom>
                    <a:noFill/>
                    <a:ln>
                      <a:noFill/>
                    </a:ln>
                  </pic:spPr>
                </pic:pic>
              </a:graphicData>
            </a:graphic>
          </wp:inline>
        </w:drawing>
      </w:r>
    </w:p>
    <w:p w14:paraId="3F06B84E" w14:textId="77777777" w:rsidR="00202138" w:rsidRPr="00202138" w:rsidRDefault="00202138" w:rsidP="00202138">
      <w:r w:rsidRPr="00202138">
        <w:t>Results</w:t>
      </w:r>
    </w:p>
    <w:p w14:paraId="7FD9538F" w14:textId="77777777" w:rsidR="00202138" w:rsidRPr="00202138" w:rsidRDefault="00202138" w:rsidP="00202138">
      <w:r w:rsidRPr="00202138">
        <w:t>p-value = 4.4571 * 10^-186</w:t>
      </w:r>
    </w:p>
    <w:p w14:paraId="4F67A33D" w14:textId="77777777" w:rsidR="00202138" w:rsidRPr="00202138" w:rsidRDefault="00202138" w:rsidP="00202138">
      <w:r w:rsidRPr="00202138">
        <w:t>Significance level: α = 0.05</w:t>
      </w:r>
    </w:p>
    <w:p w14:paraId="55EE329A" w14:textId="77777777" w:rsidR="00202138" w:rsidRPr="00202138" w:rsidRDefault="00202138" w:rsidP="00202138">
      <w:r w:rsidRPr="00202138">
        <w:t>There is a statistically significant difference between male and female senior leadership roles at Shell plc North America, assuming that senior leadership ratios proportionately scale across regions.</w:t>
      </w:r>
    </w:p>
    <w:p w14:paraId="2E1816D0" w14:textId="77777777" w:rsidR="00202138" w:rsidRPr="00202138" w:rsidRDefault="00202138" w:rsidP="00202138"/>
    <w:p w14:paraId="6D2FED5F" w14:textId="77777777" w:rsidR="00202138" w:rsidRPr="00202138" w:rsidRDefault="00202138" w:rsidP="00202138">
      <w:r w:rsidRPr="00202138">
        <w:rPr>
          <w:b/>
          <w:bCs/>
        </w:rPr>
        <w:t>Appendix 1.2</w:t>
      </w:r>
      <w:r w:rsidRPr="00202138">
        <w:t>: Pearson's Rho Test on Crude Oil Processing Relationship with Product Sales Volume.</w:t>
      </w:r>
    </w:p>
    <w:p w14:paraId="62B23E1C" w14:textId="77777777" w:rsidR="00202138" w:rsidRPr="00202138" w:rsidRDefault="00202138" w:rsidP="00202138">
      <w:r w:rsidRPr="00202138">
        <w:t>Whether across multiple regions, higher processing of oil barrels per day correlates with increased sales of oil barrels per day.</w:t>
      </w:r>
    </w:p>
    <w:p w14:paraId="6B05A7E3" w14:textId="77777777" w:rsidR="00202138" w:rsidRPr="00202138" w:rsidRDefault="00202138" w:rsidP="00202138">
      <w:r w:rsidRPr="00202138">
        <w:lastRenderedPageBreak/>
        <w:t>Per 1000 Barrels a Day</w:t>
      </w:r>
    </w:p>
    <w:p w14:paraId="5306A8FF" w14:textId="264494B4" w:rsidR="00202138" w:rsidRPr="00202138" w:rsidRDefault="00202138" w:rsidP="00202138">
      <w:r w:rsidRPr="00202138">
        <w:rPr>
          <w:noProof/>
        </w:rPr>
        <w:drawing>
          <wp:inline distT="0" distB="0" distL="0" distR="0" wp14:anchorId="46E1774F" wp14:editId="245144EE">
            <wp:extent cx="3886200" cy="866775"/>
            <wp:effectExtent l="0" t="0" r="0" b="9525"/>
            <wp:docPr id="711837284"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37284" name="Picture 9"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6200" cy="866775"/>
                    </a:xfrm>
                    <a:prstGeom prst="rect">
                      <a:avLst/>
                    </a:prstGeom>
                    <a:noFill/>
                    <a:ln>
                      <a:noFill/>
                    </a:ln>
                  </pic:spPr>
                </pic:pic>
              </a:graphicData>
            </a:graphic>
          </wp:inline>
        </w:drawing>
      </w:r>
    </w:p>
    <w:p w14:paraId="418E3074" w14:textId="77777777" w:rsidR="00202138" w:rsidRPr="00202138" w:rsidRDefault="00202138" w:rsidP="00202138">
      <w:r w:rsidRPr="00202138">
        <w:t>Results</w:t>
      </w:r>
    </w:p>
    <w:p w14:paraId="06E5A89D" w14:textId="77777777" w:rsidR="00202138" w:rsidRPr="00202138" w:rsidRDefault="00202138" w:rsidP="00202138">
      <w:r w:rsidRPr="00202138">
        <w:t>Pearson’s r: 0.9876</w:t>
      </w:r>
    </w:p>
    <w:p w14:paraId="338233AD" w14:textId="77777777" w:rsidR="00202138" w:rsidRPr="00202138" w:rsidRDefault="00202138" w:rsidP="00202138">
      <w:r w:rsidRPr="00202138">
        <w:t>There is an extremely strong correlation between oil barrel sales and crude oil barrels processed, suggesting that variations in regional production levels predict how their sales will perform.</w:t>
      </w:r>
    </w:p>
    <w:p w14:paraId="250546DF" w14:textId="77777777" w:rsidR="00202138" w:rsidRPr="00202138" w:rsidRDefault="00202138" w:rsidP="00202138"/>
    <w:p w14:paraId="567C9660" w14:textId="77777777" w:rsidR="00202138" w:rsidRPr="00202138" w:rsidRDefault="00202138" w:rsidP="00202138">
      <w:r w:rsidRPr="00202138">
        <w:rPr>
          <w:b/>
          <w:bCs/>
        </w:rPr>
        <w:t>Appendix 2.1</w:t>
      </w:r>
      <w:r w:rsidRPr="00202138">
        <w:t>: T-Test comparing Shell plc and BP plc supplier related spending ($bn).</w:t>
      </w:r>
    </w:p>
    <w:p w14:paraId="04A1D804" w14:textId="77777777" w:rsidR="00202138" w:rsidRPr="00202138" w:rsidRDefault="00202138" w:rsidP="00202138">
      <w:r w:rsidRPr="00202138">
        <w:t>H₀: There is no significant difference between Shell and BP across 2023 and 2024 in supplier-related spending ($bn).</w:t>
      </w:r>
    </w:p>
    <w:p w14:paraId="4FE8BD96" w14:textId="77777777" w:rsidR="00202138" w:rsidRPr="00202138" w:rsidRDefault="00202138" w:rsidP="00202138">
      <w:r w:rsidRPr="00202138">
        <w:t>H₁: There is a significant difference between Shell and BP across 2023 and 2024 in supplier-related spending ($bn).</w:t>
      </w:r>
    </w:p>
    <w:p w14:paraId="2EBDFCCF" w14:textId="0C04BAF5" w:rsidR="00202138" w:rsidRPr="00202138" w:rsidRDefault="00202138" w:rsidP="00202138">
      <w:r w:rsidRPr="00202138">
        <w:rPr>
          <w:noProof/>
        </w:rPr>
        <w:drawing>
          <wp:inline distT="0" distB="0" distL="0" distR="0" wp14:anchorId="52AAE9E4" wp14:editId="5CCE2498">
            <wp:extent cx="5257800" cy="533400"/>
            <wp:effectExtent l="0" t="0" r="0" b="0"/>
            <wp:docPr id="2071761035" name="Picture 8" descr="A blue and white text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61035" name="Picture 8" descr="A blue and white text with black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533400"/>
                    </a:xfrm>
                    <a:prstGeom prst="rect">
                      <a:avLst/>
                    </a:prstGeom>
                    <a:noFill/>
                    <a:ln>
                      <a:noFill/>
                    </a:ln>
                  </pic:spPr>
                </pic:pic>
              </a:graphicData>
            </a:graphic>
          </wp:inline>
        </w:drawing>
      </w:r>
    </w:p>
    <w:p w14:paraId="49985875" w14:textId="77777777" w:rsidR="00202138" w:rsidRPr="00202138" w:rsidRDefault="00202138" w:rsidP="00202138">
      <w:r w:rsidRPr="00202138">
        <w:t xml:space="preserve">p-value = 0.044431 </w:t>
      </w:r>
    </w:p>
    <w:p w14:paraId="74865060" w14:textId="77777777" w:rsidR="00202138" w:rsidRPr="00202138" w:rsidRDefault="00202138" w:rsidP="00202138">
      <w:r w:rsidRPr="00202138">
        <w:t>Significance level: α = 0.05</w:t>
      </w:r>
    </w:p>
    <w:p w14:paraId="5FC664D7" w14:textId="77777777" w:rsidR="00202138" w:rsidRPr="00202138" w:rsidRDefault="00202138" w:rsidP="00202138">
      <w:r w:rsidRPr="00202138">
        <w:t>Reject the null hypothesis and accept the alternative hypothesis.</w:t>
      </w:r>
    </w:p>
    <w:p w14:paraId="59177095" w14:textId="77777777" w:rsidR="00202138" w:rsidRPr="00202138" w:rsidRDefault="00202138" w:rsidP="00202138"/>
    <w:p w14:paraId="7346F438" w14:textId="77777777" w:rsidR="00202138" w:rsidRPr="00202138" w:rsidRDefault="00202138" w:rsidP="00202138">
      <w:r w:rsidRPr="00202138">
        <w:rPr>
          <w:b/>
          <w:bCs/>
        </w:rPr>
        <w:t>Appendix 2.2</w:t>
      </w:r>
      <w:r w:rsidRPr="00202138">
        <w:t>: Chi-Squared Test on the Priorities of UK Government Funding and Shell plc’s Spending on Low-Carbon Investment.</w:t>
      </w:r>
    </w:p>
    <w:p w14:paraId="0413FE5C" w14:textId="77777777" w:rsidR="00202138" w:rsidRPr="00202138" w:rsidRDefault="00202138" w:rsidP="00202138">
      <w:r w:rsidRPr="00202138">
        <w:t>H₀: There is no significant difference between the UK government's low-carbon funding and Shell plc’s low-carbon expenditure.</w:t>
      </w:r>
    </w:p>
    <w:p w14:paraId="0E11C633" w14:textId="77777777" w:rsidR="00202138" w:rsidRPr="00202138" w:rsidRDefault="00202138" w:rsidP="00202138">
      <w:r w:rsidRPr="00202138">
        <w:t>H₁: There is a significant difference between the UK government's low-carbon funding and Shell plc’s low-carbon expenditure.</w:t>
      </w:r>
    </w:p>
    <w:p w14:paraId="5AED3D89" w14:textId="163C6A65" w:rsidR="00202138" w:rsidRPr="00202138" w:rsidRDefault="00202138" w:rsidP="00202138">
      <w:r w:rsidRPr="00202138">
        <w:rPr>
          <w:noProof/>
        </w:rPr>
        <w:drawing>
          <wp:inline distT="0" distB="0" distL="0" distR="0" wp14:anchorId="01DBA1A7" wp14:editId="6B5EB5A8">
            <wp:extent cx="5731510" cy="614680"/>
            <wp:effectExtent l="0" t="0" r="2540" b="0"/>
            <wp:docPr id="1290622610" name="Picture 7"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22610" name="Picture 7" descr="A screenshot of a numb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14680"/>
                    </a:xfrm>
                    <a:prstGeom prst="rect">
                      <a:avLst/>
                    </a:prstGeom>
                    <a:noFill/>
                    <a:ln>
                      <a:noFill/>
                    </a:ln>
                  </pic:spPr>
                </pic:pic>
              </a:graphicData>
            </a:graphic>
          </wp:inline>
        </w:drawing>
      </w:r>
    </w:p>
    <w:p w14:paraId="5A5E94A6" w14:textId="39A27835" w:rsidR="00202138" w:rsidRPr="00202138" w:rsidRDefault="00202138" w:rsidP="00202138">
      <w:r w:rsidRPr="00202138">
        <w:rPr>
          <w:noProof/>
        </w:rPr>
        <w:lastRenderedPageBreak/>
        <w:drawing>
          <wp:inline distT="0" distB="0" distL="0" distR="0" wp14:anchorId="61D544A1" wp14:editId="2B6BD117">
            <wp:extent cx="5731510" cy="525780"/>
            <wp:effectExtent l="0" t="0" r="2540" b="7620"/>
            <wp:docPr id="2101484801" name="Picture 6" descr="A blue and whit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84801" name="Picture 6" descr="A blue and white rectangular sig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25780"/>
                    </a:xfrm>
                    <a:prstGeom prst="rect">
                      <a:avLst/>
                    </a:prstGeom>
                    <a:noFill/>
                    <a:ln>
                      <a:noFill/>
                    </a:ln>
                  </pic:spPr>
                </pic:pic>
              </a:graphicData>
            </a:graphic>
          </wp:inline>
        </w:drawing>
      </w:r>
    </w:p>
    <w:p w14:paraId="79798303" w14:textId="77777777" w:rsidR="00202138" w:rsidRPr="00202138" w:rsidRDefault="00202138" w:rsidP="00202138">
      <w:r w:rsidRPr="00202138">
        <w:t>p-value = 7.14182 * 10^-22</w:t>
      </w:r>
    </w:p>
    <w:p w14:paraId="45A3FAB5" w14:textId="77777777" w:rsidR="00202138" w:rsidRPr="00202138" w:rsidRDefault="00202138" w:rsidP="00202138">
      <w:r w:rsidRPr="00202138">
        <w:t>Significance level: α = 0.05</w:t>
      </w:r>
    </w:p>
    <w:p w14:paraId="3ED5CBE5" w14:textId="77777777" w:rsidR="00202138" w:rsidRPr="00202138" w:rsidRDefault="00202138" w:rsidP="00202138">
      <w:r w:rsidRPr="00202138">
        <w:t>Reject the null hypothesis and accept the alternative hypothesis.</w:t>
      </w:r>
    </w:p>
    <w:p w14:paraId="2AFBD760" w14:textId="77777777" w:rsidR="00202138" w:rsidRPr="00202138" w:rsidRDefault="00202138" w:rsidP="00202138"/>
    <w:p w14:paraId="1A8246C8" w14:textId="77777777" w:rsidR="00202138" w:rsidRPr="00202138" w:rsidRDefault="00202138" w:rsidP="00202138"/>
    <w:p w14:paraId="12E23662" w14:textId="77777777" w:rsidR="00202138" w:rsidRPr="00202138" w:rsidRDefault="00202138" w:rsidP="00202138"/>
    <w:p w14:paraId="24A74AE9" w14:textId="77777777" w:rsidR="00202138" w:rsidRDefault="00202138"/>
    <w:sectPr w:rsidR="00202138">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F65F0" w14:textId="77777777" w:rsidR="007161E8" w:rsidRDefault="007161E8" w:rsidP="00AC37EA">
      <w:pPr>
        <w:spacing w:after="0" w:line="240" w:lineRule="auto"/>
      </w:pPr>
      <w:r>
        <w:separator/>
      </w:r>
    </w:p>
  </w:endnote>
  <w:endnote w:type="continuationSeparator" w:id="0">
    <w:p w14:paraId="0B16A824" w14:textId="77777777" w:rsidR="007161E8" w:rsidRDefault="007161E8" w:rsidP="00AC3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69B51" w14:textId="77777777" w:rsidR="00AC37EA" w:rsidRDefault="00AC37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22FA7" w14:textId="77777777" w:rsidR="00AC37EA" w:rsidRDefault="00AC37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1CD0" w14:textId="77777777" w:rsidR="00AC37EA" w:rsidRDefault="00AC37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57183" w14:textId="77777777" w:rsidR="007161E8" w:rsidRDefault="007161E8" w:rsidP="00AC37EA">
      <w:pPr>
        <w:spacing w:after="0" w:line="240" w:lineRule="auto"/>
      </w:pPr>
      <w:r>
        <w:separator/>
      </w:r>
    </w:p>
  </w:footnote>
  <w:footnote w:type="continuationSeparator" w:id="0">
    <w:p w14:paraId="330E7FB9" w14:textId="77777777" w:rsidR="007161E8" w:rsidRDefault="007161E8" w:rsidP="00AC37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4580B" w14:textId="77777777" w:rsidR="00AC37EA" w:rsidRDefault="00AC37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E503E" w14:textId="77777777" w:rsidR="00AC37EA" w:rsidRDefault="00AC37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B407" w14:textId="77777777" w:rsidR="00AC37EA" w:rsidRDefault="00AC37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1192"/>
    <w:multiLevelType w:val="multilevel"/>
    <w:tmpl w:val="31D05A7C"/>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912813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138"/>
    <w:rsid w:val="00082639"/>
    <w:rsid w:val="001443AE"/>
    <w:rsid w:val="00202138"/>
    <w:rsid w:val="002E3F54"/>
    <w:rsid w:val="004C3453"/>
    <w:rsid w:val="0053247D"/>
    <w:rsid w:val="005A082D"/>
    <w:rsid w:val="005B4678"/>
    <w:rsid w:val="005C67ED"/>
    <w:rsid w:val="00666E42"/>
    <w:rsid w:val="00677D43"/>
    <w:rsid w:val="006C1FDC"/>
    <w:rsid w:val="006F21DF"/>
    <w:rsid w:val="007161E8"/>
    <w:rsid w:val="007C43FD"/>
    <w:rsid w:val="008240FA"/>
    <w:rsid w:val="009C070A"/>
    <w:rsid w:val="00A733C8"/>
    <w:rsid w:val="00A81BD9"/>
    <w:rsid w:val="00AC0793"/>
    <w:rsid w:val="00AC37EA"/>
    <w:rsid w:val="00AD05FC"/>
    <w:rsid w:val="00B61BF8"/>
    <w:rsid w:val="00C76679"/>
    <w:rsid w:val="00DA4D4C"/>
    <w:rsid w:val="00F20166"/>
    <w:rsid w:val="00F81F4E"/>
    <w:rsid w:val="00FE72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14BCC"/>
  <w15:chartTrackingRefBased/>
  <w15:docId w15:val="{08E0FD0C-4155-4AF4-905B-45CD85436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138"/>
    <w:rPr>
      <w:rFonts w:eastAsiaTheme="majorEastAsia" w:cstheme="majorBidi"/>
      <w:color w:val="272727" w:themeColor="text1" w:themeTint="D8"/>
    </w:rPr>
  </w:style>
  <w:style w:type="paragraph" w:styleId="Title">
    <w:name w:val="Title"/>
    <w:basedOn w:val="Normal"/>
    <w:next w:val="Normal"/>
    <w:link w:val="TitleChar"/>
    <w:uiPriority w:val="10"/>
    <w:qFormat/>
    <w:rsid w:val="00202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138"/>
    <w:pPr>
      <w:spacing w:before="160"/>
      <w:jc w:val="center"/>
    </w:pPr>
    <w:rPr>
      <w:i/>
      <w:iCs/>
      <w:color w:val="404040" w:themeColor="text1" w:themeTint="BF"/>
    </w:rPr>
  </w:style>
  <w:style w:type="character" w:customStyle="1" w:styleId="QuoteChar">
    <w:name w:val="Quote Char"/>
    <w:basedOn w:val="DefaultParagraphFont"/>
    <w:link w:val="Quote"/>
    <w:uiPriority w:val="29"/>
    <w:rsid w:val="00202138"/>
    <w:rPr>
      <w:i/>
      <w:iCs/>
      <w:color w:val="404040" w:themeColor="text1" w:themeTint="BF"/>
    </w:rPr>
  </w:style>
  <w:style w:type="paragraph" w:styleId="ListParagraph">
    <w:name w:val="List Paragraph"/>
    <w:basedOn w:val="Normal"/>
    <w:uiPriority w:val="34"/>
    <w:qFormat/>
    <w:rsid w:val="00202138"/>
    <w:pPr>
      <w:ind w:left="720"/>
      <w:contextualSpacing/>
    </w:pPr>
  </w:style>
  <w:style w:type="character" w:styleId="IntenseEmphasis">
    <w:name w:val="Intense Emphasis"/>
    <w:basedOn w:val="DefaultParagraphFont"/>
    <w:uiPriority w:val="21"/>
    <w:qFormat/>
    <w:rsid w:val="00202138"/>
    <w:rPr>
      <w:i/>
      <w:iCs/>
      <w:color w:val="0F4761" w:themeColor="accent1" w:themeShade="BF"/>
    </w:rPr>
  </w:style>
  <w:style w:type="paragraph" w:styleId="IntenseQuote">
    <w:name w:val="Intense Quote"/>
    <w:basedOn w:val="Normal"/>
    <w:next w:val="Normal"/>
    <w:link w:val="IntenseQuoteChar"/>
    <w:uiPriority w:val="30"/>
    <w:qFormat/>
    <w:rsid w:val="00202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138"/>
    <w:rPr>
      <w:i/>
      <w:iCs/>
      <w:color w:val="0F4761" w:themeColor="accent1" w:themeShade="BF"/>
    </w:rPr>
  </w:style>
  <w:style w:type="character" w:styleId="IntenseReference">
    <w:name w:val="Intense Reference"/>
    <w:basedOn w:val="DefaultParagraphFont"/>
    <w:uiPriority w:val="32"/>
    <w:qFormat/>
    <w:rsid w:val="00202138"/>
    <w:rPr>
      <w:b/>
      <w:bCs/>
      <w:smallCaps/>
      <w:color w:val="0F4761" w:themeColor="accent1" w:themeShade="BF"/>
      <w:spacing w:val="5"/>
    </w:rPr>
  </w:style>
  <w:style w:type="character" w:styleId="Hyperlink">
    <w:name w:val="Hyperlink"/>
    <w:basedOn w:val="DefaultParagraphFont"/>
    <w:uiPriority w:val="99"/>
    <w:unhideWhenUsed/>
    <w:rsid w:val="00202138"/>
    <w:rPr>
      <w:color w:val="467886" w:themeColor="hyperlink"/>
      <w:u w:val="single"/>
    </w:rPr>
  </w:style>
  <w:style w:type="character" w:styleId="UnresolvedMention">
    <w:name w:val="Unresolved Mention"/>
    <w:basedOn w:val="DefaultParagraphFont"/>
    <w:uiPriority w:val="99"/>
    <w:semiHidden/>
    <w:unhideWhenUsed/>
    <w:rsid w:val="00202138"/>
    <w:rPr>
      <w:color w:val="605E5C"/>
      <w:shd w:val="clear" w:color="auto" w:fill="E1DFDD"/>
    </w:rPr>
  </w:style>
  <w:style w:type="paragraph" w:styleId="Header">
    <w:name w:val="header"/>
    <w:basedOn w:val="Normal"/>
    <w:link w:val="HeaderChar"/>
    <w:uiPriority w:val="99"/>
    <w:unhideWhenUsed/>
    <w:rsid w:val="00AC37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37EA"/>
  </w:style>
  <w:style w:type="paragraph" w:styleId="Footer">
    <w:name w:val="footer"/>
    <w:basedOn w:val="Normal"/>
    <w:link w:val="FooterChar"/>
    <w:uiPriority w:val="99"/>
    <w:unhideWhenUsed/>
    <w:rsid w:val="00AC37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37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3762-022-04303-8" TargetMode="Externa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shell.com/what-we-do/our-strategy.html" TargetMode="Externa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6fa6db5-9f3a-4c93-9e38-61059ee07e95}" enabled="1" method="Standar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12</Pages>
  <Words>3361</Words>
  <Characters>20643</Characters>
  <Application>Microsoft Office Word</Application>
  <DocSecurity>0</DocSecurity>
  <Lines>389</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Brindle</dc:creator>
  <cp:keywords/>
  <dc:description/>
  <cp:lastModifiedBy>Dylan Brindle</cp:lastModifiedBy>
  <cp:revision>3</cp:revision>
  <dcterms:created xsi:type="dcterms:W3CDTF">2025-11-30T22:30:00Z</dcterms:created>
  <dcterms:modified xsi:type="dcterms:W3CDTF">2025-11-30T22:38:00Z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1935dfbb-cd60-4089-8a6c-f026d11a6c7d</vt:lpwstr>
  </property>
</Properties>
</file>