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49FB" w14:textId="2391002F" w:rsidR="005C1B7D" w:rsidRPr="00822AF5" w:rsidRDefault="001E456A" w:rsidP="001E456A">
      <w:pPr>
        <w:pStyle w:val="Title"/>
        <w:spacing w:before="120" w:line="360" w:lineRule="auto"/>
        <w:rPr>
          <w:b w:val="0"/>
          <w:lang w:val="en-US"/>
        </w:rPr>
      </w:pPr>
      <w:r w:rsidRPr="001E456A">
        <w:rPr>
          <w:lang w:val="en-US"/>
        </w:rPr>
        <w:t>Individual Case Study Report</w:t>
      </w:r>
    </w:p>
    <w:sdt>
      <w:sdtPr>
        <w:rPr>
          <w:rFonts w:asciiTheme="minorHAnsi" w:eastAsia="Times New Roman" w:hAnsiTheme="minorHAnsi" w:cs="Times New Roman"/>
          <w:b w:val="0"/>
          <w:bCs w:val="0"/>
          <w:color w:val="auto"/>
          <w:sz w:val="24"/>
          <w:szCs w:val="24"/>
          <w:lang w:val="en-CH"/>
        </w:rPr>
        <w:id w:val="-245882655"/>
        <w:docPartObj>
          <w:docPartGallery w:val="Table of Contents"/>
          <w:docPartUnique/>
        </w:docPartObj>
      </w:sdtPr>
      <w:sdtEndPr>
        <w:rPr>
          <w:rFonts w:ascii="Times New Roman" w:hAnsi="Times New Roman"/>
          <w:noProof/>
        </w:rPr>
      </w:sdtEndPr>
      <w:sdtContent>
        <w:p w14:paraId="3F4E48BC" w14:textId="57C788A8" w:rsidR="00F236A3" w:rsidRDefault="00F236A3" w:rsidP="001E456A">
          <w:pPr>
            <w:pStyle w:val="TOCHeading"/>
            <w:spacing w:before="120" w:line="360" w:lineRule="auto"/>
          </w:pPr>
          <w:r>
            <w:t>Table of Contents</w:t>
          </w:r>
        </w:p>
        <w:p w14:paraId="393D618B" w14:textId="78374189" w:rsidR="007E1686" w:rsidRDefault="00F236A3">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5280133" w:history="1">
            <w:r w:rsidR="007E1686" w:rsidRPr="00185DBC">
              <w:rPr>
                <w:rStyle w:val="Hyperlink"/>
                <w:noProof/>
              </w:rPr>
              <w:t>Guidelines (remove in final version)</w:t>
            </w:r>
            <w:r w:rsidR="007E1686">
              <w:rPr>
                <w:noProof/>
                <w:webHidden/>
              </w:rPr>
              <w:tab/>
            </w:r>
            <w:r w:rsidR="007E1686">
              <w:rPr>
                <w:noProof/>
                <w:webHidden/>
              </w:rPr>
              <w:fldChar w:fldCharType="begin"/>
            </w:r>
            <w:r w:rsidR="007E1686">
              <w:rPr>
                <w:noProof/>
                <w:webHidden/>
              </w:rPr>
              <w:instrText xml:space="preserve"> PAGEREF _Toc115280133 \h </w:instrText>
            </w:r>
            <w:r w:rsidR="007E1686">
              <w:rPr>
                <w:noProof/>
                <w:webHidden/>
              </w:rPr>
            </w:r>
            <w:r w:rsidR="007E1686">
              <w:rPr>
                <w:noProof/>
                <w:webHidden/>
              </w:rPr>
              <w:fldChar w:fldCharType="separate"/>
            </w:r>
            <w:r w:rsidR="007E1686">
              <w:rPr>
                <w:noProof/>
                <w:webHidden/>
              </w:rPr>
              <w:t>1</w:t>
            </w:r>
            <w:r w:rsidR="007E1686">
              <w:rPr>
                <w:noProof/>
                <w:webHidden/>
              </w:rPr>
              <w:fldChar w:fldCharType="end"/>
            </w:r>
          </w:hyperlink>
        </w:p>
        <w:p w14:paraId="02D3ECFD" w14:textId="65AECA18" w:rsidR="007E1686" w:rsidRDefault="00A315B4">
          <w:pPr>
            <w:pStyle w:val="TOC1"/>
            <w:tabs>
              <w:tab w:val="right" w:leader="dot" w:pos="9016"/>
            </w:tabs>
            <w:rPr>
              <w:rFonts w:eastAsiaTheme="minorEastAsia" w:cstheme="minorBidi"/>
              <w:b w:val="0"/>
              <w:bCs w:val="0"/>
              <w:i w:val="0"/>
              <w:iCs w:val="0"/>
              <w:noProof/>
            </w:rPr>
          </w:pPr>
          <w:hyperlink w:anchor="_Toc115280134" w:history="1">
            <w:r w:rsidR="007E1686" w:rsidRPr="00185DBC">
              <w:rPr>
                <w:rStyle w:val="Hyperlink"/>
                <w:noProof/>
                <w:lang w:val="en-US"/>
              </w:rPr>
              <w:t>Overview</w:t>
            </w:r>
            <w:r w:rsidR="007E1686">
              <w:rPr>
                <w:noProof/>
                <w:webHidden/>
              </w:rPr>
              <w:tab/>
            </w:r>
            <w:r w:rsidR="007E1686">
              <w:rPr>
                <w:noProof/>
                <w:webHidden/>
              </w:rPr>
              <w:fldChar w:fldCharType="begin"/>
            </w:r>
            <w:r w:rsidR="007E1686">
              <w:rPr>
                <w:noProof/>
                <w:webHidden/>
              </w:rPr>
              <w:instrText xml:space="preserve"> PAGEREF _Toc115280134 \h </w:instrText>
            </w:r>
            <w:r w:rsidR="007E1686">
              <w:rPr>
                <w:noProof/>
                <w:webHidden/>
              </w:rPr>
            </w:r>
            <w:r w:rsidR="007E1686">
              <w:rPr>
                <w:noProof/>
                <w:webHidden/>
              </w:rPr>
              <w:fldChar w:fldCharType="separate"/>
            </w:r>
            <w:r w:rsidR="007E1686">
              <w:rPr>
                <w:noProof/>
                <w:webHidden/>
              </w:rPr>
              <w:t>2</w:t>
            </w:r>
            <w:r w:rsidR="007E1686">
              <w:rPr>
                <w:noProof/>
                <w:webHidden/>
              </w:rPr>
              <w:fldChar w:fldCharType="end"/>
            </w:r>
          </w:hyperlink>
        </w:p>
        <w:p w14:paraId="17375112" w14:textId="70F840C2" w:rsidR="007E1686" w:rsidRDefault="00A315B4">
          <w:pPr>
            <w:pStyle w:val="TOC2"/>
            <w:tabs>
              <w:tab w:val="right" w:leader="dot" w:pos="9016"/>
            </w:tabs>
            <w:rPr>
              <w:rFonts w:eastAsiaTheme="minorEastAsia" w:cstheme="minorBidi"/>
              <w:b w:val="0"/>
              <w:bCs w:val="0"/>
              <w:noProof/>
              <w:sz w:val="24"/>
              <w:szCs w:val="24"/>
            </w:rPr>
          </w:pPr>
          <w:hyperlink w:anchor="_Toc115280135" w:history="1">
            <w:r w:rsidR="007E1686" w:rsidRPr="00185DBC">
              <w:rPr>
                <w:rStyle w:val="Hyperlink"/>
                <w:noProof/>
              </w:rPr>
              <w:t>Part A: Preclinical Plan</w:t>
            </w:r>
            <w:r w:rsidR="007E1686">
              <w:rPr>
                <w:noProof/>
                <w:webHidden/>
              </w:rPr>
              <w:tab/>
            </w:r>
            <w:r w:rsidR="007E1686">
              <w:rPr>
                <w:noProof/>
                <w:webHidden/>
              </w:rPr>
              <w:fldChar w:fldCharType="begin"/>
            </w:r>
            <w:r w:rsidR="007E1686">
              <w:rPr>
                <w:noProof/>
                <w:webHidden/>
              </w:rPr>
              <w:instrText xml:space="preserve"> PAGEREF _Toc115280135 \h </w:instrText>
            </w:r>
            <w:r w:rsidR="007E1686">
              <w:rPr>
                <w:noProof/>
                <w:webHidden/>
              </w:rPr>
            </w:r>
            <w:r w:rsidR="007E1686">
              <w:rPr>
                <w:noProof/>
                <w:webHidden/>
              </w:rPr>
              <w:fldChar w:fldCharType="separate"/>
            </w:r>
            <w:r w:rsidR="007E1686">
              <w:rPr>
                <w:noProof/>
                <w:webHidden/>
              </w:rPr>
              <w:t>4</w:t>
            </w:r>
            <w:r w:rsidR="007E1686">
              <w:rPr>
                <w:noProof/>
                <w:webHidden/>
              </w:rPr>
              <w:fldChar w:fldCharType="end"/>
            </w:r>
          </w:hyperlink>
        </w:p>
        <w:p w14:paraId="402DEAFF" w14:textId="0A3A62BE" w:rsidR="007E1686" w:rsidRDefault="00A315B4">
          <w:pPr>
            <w:pStyle w:val="TOC3"/>
            <w:tabs>
              <w:tab w:val="right" w:leader="dot" w:pos="9016"/>
            </w:tabs>
            <w:rPr>
              <w:rFonts w:eastAsiaTheme="minorEastAsia" w:cstheme="minorBidi"/>
              <w:noProof/>
              <w:sz w:val="24"/>
              <w:szCs w:val="24"/>
            </w:rPr>
          </w:pPr>
          <w:hyperlink w:anchor="_Toc115280136" w:history="1">
            <w:r w:rsidR="007E1686" w:rsidRPr="00185DBC">
              <w:rPr>
                <w:rStyle w:val="Hyperlink"/>
                <w:noProof/>
                <w:lang w:val="en-US"/>
              </w:rPr>
              <w:t>ICH M3 R2</w:t>
            </w:r>
            <w:r w:rsidR="007E1686">
              <w:rPr>
                <w:noProof/>
                <w:webHidden/>
              </w:rPr>
              <w:tab/>
            </w:r>
            <w:r w:rsidR="007E1686">
              <w:rPr>
                <w:noProof/>
                <w:webHidden/>
              </w:rPr>
              <w:fldChar w:fldCharType="begin"/>
            </w:r>
            <w:r w:rsidR="007E1686">
              <w:rPr>
                <w:noProof/>
                <w:webHidden/>
              </w:rPr>
              <w:instrText xml:space="preserve"> PAGEREF _Toc115280136 \h </w:instrText>
            </w:r>
            <w:r w:rsidR="007E1686">
              <w:rPr>
                <w:noProof/>
                <w:webHidden/>
              </w:rPr>
            </w:r>
            <w:r w:rsidR="007E1686">
              <w:rPr>
                <w:noProof/>
                <w:webHidden/>
              </w:rPr>
              <w:fldChar w:fldCharType="separate"/>
            </w:r>
            <w:r w:rsidR="007E1686">
              <w:rPr>
                <w:noProof/>
                <w:webHidden/>
              </w:rPr>
              <w:t>5</w:t>
            </w:r>
            <w:r w:rsidR="007E1686">
              <w:rPr>
                <w:noProof/>
                <w:webHidden/>
              </w:rPr>
              <w:fldChar w:fldCharType="end"/>
            </w:r>
          </w:hyperlink>
        </w:p>
        <w:p w14:paraId="3C9CFFBF" w14:textId="02FB8483" w:rsidR="007E1686" w:rsidRDefault="00A315B4">
          <w:pPr>
            <w:pStyle w:val="TOC2"/>
            <w:tabs>
              <w:tab w:val="right" w:leader="dot" w:pos="9016"/>
            </w:tabs>
            <w:rPr>
              <w:rFonts w:eastAsiaTheme="minorEastAsia" w:cstheme="minorBidi"/>
              <w:b w:val="0"/>
              <w:bCs w:val="0"/>
              <w:noProof/>
              <w:sz w:val="24"/>
              <w:szCs w:val="24"/>
            </w:rPr>
          </w:pPr>
          <w:hyperlink w:anchor="_Toc115280137" w:history="1">
            <w:r w:rsidR="007E1686" w:rsidRPr="00185DBC">
              <w:rPr>
                <w:rStyle w:val="Hyperlink"/>
                <w:noProof/>
              </w:rPr>
              <w:t>Part B: Clinical Plan</w:t>
            </w:r>
            <w:r w:rsidR="007E1686">
              <w:rPr>
                <w:noProof/>
                <w:webHidden/>
              </w:rPr>
              <w:tab/>
            </w:r>
            <w:r w:rsidR="007E1686">
              <w:rPr>
                <w:noProof/>
                <w:webHidden/>
              </w:rPr>
              <w:fldChar w:fldCharType="begin"/>
            </w:r>
            <w:r w:rsidR="007E1686">
              <w:rPr>
                <w:noProof/>
                <w:webHidden/>
              </w:rPr>
              <w:instrText xml:space="preserve"> PAGEREF _Toc115280137 \h </w:instrText>
            </w:r>
            <w:r w:rsidR="007E1686">
              <w:rPr>
                <w:noProof/>
                <w:webHidden/>
              </w:rPr>
            </w:r>
            <w:r w:rsidR="007E1686">
              <w:rPr>
                <w:noProof/>
                <w:webHidden/>
              </w:rPr>
              <w:fldChar w:fldCharType="separate"/>
            </w:r>
            <w:r w:rsidR="007E1686">
              <w:rPr>
                <w:noProof/>
                <w:webHidden/>
              </w:rPr>
              <w:t>5</w:t>
            </w:r>
            <w:r w:rsidR="007E1686">
              <w:rPr>
                <w:noProof/>
                <w:webHidden/>
              </w:rPr>
              <w:fldChar w:fldCharType="end"/>
            </w:r>
          </w:hyperlink>
        </w:p>
        <w:p w14:paraId="6E0C0452" w14:textId="1EDC3597" w:rsidR="007E1686" w:rsidRDefault="00A315B4">
          <w:pPr>
            <w:pStyle w:val="TOC2"/>
            <w:tabs>
              <w:tab w:val="right" w:leader="dot" w:pos="9016"/>
            </w:tabs>
            <w:rPr>
              <w:rFonts w:eastAsiaTheme="minorEastAsia" w:cstheme="minorBidi"/>
              <w:b w:val="0"/>
              <w:bCs w:val="0"/>
              <w:noProof/>
              <w:sz w:val="24"/>
              <w:szCs w:val="24"/>
            </w:rPr>
          </w:pPr>
          <w:hyperlink w:anchor="_Toc115280138" w:history="1">
            <w:r w:rsidR="007E1686" w:rsidRPr="00185DBC">
              <w:rPr>
                <w:rStyle w:val="Hyperlink"/>
                <w:noProof/>
              </w:rPr>
              <w:t>Part C: Chemistry, Manufacturing and Controls, CMC</w:t>
            </w:r>
            <w:r w:rsidR="007E1686">
              <w:rPr>
                <w:noProof/>
                <w:webHidden/>
              </w:rPr>
              <w:tab/>
            </w:r>
            <w:r w:rsidR="007E1686">
              <w:rPr>
                <w:noProof/>
                <w:webHidden/>
              </w:rPr>
              <w:fldChar w:fldCharType="begin"/>
            </w:r>
            <w:r w:rsidR="007E1686">
              <w:rPr>
                <w:noProof/>
                <w:webHidden/>
              </w:rPr>
              <w:instrText xml:space="preserve"> PAGEREF _Toc115280138 \h </w:instrText>
            </w:r>
            <w:r w:rsidR="007E1686">
              <w:rPr>
                <w:noProof/>
                <w:webHidden/>
              </w:rPr>
            </w:r>
            <w:r w:rsidR="007E1686">
              <w:rPr>
                <w:noProof/>
                <w:webHidden/>
              </w:rPr>
              <w:fldChar w:fldCharType="separate"/>
            </w:r>
            <w:r w:rsidR="007E1686">
              <w:rPr>
                <w:noProof/>
                <w:webHidden/>
              </w:rPr>
              <w:t>6</w:t>
            </w:r>
            <w:r w:rsidR="007E1686">
              <w:rPr>
                <w:noProof/>
                <w:webHidden/>
              </w:rPr>
              <w:fldChar w:fldCharType="end"/>
            </w:r>
          </w:hyperlink>
        </w:p>
        <w:p w14:paraId="5E0EB7FF" w14:textId="5A1D2FDD" w:rsidR="007E1686" w:rsidRDefault="00A315B4">
          <w:pPr>
            <w:pStyle w:val="TOC2"/>
            <w:tabs>
              <w:tab w:val="right" w:leader="dot" w:pos="9016"/>
            </w:tabs>
            <w:rPr>
              <w:rFonts w:eastAsiaTheme="minorEastAsia" w:cstheme="minorBidi"/>
              <w:b w:val="0"/>
              <w:bCs w:val="0"/>
              <w:noProof/>
              <w:sz w:val="24"/>
              <w:szCs w:val="24"/>
            </w:rPr>
          </w:pPr>
          <w:hyperlink w:anchor="_Toc115280139" w:history="1">
            <w:r w:rsidR="007E1686" w:rsidRPr="00185DBC">
              <w:rPr>
                <w:rStyle w:val="Hyperlink"/>
                <w:noProof/>
              </w:rPr>
              <w:t>Part D: Pre-IND Meeting / Scientific Advice</w:t>
            </w:r>
            <w:r w:rsidR="007E1686">
              <w:rPr>
                <w:noProof/>
                <w:webHidden/>
              </w:rPr>
              <w:tab/>
            </w:r>
            <w:r w:rsidR="007E1686">
              <w:rPr>
                <w:noProof/>
                <w:webHidden/>
              </w:rPr>
              <w:fldChar w:fldCharType="begin"/>
            </w:r>
            <w:r w:rsidR="007E1686">
              <w:rPr>
                <w:noProof/>
                <w:webHidden/>
              </w:rPr>
              <w:instrText xml:space="preserve"> PAGEREF _Toc115280139 \h </w:instrText>
            </w:r>
            <w:r w:rsidR="007E1686">
              <w:rPr>
                <w:noProof/>
                <w:webHidden/>
              </w:rPr>
            </w:r>
            <w:r w:rsidR="007E1686">
              <w:rPr>
                <w:noProof/>
                <w:webHidden/>
              </w:rPr>
              <w:fldChar w:fldCharType="separate"/>
            </w:r>
            <w:r w:rsidR="007E1686">
              <w:rPr>
                <w:noProof/>
                <w:webHidden/>
              </w:rPr>
              <w:t>6</w:t>
            </w:r>
            <w:r w:rsidR="007E1686">
              <w:rPr>
                <w:noProof/>
                <w:webHidden/>
              </w:rPr>
              <w:fldChar w:fldCharType="end"/>
            </w:r>
          </w:hyperlink>
        </w:p>
        <w:p w14:paraId="75B5955D" w14:textId="2ABC617A" w:rsidR="007E1686" w:rsidRDefault="00A315B4">
          <w:pPr>
            <w:pStyle w:val="TOC2"/>
            <w:tabs>
              <w:tab w:val="right" w:leader="dot" w:pos="9016"/>
            </w:tabs>
            <w:rPr>
              <w:rFonts w:eastAsiaTheme="minorEastAsia" w:cstheme="minorBidi"/>
              <w:b w:val="0"/>
              <w:bCs w:val="0"/>
              <w:noProof/>
              <w:sz w:val="24"/>
              <w:szCs w:val="24"/>
            </w:rPr>
          </w:pPr>
          <w:hyperlink w:anchor="_Toc115280140" w:history="1">
            <w:r w:rsidR="007E1686" w:rsidRPr="00185DBC">
              <w:rPr>
                <w:rStyle w:val="Hyperlink"/>
                <w:noProof/>
              </w:rPr>
              <w:t>Part E: Inspection Readiness</w:t>
            </w:r>
            <w:r w:rsidR="007E1686">
              <w:rPr>
                <w:noProof/>
                <w:webHidden/>
              </w:rPr>
              <w:tab/>
            </w:r>
            <w:r w:rsidR="007E1686">
              <w:rPr>
                <w:noProof/>
                <w:webHidden/>
              </w:rPr>
              <w:fldChar w:fldCharType="begin"/>
            </w:r>
            <w:r w:rsidR="007E1686">
              <w:rPr>
                <w:noProof/>
                <w:webHidden/>
              </w:rPr>
              <w:instrText xml:space="preserve"> PAGEREF _Toc115280140 \h </w:instrText>
            </w:r>
            <w:r w:rsidR="007E1686">
              <w:rPr>
                <w:noProof/>
                <w:webHidden/>
              </w:rPr>
            </w:r>
            <w:r w:rsidR="007E1686">
              <w:rPr>
                <w:noProof/>
                <w:webHidden/>
              </w:rPr>
              <w:fldChar w:fldCharType="separate"/>
            </w:r>
            <w:r w:rsidR="007E1686">
              <w:rPr>
                <w:noProof/>
                <w:webHidden/>
              </w:rPr>
              <w:t>7</w:t>
            </w:r>
            <w:r w:rsidR="007E1686">
              <w:rPr>
                <w:noProof/>
                <w:webHidden/>
              </w:rPr>
              <w:fldChar w:fldCharType="end"/>
            </w:r>
          </w:hyperlink>
        </w:p>
        <w:p w14:paraId="523007EC" w14:textId="5CEB9D18" w:rsidR="007E1686" w:rsidRDefault="00A315B4">
          <w:pPr>
            <w:pStyle w:val="TOC2"/>
            <w:tabs>
              <w:tab w:val="right" w:leader="dot" w:pos="9016"/>
            </w:tabs>
            <w:rPr>
              <w:rFonts w:eastAsiaTheme="minorEastAsia" w:cstheme="minorBidi"/>
              <w:b w:val="0"/>
              <w:bCs w:val="0"/>
              <w:noProof/>
              <w:sz w:val="24"/>
              <w:szCs w:val="24"/>
            </w:rPr>
          </w:pPr>
          <w:hyperlink w:anchor="_Toc115280141" w:history="1">
            <w:r w:rsidR="007E1686" w:rsidRPr="00185DBC">
              <w:rPr>
                <w:rStyle w:val="Hyperlink"/>
                <w:noProof/>
              </w:rPr>
              <w:t>Overall strategy</w:t>
            </w:r>
            <w:r w:rsidR="007E1686">
              <w:rPr>
                <w:noProof/>
                <w:webHidden/>
              </w:rPr>
              <w:tab/>
            </w:r>
            <w:r w:rsidR="007E1686">
              <w:rPr>
                <w:noProof/>
                <w:webHidden/>
              </w:rPr>
              <w:fldChar w:fldCharType="begin"/>
            </w:r>
            <w:r w:rsidR="007E1686">
              <w:rPr>
                <w:noProof/>
                <w:webHidden/>
              </w:rPr>
              <w:instrText xml:space="preserve"> PAGEREF _Toc115280141 \h </w:instrText>
            </w:r>
            <w:r w:rsidR="007E1686">
              <w:rPr>
                <w:noProof/>
                <w:webHidden/>
              </w:rPr>
            </w:r>
            <w:r w:rsidR="007E1686">
              <w:rPr>
                <w:noProof/>
                <w:webHidden/>
              </w:rPr>
              <w:fldChar w:fldCharType="separate"/>
            </w:r>
            <w:r w:rsidR="007E1686">
              <w:rPr>
                <w:noProof/>
                <w:webHidden/>
              </w:rPr>
              <w:t>7</w:t>
            </w:r>
            <w:r w:rsidR="007E1686">
              <w:rPr>
                <w:noProof/>
                <w:webHidden/>
              </w:rPr>
              <w:fldChar w:fldCharType="end"/>
            </w:r>
          </w:hyperlink>
        </w:p>
        <w:p w14:paraId="17ACBB62" w14:textId="789573B4" w:rsidR="007E1686" w:rsidRDefault="00A315B4">
          <w:pPr>
            <w:pStyle w:val="TOC2"/>
            <w:tabs>
              <w:tab w:val="right" w:leader="dot" w:pos="9016"/>
            </w:tabs>
            <w:rPr>
              <w:rFonts w:eastAsiaTheme="minorEastAsia" w:cstheme="minorBidi"/>
              <w:b w:val="0"/>
              <w:bCs w:val="0"/>
              <w:noProof/>
              <w:sz w:val="24"/>
              <w:szCs w:val="24"/>
            </w:rPr>
          </w:pPr>
          <w:hyperlink w:anchor="_Toc115280142" w:history="1">
            <w:r w:rsidR="007E1686" w:rsidRPr="00185DBC">
              <w:rPr>
                <w:rStyle w:val="Hyperlink"/>
                <w:noProof/>
              </w:rPr>
              <w:t>Advice to Management</w:t>
            </w:r>
            <w:r w:rsidR="007E1686">
              <w:rPr>
                <w:noProof/>
                <w:webHidden/>
              </w:rPr>
              <w:tab/>
            </w:r>
            <w:r w:rsidR="007E1686">
              <w:rPr>
                <w:noProof/>
                <w:webHidden/>
              </w:rPr>
              <w:fldChar w:fldCharType="begin"/>
            </w:r>
            <w:r w:rsidR="007E1686">
              <w:rPr>
                <w:noProof/>
                <w:webHidden/>
              </w:rPr>
              <w:instrText xml:space="preserve"> PAGEREF _Toc115280142 \h </w:instrText>
            </w:r>
            <w:r w:rsidR="007E1686">
              <w:rPr>
                <w:noProof/>
                <w:webHidden/>
              </w:rPr>
            </w:r>
            <w:r w:rsidR="007E1686">
              <w:rPr>
                <w:noProof/>
                <w:webHidden/>
              </w:rPr>
              <w:fldChar w:fldCharType="separate"/>
            </w:r>
            <w:r w:rsidR="007E1686">
              <w:rPr>
                <w:noProof/>
                <w:webHidden/>
              </w:rPr>
              <w:t>7</w:t>
            </w:r>
            <w:r w:rsidR="007E1686">
              <w:rPr>
                <w:noProof/>
                <w:webHidden/>
              </w:rPr>
              <w:fldChar w:fldCharType="end"/>
            </w:r>
          </w:hyperlink>
        </w:p>
        <w:p w14:paraId="589D5F7D" w14:textId="5F8C725E" w:rsidR="007E1686" w:rsidRDefault="00A315B4">
          <w:pPr>
            <w:pStyle w:val="TOC2"/>
            <w:tabs>
              <w:tab w:val="right" w:leader="dot" w:pos="9016"/>
            </w:tabs>
            <w:rPr>
              <w:rFonts w:eastAsiaTheme="minorEastAsia" w:cstheme="minorBidi"/>
              <w:b w:val="0"/>
              <w:bCs w:val="0"/>
              <w:noProof/>
              <w:sz w:val="24"/>
              <w:szCs w:val="24"/>
            </w:rPr>
          </w:pPr>
          <w:hyperlink w:anchor="_Toc115280143" w:history="1">
            <w:r w:rsidR="007E1686" w:rsidRPr="00185DBC">
              <w:rPr>
                <w:rStyle w:val="Hyperlink"/>
                <w:noProof/>
              </w:rPr>
              <w:t>Conclusion</w:t>
            </w:r>
            <w:r w:rsidR="007E1686">
              <w:rPr>
                <w:noProof/>
                <w:webHidden/>
              </w:rPr>
              <w:tab/>
            </w:r>
            <w:r w:rsidR="007E1686">
              <w:rPr>
                <w:noProof/>
                <w:webHidden/>
              </w:rPr>
              <w:fldChar w:fldCharType="begin"/>
            </w:r>
            <w:r w:rsidR="007E1686">
              <w:rPr>
                <w:noProof/>
                <w:webHidden/>
              </w:rPr>
              <w:instrText xml:space="preserve"> PAGEREF _Toc115280143 \h </w:instrText>
            </w:r>
            <w:r w:rsidR="007E1686">
              <w:rPr>
                <w:noProof/>
                <w:webHidden/>
              </w:rPr>
            </w:r>
            <w:r w:rsidR="007E1686">
              <w:rPr>
                <w:noProof/>
                <w:webHidden/>
              </w:rPr>
              <w:fldChar w:fldCharType="separate"/>
            </w:r>
            <w:r w:rsidR="007E1686">
              <w:rPr>
                <w:noProof/>
                <w:webHidden/>
              </w:rPr>
              <w:t>8</w:t>
            </w:r>
            <w:r w:rsidR="007E1686">
              <w:rPr>
                <w:noProof/>
                <w:webHidden/>
              </w:rPr>
              <w:fldChar w:fldCharType="end"/>
            </w:r>
          </w:hyperlink>
        </w:p>
        <w:p w14:paraId="286523CA" w14:textId="76C50C5F" w:rsidR="007E1686" w:rsidRDefault="00A315B4">
          <w:pPr>
            <w:pStyle w:val="TOC1"/>
            <w:tabs>
              <w:tab w:val="right" w:leader="dot" w:pos="9016"/>
            </w:tabs>
            <w:rPr>
              <w:rFonts w:eastAsiaTheme="minorEastAsia" w:cstheme="minorBidi"/>
              <w:b w:val="0"/>
              <w:bCs w:val="0"/>
              <w:i w:val="0"/>
              <w:iCs w:val="0"/>
              <w:noProof/>
            </w:rPr>
          </w:pPr>
          <w:hyperlink w:anchor="_Toc115280144" w:history="1">
            <w:r w:rsidR="007E1686" w:rsidRPr="00185DBC">
              <w:rPr>
                <w:rStyle w:val="Hyperlink"/>
                <w:noProof/>
                <w:lang w:val="en-US"/>
              </w:rPr>
              <w:t>Supplemental</w:t>
            </w:r>
            <w:r w:rsidR="007E1686">
              <w:rPr>
                <w:noProof/>
                <w:webHidden/>
              </w:rPr>
              <w:tab/>
            </w:r>
            <w:r w:rsidR="007E1686">
              <w:rPr>
                <w:noProof/>
                <w:webHidden/>
              </w:rPr>
              <w:fldChar w:fldCharType="begin"/>
            </w:r>
            <w:r w:rsidR="007E1686">
              <w:rPr>
                <w:noProof/>
                <w:webHidden/>
              </w:rPr>
              <w:instrText xml:space="preserve"> PAGEREF _Toc115280144 \h </w:instrText>
            </w:r>
            <w:r w:rsidR="007E1686">
              <w:rPr>
                <w:noProof/>
                <w:webHidden/>
              </w:rPr>
            </w:r>
            <w:r w:rsidR="007E1686">
              <w:rPr>
                <w:noProof/>
                <w:webHidden/>
              </w:rPr>
              <w:fldChar w:fldCharType="separate"/>
            </w:r>
            <w:r w:rsidR="007E1686">
              <w:rPr>
                <w:noProof/>
                <w:webHidden/>
              </w:rPr>
              <w:t>8</w:t>
            </w:r>
            <w:r w:rsidR="007E1686">
              <w:rPr>
                <w:noProof/>
                <w:webHidden/>
              </w:rPr>
              <w:fldChar w:fldCharType="end"/>
            </w:r>
          </w:hyperlink>
        </w:p>
        <w:p w14:paraId="4B1ACD01" w14:textId="78668E17" w:rsidR="007E1686" w:rsidRDefault="00A315B4">
          <w:pPr>
            <w:pStyle w:val="TOC2"/>
            <w:tabs>
              <w:tab w:val="right" w:leader="dot" w:pos="9016"/>
            </w:tabs>
            <w:rPr>
              <w:rFonts w:eastAsiaTheme="minorEastAsia" w:cstheme="minorBidi"/>
              <w:b w:val="0"/>
              <w:bCs w:val="0"/>
              <w:noProof/>
              <w:sz w:val="24"/>
              <w:szCs w:val="24"/>
            </w:rPr>
          </w:pPr>
          <w:hyperlink w:anchor="_Toc115280145" w:history="1">
            <w:r w:rsidR="007E1686" w:rsidRPr="00185DBC">
              <w:rPr>
                <w:rStyle w:val="Hyperlink"/>
                <w:noProof/>
                <w:lang w:val="en-US"/>
              </w:rPr>
              <w:t>Introduction</w:t>
            </w:r>
            <w:r w:rsidR="007E1686">
              <w:rPr>
                <w:noProof/>
                <w:webHidden/>
              </w:rPr>
              <w:tab/>
            </w:r>
            <w:r w:rsidR="007E1686">
              <w:rPr>
                <w:noProof/>
                <w:webHidden/>
              </w:rPr>
              <w:fldChar w:fldCharType="begin"/>
            </w:r>
            <w:r w:rsidR="007E1686">
              <w:rPr>
                <w:noProof/>
                <w:webHidden/>
              </w:rPr>
              <w:instrText xml:space="preserve"> PAGEREF _Toc115280145 \h </w:instrText>
            </w:r>
            <w:r w:rsidR="007E1686">
              <w:rPr>
                <w:noProof/>
                <w:webHidden/>
              </w:rPr>
            </w:r>
            <w:r w:rsidR="007E1686">
              <w:rPr>
                <w:noProof/>
                <w:webHidden/>
              </w:rPr>
              <w:fldChar w:fldCharType="separate"/>
            </w:r>
            <w:r w:rsidR="007E1686">
              <w:rPr>
                <w:noProof/>
                <w:webHidden/>
              </w:rPr>
              <w:t>8</w:t>
            </w:r>
            <w:r w:rsidR="007E1686">
              <w:rPr>
                <w:noProof/>
                <w:webHidden/>
              </w:rPr>
              <w:fldChar w:fldCharType="end"/>
            </w:r>
          </w:hyperlink>
        </w:p>
        <w:p w14:paraId="5E378A49" w14:textId="2DC2E864" w:rsidR="007E1686" w:rsidRDefault="00A315B4">
          <w:pPr>
            <w:pStyle w:val="TOC1"/>
            <w:tabs>
              <w:tab w:val="right" w:leader="dot" w:pos="9016"/>
            </w:tabs>
            <w:rPr>
              <w:rFonts w:eastAsiaTheme="minorEastAsia" w:cstheme="minorBidi"/>
              <w:b w:val="0"/>
              <w:bCs w:val="0"/>
              <w:i w:val="0"/>
              <w:iCs w:val="0"/>
              <w:noProof/>
            </w:rPr>
          </w:pPr>
          <w:hyperlink w:anchor="_Toc115280146" w:history="1">
            <w:r w:rsidR="007E1686" w:rsidRPr="00185DBC">
              <w:rPr>
                <w:rStyle w:val="Hyperlink"/>
                <w:noProof/>
              </w:rPr>
              <w:t>References</w:t>
            </w:r>
            <w:r w:rsidR="007E1686">
              <w:rPr>
                <w:noProof/>
                <w:webHidden/>
              </w:rPr>
              <w:tab/>
            </w:r>
            <w:r w:rsidR="007E1686">
              <w:rPr>
                <w:noProof/>
                <w:webHidden/>
              </w:rPr>
              <w:fldChar w:fldCharType="begin"/>
            </w:r>
            <w:r w:rsidR="007E1686">
              <w:rPr>
                <w:noProof/>
                <w:webHidden/>
              </w:rPr>
              <w:instrText xml:space="preserve"> PAGEREF _Toc115280146 \h </w:instrText>
            </w:r>
            <w:r w:rsidR="007E1686">
              <w:rPr>
                <w:noProof/>
                <w:webHidden/>
              </w:rPr>
            </w:r>
            <w:r w:rsidR="007E1686">
              <w:rPr>
                <w:noProof/>
                <w:webHidden/>
              </w:rPr>
              <w:fldChar w:fldCharType="separate"/>
            </w:r>
            <w:r w:rsidR="007E1686">
              <w:rPr>
                <w:noProof/>
                <w:webHidden/>
              </w:rPr>
              <w:t>10</w:t>
            </w:r>
            <w:r w:rsidR="007E1686">
              <w:rPr>
                <w:noProof/>
                <w:webHidden/>
              </w:rPr>
              <w:fldChar w:fldCharType="end"/>
            </w:r>
          </w:hyperlink>
        </w:p>
        <w:p w14:paraId="2575A747" w14:textId="13C0F414" w:rsidR="00F236A3" w:rsidRDefault="00F236A3" w:rsidP="001E456A">
          <w:pPr>
            <w:spacing w:before="120" w:line="360" w:lineRule="auto"/>
          </w:pPr>
          <w:r>
            <w:rPr>
              <w:b/>
              <w:bCs/>
              <w:noProof/>
            </w:rPr>
            <w:fldChar w:fldCharType="end"/>
          </w:r>
        </w:p>
      </w:sdtContent>
    </w:sdt>
    <w:p w14:paraId="3C1074CE" w14:textId="77777777" w:rsidR="001E456A" w:rsidRDefault="001E456A" w:rsidP="001E456A">
      <w:pPr>
        <w:pStyle w:val="Heading1"/>
        <w:spacing w:line="360" w:lineRule="auto"/>
      </w:pPr>
      <w:bookmarkStart w:id="0" w:name="_Toc115280133"/>
      <w:r>
        <w:t>Guidelines (</w:t>
      </w:r>
      <w:r w:rsidRPr="001E7F52">
        <w:t>remove in final version</w:t>
      </w:r>
      <w:r>
        <w:t>)</w:t>
      </w:r>
      <w:bookmarkEnd w:id="0"/>
    </w:p>
    <w:p w14:paraId="5E5DDA6D" w14:textId="77777777" w:rsidR="001E456A" w:rsidRDefault="001E456A" w:rsidP="001E456A">
      <w:pPr>
        <w:spacing w:line="360" w:lineRule="auto"/>
      </w:pPr>
      <w:r>
        <w:t>The Individual Case Study Report (ICSR) should be based on the case study description linked above and written using the provided template.</w:t>
      </w:r>
    </w:p>
    <w:p w14:paraId="51916E66" w14:textId="437B4AD1" w:rsidR="001E456A" w:rsidRDefault="001E456A" w:rsidP="001E456A">
      <w:pPr>
        <w:spacing w:line="360" w:lineRule="auto"/>
      </w:pPr>
      <w:r>
        <w:rPr>
          <w:lang w:val="en-US"/>
        </w:rPr>
        <w:t>R</w:t>
      </w:r>
      <w:r>
        <w:t>equirements:</w:t>
      </w:r>
    </w:p>
    <w:p w14:paraId="534520FC" w14:textId="77777777" w:rsidR="001E456A" w:rsidRPr="00AE1201" w:rsidRDefault="001E456A" w:rsidP="001E456A">
      <w:pPr>
        <w:spacing w:line="360" w:lineRule="auto"/>
        <w:rPr>
          <w:color w:val="FF0000"/>
        </w:rPr>
      </w:pPr>
      <w:r>
        <w:t xml:space="preserve">• </w:t>
      </w:r>
      <w:r w:rsidRPr="00AE1201">
        <w:rPr>
          <w:color w:val="FF0000"/>
        </w:rPr>
        <w:t>4 pages in length</w:t>
      </w:r>
    </w:p>
    <w:p w14:paraId="1E0F4CE6" w14:textId="77777777" w:rsidR="001E456A" w:rsidRPr="00AE1201" w:rsidRDefault="001E456A" w:rsidP="001E456A">
      <w:pPr>
        <w:spacing w:line="360" w:lineRule="auto"/>
        <w:rPr>
          <w:color w:val="FF0000"/>
        </w:rPr>
      </w:pPr>
      <w:r w:rsidRPr="00AE1201">
        <w:rPr>
          <w:color w:val="FF0000"/>
        </w:rPr>
        <w:t>• double-spaced (not including references)</w:t>
      </w:r>
    </w:p>
    <w:p w14:paraId="16EA75F9" w14:textId="666192EE" w:rsidR="001E456A" w:rsidRDefault="001E456A" w:rsidP="001E456A">
      <w:pPr>
        <w:spacing w:line="360" w:lineRule="auto"/>
      </w:pPr>
      <w:r>
        <w:t xml:space="preserve">• </w:t>
      </w:r>
      <w:r w:rsidRPr="006436CC">
        <w:rPr>
          <w:color w:val="FF0000"/>
          <w:lang w:val="en-US"/>
        </w:rPr>
        <w:t xml:space="preserve">minimum </w:t>
      </w:r>
      <w:r w:rsidRPr="006436CC">
        <w:rPr>
          <w:color w:val="FF0000"/>
        </w:rPr>
        <w:t xml:space="preserve">two obligatory EU Health Authority requirements </w:t>
      </w:r>
      <w:r>
        <w:t xml:space="preserve">(following, among other references, the EU and ICH guidelines, as referenced in the required readings) for the each of the following five sections </w:t>
      </w:r>
    </w:p>
    <w:p w14:paraId="3BBCA082" w14:textId="77777777" w:rsidR="001E456A" w:rsidRDefault="001E456A" w:rsidP="001E456A">
      <w:pPr>
        <w:spacing w:line="360" w:lineRule="auto"/>
      </w:pPr>
      <w:r>
        <w:t xml:space="preserve">• and write a short executive summary and a conclusion by himself or herself.  </w:t>
      </w:r>
    </w:p>
    <w:p w14:paraId="4E6666E7" w14:textId="77777777" w:rsidR="001E456A" w:rsidRDefault="001E456A" w:rsidP="001E456A">
      <w:pPr>
        <w:spacing w:line="360" w:lineRule="auto"/>
      </w:pPr>
      <w:r>
        <w:t>Required sections for ICSR-Track on Drugs:</w:t>
      </w:r>
    </w:p>
    <w:p w14:paraId="4986974A" w14:textId="77777777" w:rsidR="001E456A" w:rsidRDefault="001E456A" w:rsidP="001E456A">
      <w:pPr>
        <w:spacing w:line="360" w:lineRule="auto"/>
      </w:pPr>
      <w:r>
        <w:t>1.</w:t>
      </w:r>
      <w:r>
        <w:tab/>
        <w:t>Preclinical Plan</w:t>
      </w:r>
    </w:p>
    <w:p w14:paraId="4B66D6E3" w14:textId="77777777" w:rsidR="001E456A" w:rsidRDefault="001E456A" w:rsidP="001E456A">
      <w:pPr>
        <w:spacing w:line="360" w:lineRule="auto"/>
      </w:pPr>
      <w:r>
        <w:t>2.</w:t>
      </w:r>
      <w:r>
        <w:tab/>
        <w:t>Clinical Plan</w:t>
      </w:r>
    </w:p>
    <w:p w14:paraId="434E969C" w14:textId="77777777" w:rsidR="001E456A" w:rsidRDefault="001E456A" w:rsidP="001E456A">
      <w:pPr>
        <w:spacing w:line="360" w:lineRule="auto"/>
      </w:pPr>
      <w:r>
        <w:t>3.</w:t>
      </w:r>
      <w:r>
        <w:tab/>
        <w:t>Chemistry, Manufacturing and Controls (CMC)</w:t>
      </w:r>
    </w:p>
    <w:p w14:paraId="38F4B7D6" w14:textId="77777777" w:rsidR="001E456A" w:rsidRDefault="001E456A" w:rsidP="001E456A">
      <w:pPr>
        <w:spacing w:line="360" w:lineRule="auto"/>
      </w:pPr>
      <w:r>
        <w:t>4.</w:t>
      </w:r>
      <w:r>
        <w:tab/>
        <w:t>Pre-IND Meeting / Scientific Advice</w:t>
      </w:r>
    </w:p>
    <w:p w14:paraId="1F3D6C6E" w14:textId="54E004CE" w:rsidR="001E456A" w:rsidRDefault="001E456A" w:rsidP="001E456A">
      <w:pPr>
        <w:spacing w:line="360" w:lineRule="auto"/>
      </w:pPr>
      <w:r>
        <w:t>5.</w:t>
      </w:r>
      <w:r>
        <w:tab/>
        <w:t>Inspection Readiness</w:t>
      </w:r>
    </w:p>
    <w:p w14:paraId="7D85741B" w14:textId="77777777" w:rsidR="00AE1201" w:rsidRPr="00AE1201" w:rsidRDefault="00AE1201" w:rsidP="00AE1201">
      <w:pPr>
        <w:shd w:val="clear" w:color="auto" w:fill="FFFFFF"/>
        <w:spacing w:before="180" w:after="180"/>
        <w:rPr>
          <w:rFonts w:ascii="Helvetica" w:hAnsi="Helvetica" w:cs="Helvetica"/>
          <w:strike/>
          <w:color w:val="231F20"/>
          <w:lang w:val="en-US" w:eastAsia="fr-CH"/>
        </w:rPr>
      </w:pPr>
      <w:r w:rsidRPr="00AE1201">
        <w:rPr>
          <w:rFonts w:ascii="Helvetica" w:hAnsi="Helvetica" w:cs="Helvetica"/>
          <w:strike/>
          <w:color w:val="231F20"/>
          <w:u w:val="single"/>
          <w:lang w:val="en-US" w:eastAsia="fr-CH"/>
        </w:rPr>
        <w:lastRenderedPageBreak/>
        <w:t>For the track on Devices:</w:t>
      </w:r>
      <w:r w:rsidRPr="00AE1201">
        <w:rPr>
          <w:rFonts w:ascii="Helvetica" w:hAnsi="Helvetica" w:cs="Helvetica"/>
          <w:strike/>
          <w:color w:val="231F20"/>
          <w:lang w:val="en-US" w:eastAsia="fr-CH"/>
        </w:rPr>
        <w:t> The ICSR should contain the general requirements of identifying EU and US regulatory requirements for your Insulin Infusion Pump.</w:t>
      </w:r>
    </w:p>
    <w:p w14:paraId="03D5F4FF" w14:textId="7571B22D" w:rsidR="00AE1201" w:rsidRPr="00AE1201" w:rsidRDefault="00AE1201" w:rsidP="00AE1201">
      <w:pPr>
        <w:pStyle w:val="ListParagraph"/>
        <w:numPr>
          <w:ilvl w:val="0"/>
          <w:numId w:val="7"/>
        </w:numPr>
        <w:shd w:val="clear" w:color="auto" w:fill="FFFFFF"/>
        <w:spacing w:before="180" w:after="180"/>
        <w:rPr>
          <w:rFonts w:ascii="Helvetica" w:hAnsi="Helvetica" w:cs="Helvetica"/>
          <w:color w:val="231F20"/>
          <w:lang w:eastAsia="fr-CH"/>
        </w:rPr>
      </w:pPr>
      <w:r w:rsidRPr="00AE1201">
        <w:rPr>
          <w:rFonts w:ascii="Helvetica" w:hAnsi="Helvetica" w:cs="Helvetica"/>
          <w:color w:val="FF0000"/>
          <w:lang w:eastAsia="fr-CH"/>
        </w:rPr>
        <w:t xml:space="preserve">Each team member will include a minimum of two obligatory Health Authority requirements (EU and US) </w:t>
      </w:r>
      <w:r w:rsidRPr="00AE1201">
        <w:rPr>
          <w:rFonts w:ascii="Helvetica" w:hAnsi="Helvetica" w:cs="Helvetica"/>
          <w:color w:val="231F20"/>
          <w:lang w:eastAsia="fr-CH"/>
        </w:rPr>
        <w:t xml:space="preserve">and </w:t>
      </w:r>
    </w:p>
    <w:p w14:paraId="104D836C" w14:textId="1BE9FE8E" w:rsidR="00AE1201" w:rsidRPr="00AE1201" w:rsidRDefault="00AE1201" w:rsidP="00AE1201">
      <w:pPr>
        <w:pStyle w:val="ListParagraph"/>
        <w:numPr>
          <w:ilvl w:val="0"/>
          <w:numId w:val="7"/>
        </w:numPr>
        <w:shd w:val="clear" w:color="auto" w:fill="FFFFFF"/>
        <w:spacing w:before="180" w:after="180"/>
        <w:rPr>
          <w:rFonts w:ascii="Helvetica" w:hAnsi="Helvetica" w:cs="Helvetica"/>
          <w:color w:val="231F20"/>
          <w:lang w:eastAsia="fr-CH"/>
        </w:rPr>
      </w:pPr>
      <w:r w:rsidRPr="00AE1201">
        <w:rPr>
          <w:rFonts w:ascii="Helvetica" w:hAnsi="Helvetica" w:cs="Helvetica"/>
          <w:color w:val="FF0000"/>
          <w:lang w:eastAsia="fr-CH"/>
        </w:rPr>
        <w:t>two points of comparison (EU versus US), as mentioned in the template provided</w:t>
      </w:r>
      <w:r w:rsidRPr="00AE1201">
        <w:rPr>
          <w:rFonts w:ascii="Helvetica" w:hAnsi="Helvetica" w:cs="Helvetica"/>
          <w:color w:val="231F20"/>
          <w:lang w:eastAsia="fr-CH"/>
        </w:rPr>
        <w:t xml:space="preserve">. </w:t>
      </w:r>
    </w:p>
    <w:p w14:paraId="03C4333D" w14:textId="4F5BD029" w:rsidR="00AE1201" w:rsidRPr="00493119" w:rsidRDefault="00AE1201" w:rsidP="00AE1201">
      <w:pPr>
        <w:shd w:val="clear" w:color="auto" w:fill="FFFFFF"/>
        <w:spacing w:before="180" w:after="180"/>
        <w:rPr>
          <w:rFonts w:ascii="Helvetica" w:hAnsi="Helvetica" w:cs="Helvetica"/>
          <w:color w:val="231F20"/>
          <w:lang w:val="en-US" w:eastAsia="fr-CH"/>
        </w:rPr>
      </w:pPr>
      <w:r w:rsidRPr="00493119">
        <w:rPr>
          <w:rFonts w:ascii="Helvetica" w:hAnsi="Helvetica" w:cs="Helvetica"/>
          <w:color w:val="231F20"/>
          <w:lang w:val="en-US" w:eastAsia="fr-CH"/>
        </w:rPr>
        <w:t>Each should write the executive summary and conclusion by himself or herself and submit their report (maximum 4 pages).</w:t>
      </w:r>
    </w:p>
    <w:p w14:paraId="312542EE" w14:textId="77777777" w:rsidR="00AE1201" w:rsidRPr="00AE1201" w:rsidRDefault="00AE1201" w:rsidP="001E456A">
      <w:pPr>
        <w:spacing w:line="360" w:lineRule="auto"/>
        <w:rPr>
          <w:lang w:val="en-US"/>
        </w:rPr>
      </w:pPr>
    </w:p>
    <w:p w14:paraId="3D655C56" w14:textId="2579C806" w:rsidR="001E456A" w:rsidRPr="001E456A" w:rsidRDefault="001E456A" w:rsidP="001E456A">
      <w:pPr>
        <w:pStyle w:val="Heading1"/>
        <w:rPr>
          <w:lang w:val="en-US"/>
        </w:rPr>
      </w:pPr>
      <w:bookmarkStart w:id="1" w:name="_Toc115280134"/>
      <w:r>
        <w:rPr>
          <w:lang w:val="en-US"/>
        </w:rPr>
        <w:t>Overview</w:t>
      </w:r>
      <w:bookmarkEnd w:id="1"/>
    </w:p>
    <w:p w14:paraId="51318C77" w14:textId="77777777" w:rsidR="001E456A" w:rsidRDefault="001E456A" w:rsidP="001E456A">
      <w:pPr>
        <w:spacing w:line="360" w:lineRule="auto"/>
      </w:pPr>
      <w:r w:rsidRPr="001E7F52">
        <w:rPr>
          <w:b/>
          <w:bCs/>
        </w:rPr>
        <w:t>Due date</w:t>
      </w:r>
      <w:r>
        <w:t>: 2022/10/</w:t>
      </w:r>
      <w:r w:rsidRPr="004322C7">
        <w:t>15</w:t>
      </w:r>
    </w:p>
    <w:p w14:paraId="74E69E53" w14:textId="77777777" w:rsidR="001E456A" w:rsidRPr="001E7F52" w:rsidRDefault="001E456A" w:rsidP="001E456A">
      <w:pPr>
        <w:spacing w:line="360" w:lineRule="auto"/>
        <w:rPr>
          <w:b/>
          <w:bCs/>
        </w:rPr>
      </w:pPr>
      <w:r w:rsidRPr="001E7F52">
        <w:rPr>
          <w:b/>
          <w:bCs/>
        </w:rPr>
        <w:t>Name</w:t>
      </w:r>
      <w:r w:rsidRPr="001E7F52">
        <w:t>:</w:t>
      </w:r>
      <w:r>
        <w:rPr>
          <w:b/>
          <w:bCs/>
        </w:rPr>
        <w:t xml:space="preserve"> </w:t>
      </w:r>
      <w:r>
        <w:t>Dylan Lawless</w:t>
      </w:r>
    </w:p>
    <w:p w14:paraId="4E54C1F9" w14:textId="77777777" w:rsidR="001E456A" w:rsidRDefault="001E456A" w:rsidP="001E456A">
      <w:pPr>
        <w:spacing w:line="360" w:lineRule="auto"/>
      </w:pPr>
      <w:r w:rsidRPr="001E7F52">
        <w:rPr>
          <w:b/>
          <w:bCs/>
        </w:rPr>
        <w:t>Track</w:t>
      </w:r>
      <w:r>
        <w:t>: Drugs</w:t>
      </w:r>
    </w:p>
    <w:p w14:paraId="3ACA18E7" w14:textId="02C966F0" w:rsidR="00C32691" w:rsidRPr="001E456A" w:rsidRDefault="001E456A" w:rsidP="001E456A">
      <w:pPr>
        <w:spacing w:line="360" w:lineRule="auto"/>
        <w:rPr>
          <w:rFonts w:ascii="Satoshi" w:hAnsi="Satoshi"/>
        </w:rPr>
      </w:pPr>
      <w:r w:rsidRPr="001E7F52">
        <w:rPr>
          <w:rFonts w:ascii="Calibri" w:hAnsi="Calibri" w:cs="Calibri"/>
          <w:b/>
          <w:bCs/>
        </w:rPr>
        <w:t>Product Profile</w:t>
      </w:r>
      <w:r>
        <w:rPr>
          <w:rFonts w:ascii="Calibri" w:hAnsi="Calibri" w:cs="Calibri"/>
        </w:rPr>
        <w:t>:</w:t>
      </w:r>
      <w:r w:rsidRPr="0094030F">
        <w:rPr>
          <w:rFonts w:ascii="Calibri" w:hAnsi="Calibri" w:cs="Calibri"/>
        </w:rPr>
        <w:t xml:space="preserve"> Our product is a </w:t>
      </w:r>
      <w:r w:rsidRPr="0094030F">
        <w:rPr>
          <w:rFonts w:ascii="Calibri" w:hAnsi="Calibri" w:cs="Calibri"/>
          <w:u w:val="single"/>
        </w:rPr>
        <w:t>monoclonal antibody</w:t>
      </w:r>
      <w:r w:rsidRPr="0094030F">
        <w:rPr>
          <w:rFonts w:ascii="Calibri" w:hAnsi="Calibri" w:cs="Calibri"/>
        </w:rPr>
        <w:t xml:space="preserve"> to be used in a phase 1 clinical trial in oncology. The company is named </w:t>
      </w:r>
      <w:r w:rsidRPr="0094030F">
        <w:rPr>
          <w:rFonts w:ascii="Calibri" w:hAnsi="Calibri" w:cs="Calibri"/>
          <w:u w:val="single"/>
        </w:rPr>
        <w:t xml:space="preserve">VaudBioTech </w:t>
      </w:r>
      <w:r w:rsidRPr="0094030F">
        <w:rPr>
          <w:rFonts w:ascii="Calibri" w:hAnsi="Calibri" w:cs="Calibri"/>
        </w:rPr>
        <w:t>with headquarters located in Switzerland. This company is the discoverer of the product in question. The planned phase 1 clinical trial will be conducted in Germany.</w:t>
      </w:r>
    </w:p>
    <w:p w14:paraId="600A7DBC" w14:textId="77777777" w:rsidR="004E78BC" w:rsidRPr="00761036" w:rsidRDefault="004E78BC" w:rsidP="001E456A">
      <w:pPr>
        <w:spacing w:before="120" w:line="360" w:lineRule="auto"/>
        <w:rPr>
          <w:rFonts w:ascii="Calibri" w:hAnsi="Calibri" w:cs="Calibri"/>
          <w:bCs/>
          <w:lang w:val="en-US"/>
        </w:rPr>
      </w:pPr>
      <w:r w:rsidRPr="00822AF5">
        <w:rPr>
          <w:rFonts w:ascii="Calibri" w:hAnsi="Calibri" w:cs="Calibri"/>
          <w:b/>
          <w:lang w:val="en-US"/>
        </w:rPr>
        <w:t xml:space="preserve">Group: </w:t>
      </w:r>
      <w:r w:rsidRPr="00761036">
        <w:rPr>
          <w:rFonts w:ascii="Calibri" w:hAnsi="Calibri" w:cs="Calibri"/>
          <w:bCs/>
          <w:lang w:val="en-US"/>
        </w:rPr>
        <w:t>C</w:t>
      </w:r>
    </w:p>
    <w:p w14:paraId="0D867150" w14:textId="5FA336B5" w:rsidR="004E78BC" w:rsidRPr="00761036" w:rsidRDefault="004E78BC" w:rsidP="001E456A">
      <w:pPr>
        <w:spacing w:before="120" w:line="360" w:lineRule="auto"/>
        <w:rPr>
          <w:rFonts w:ascii="Calibri" w:hAnsi="Calibri" w:cs="Calibri"/>
          <w:bCs/>
          <w:lang w:val="en-US"/>
        </w:rPr>
      </w:pPr>
      <w:r w:rsidRPr="00822AF5">
        <w:rPr>
          <w:rFonts w:ascii="Calibri" w:hAnsi="Calibri" w:cs="Calibri"/>
          <w:b/>
          <w:lang w:val="en-US"/>
        </w:rPr>
        <w:t>Group members:</w:t>
      </w:r>
      <w:r>
        <w:rPr>
          <w:rFonts w:ascii="Calibri" w:hAnsi="Calibri" w:cs="Calibri"/>
          <w:b/>
          <w:lang w:val="en-US"/>
        </w:rPr>
        <w:t xml:space="preserve"> </w:t>
      </w:r>
      <w:r w:rsidRPr="00761036">
        <w:rPr>
          <w:rFonts w:ascii="Calibri" w:hAnsi="Calibri" w:cs="Calibri"/>
          <w:bCs/>
          <w:lang w:val="en-US"/>
        </w:rPr>
        <w:t xml:space="preserve">Priya </w:t>
      </w:r>
      <w:proofErr w:type="spellStart"/>
      <w:r w:rsidRPr="00761036">
        <w:rPr>
          <w:rFonts w:ascii="Calibri" w:hAnsi="Calibri" w:cs="Calibri"/>
          <w:bCs/>
          <w:lang w:val="en-US"/>
        </w:rPr>
        <w:t>Bhutada</w:t>
      </w:r>
      <w:proofErr w:type="spellEnd"/>
      <w:r w:rsidRPr="00761036">
        <w:rPr>
          <w:rFonts w:ascii="Calibri" w:hAnsi="Calibri" w:cs="Calibri"/>
          <w:bCs/>
          <w:lang w:val="en-US"/>
        </w:rPr>
        <w:t xml:space="preserve">, </w:t>
      </w:r>
      <w:proofErr w:type="spellStart"/>
      <w:r w:rsidRPr="00761036">
        <w:rPr>
          <w:rFonts w:ascii="Calibri" w:hAnsi="Calibri" w:cs="Calibri"/>
          <w:bCs/>
          <w:lang w:val="en-US"/>
        </w:rPr>
        <w:t>Mouna</w:t>
      </w:r>
      <w:proofErr w:type="spellEnd"/>
      <w:r w:rsidRPr="00761036">
        <w:rPr>
          <w:rFonts w:ascii="Calibri" w:hAnsi="Calibri" w:cs="Calibri"/>
          <w:bCs/>
          <w:lang w:val="en-US"/>
        </w:rPr>
        <w:t xml:space="preserve"> </w:t>
      </w:r>
      <w:proofErr w:type="spellStart"/>
      <w:r w:rsidRPr="00761036">
        <w:rPr>
          <w:rFonts w:ascii="Calibri" w:hAnsi="Calibri" w:cs="Calibri"/>
          <w:bCs/>
          <w:lang w:val="en-US"/>
        </w:rPr>
        <w:t>Hadiji</w:t>
      </w:r>
      <w:proofErr w:type="spellEnd"/>
      <w:r>
        <w:rPr>
          <w:rFonts w:ascii="Calibri" w:hAnsi="Calibri" w:cs="Calibri"/>
          <w:bCs/>
          <w:lang w:val="en-US"/>
        </w:rPr>
        <w:t xml:space="preserve">, </w:t>
      </w:r>
      <w:r w:rsidRPr="00761036">
        <w:rPr>
          <w:rFonts w:ascii="Calibri" w:hAnsi="Calibri" w:cs="Calibri"/>
          <w:bCs/>
          <w:lang w:val="en-US"/>
        </w:rPr>
        <w:t xml:space="preserve">Raluca </w:t>
      </w:r>
      <w:proofErr w:type="spellStart"/>
      <w:r w:rsidRPr="00761036">
        <w:rPr>
          <w:rFonts w:ascii="Calibri" w:hAnsi="Calibri" w:cs="Calibri"/>
          <w:bCs/>
          <w:lang w:val="en-US"/>
        </w:rPr>
        <w:t>Ganea</w:t>
      </w:r>
      <w:proofErr w:type="spellEnd"/>
      <w:r w:rsidRPr="00761036">
        <w:rPr>
          <w:rFonts w:ascii="Calibri" w:hAnsi="Calibri" w:cs="Calibri"/>
          <w:bCs/>
          <w:lang w:val="en-US"/>
        </w:rPr>
        <w:t>, Dylan Lawles</w:t>
      </w:r>
      <w:r>
        <w:rPr>
          <w:rFonts w:ascii="Calibri" w:hAnsi="Calibri" w:cs="Calibri"/>
          <w:bCs/>
          <w:lang w:val="en-US"/>
        </w:rPr>
        <w:t xml:space="preserve">s, </w:t>
      </w:r>
      <w:r w:rsidRPr="00761036">
        <w:rPr>
          <w:rFonts w:ascii="Calibri" w:hAnsi="Calibri" w:cs="Calibri"/>
          <w:bCs/>
          <w:lang w:val="en-US"/>
        </w:rPr>
        <w:t xml:space="preserve">Olivia-Augustina </w:t>
      </w:r>
      <w:proofErr w:type="spellStart"/>
      <w:r w:rsidRPr="00761036">
        <w:rPr>
          <w:rFonts w:ascii="Calibri" w:hAnsi="Calibri" w:cs="Calibri"/>
          <w:bCs/>
          <w:lang w:val="en-US"/>
        </w:rPr>
        <w:t>Colbea</w:t>
      </w:r>
      <w:proofErr w:type="spellEnd"/>
      <w:r>
        <w:rPr>
          <w:rFonts w:ascii="Calibri" w:hAnsi="Calibri" w:cs="Calibri"/>
          <w:bCs/>
          <w:lang w:val="en-US"/>
        </w:rPr>
        <w:t>.</w:t>
      </w:r>
    </w:p>
    <w:p w14:paraId="2CCB5DC9" w14:textId="10D9BF64" w:rsidR="004E78BC" w:rsidRPr="004E78BC" w:rsidRDefault="004E78BC" w:rsidP="001E456A">
      <w:pPr>
        <w:spacing w:before="120" w:line="360" w:lineRule="auto"/>
        <w:rPr>
          <w:rFonts w:ascii="Calibri" w:hAnsi="Calibri" w:cs="Calibri"/>
          <w:b/>
          <w:lang w:val="en-US"/>
        </w:rPr>
      </w:pPr>
      <w:r w:rsidRPr="00822AF5">
        <w:rPr>
          <w:rFonts w:ascii="Calibri" w:hAnsi="Calibri" w:cs="Calibri"/>
          <w:b/>
        </w:rPr>
        <w:t>Company</w:t>
      </w:r>
      <w:r w:rsidRPr="00822AF5">
        <w:rPr>
          <w:rFonts w:ascii="Calibri" w:hAnsi="Calibri" w:cs="Calibri"/>
          <w:b/>
          <w:lang w:val="en-US"/>
        </w:rPr>
        <w:t>:</w:t>
      </w:r>
      <w:r>
        <w:rPr>
          <w:rFonts w:ascii="Calibri" w:hAnsi="Calibri" w:cs="Calibri"/>
          <w:b/>
          <w:lang w:val="en-US"/>
        </w:rPr>
        <w:t xml:space="preserve"> </w:t>
      </w:r>
      <w:r w:rsidRPr="00001827">
        <w:rPr>
          <w:rFonts w:ascii="Calibri" w:hAnsi="Calibri" w:cs="Calibri"/>
          <w:lang w:val="en-US"/>
        </w:rPr>
        <w:t>Vaud</w:t>
      </w:r>
      <w:r w:rsidRPr="00001827">
        <w:rPr>
          <w:rFonts w:ascii="Calibri" w:hAnsi="Calibri" w:cs="Calibri"/>
        </w:rPr>
        <w:t>BioTech</w:t>
      </w:r>
    </w:p>
    <w:p w14:paraId="0000000A" w14:textId="07DD9181" w:rsidR="000C2469" w:rsidRPr="002E5DFB" w:rsidRDefault="00730273" w:rsidP="001E456A">
      <w:pPr>
        <w:spacing w:before="120" w:line="360" w:lineRule="auto"/>
        <w:rPr>
          <w:rFonts w:ascii="Calibri" w:hAnsi="Calibri" w:cs="Calibri"/>
          <w:lang w:val="en-US"/>
        </w:rPr>
      </w:pPr>
      <w:r w:rsidRPr="00822AF5">
        <w:rPr>
          <w:rFonts w:ascii="Calibri" w:hAnsi="Calibri" w:cs="Calibri"/>
          <w:b/>
        </w:rPr>
        <w:t>Product name</w:t>
      </w:r>
      <w:r w:rsidRPr="00822AF5">
        <w:rPr>
          <w:rFonts w:ascii="Calibri" w:hAnsi="Calibri" w:cs="Calibri"/>
        </w:rPr>
        <w:t>:</w:t>
      </w:r>
      <w:r w:rsidR="00BC28B3" w:rsidRPr="00822AF5">
        <w:rPr>
          <w:rFonts w:ascii="Calibri" w:hAnsi="Calibri" w:cs="Calibri"/>
          <w:lang w:val="en-US"/>
        </w:rPr>
        <w:t xml:space="preserve"> </w:t>
      </w:r>
      <w:r w:rsidR="00BC28B3" w:rsidRPr="00822AF5">
        <w:rPr>
          <w:rFonts w:ascii="Calibri" w:hAnsi="Calibri" w:cs="Calibri"/>
        </w:rPr>
        <w:t>Hertu</w:t>
      </w:r>
      <w:proofErr w:type="spellStart"/>
      <w:r w:rsidR="002E5DFB">
        <w:rPr>
          <w:rFonts w:ascii="Calibri" w:hAnsi="Calibri" w:cs="Calibri"/>
          <w:lang w:val="en-US"/>
        </w:rPr>
        <w:t>mig</w:t>
      </w:r>
      <w:proofErr w:type="spellEnd"/>
      <w:r w:rsidR="009B237F">
        <w:rPr>
          <w:rFonts w:ascii="Calibri" w:hAnsi="Calibri" w:cs="Calibri"/>
          <w:lang w:val="en-US"/>
        </w:rPr>
        <w:t>.</w:t>
      </w:r>
    </w:p>
    <w:p w14:paraId="0000000B" w14:textId="049E86D8" w:rsidR="000C2469" w:rsidRDefault="00730273" w:rsidP="001E456A">
      <w:pPr>
        <w:spacing w:before="120" w:line="360" w:lineRule="auto"/>
        <w:rPr>
          <w:rFonts w:ascii="Calibri" w:hAnsi="Calibri" w:cs="Calibri"/>
        </w:rPr>
      </w:pPr>
      <w:r w:rsidRPr="00822AF5">
        <w:rPr>
          <w:rFonts w:ascii="Calibri" w:hAnsi="Calibri" w:cs="Calibri"/>
          <w:b/>
        </w:rPr>
        <w:t>Treatment</w:t>
      </w:r>
      <w:r w:rsidRPr="00822AF5">
        <w:rPr>
          <w:rFonts w:ascii="Calibri" w:hAnsi="Calibri" w:cs="Calibri"/>
        </w:rPr>
        <w:t xml:space="preserve">: </w:t>
      </w:r>
      <w:r w:rsidR="00BC28B3" w:rsidRPr="00822AF5">
        <w:rPr>
          <w:rFonts w:ascii="Calibri" w:hAnsi="Calibri" w:cs="Calibri"/>
          <w:lang w:val="en-US"/>
        </w:rPr>
        <w:t>T</w:t>
      </w:r>
      <w:r w:rsidR="00BC28B3" w:rsidRPr="00822AF5">
        <w:rPr>
          <w:rFonts w:ascii="Calibri" w:hAnsi="Calibri" w:cs="Calibri"/>
        </w:rPr>
        <w:t>reatment of HER2 receptor positive breast cancer.</w:t>
      </w:r>
    </w:p>
    <w:p w14:paraId="50A7C7BD" w14:textId="02A3BC16" w:rsidR="002E5DFB" w:rsidRPr="002E5DFB" w:rsidRDefault="002E5DFB" w:rsidP="001E456A">
      <w:pPr>
        <w:spacing w:before="120" w:line="360" w:lineRule="auto"/>
        <w:rPr>
          <w:rFonts w:ascii="Calibri" w:hAnsi="Calibri" w:cs="Calibri"/>
        </w:rPr>
      </w:pPr>
      <w:r w:rsidRPr="002E5DFB">
        <w:rPr>
          <w:rFonts w:ascii="Calibri" w:hAnsi="Calibri" w:cs="Calibri"/>
          <w:b/>
          <w:bCs/>
          <w:lang w:val="en-US"/>
        </w:rPr>
        <w:t>Delivery</w:t>
      </w:r>
      <w:r>
        <w:rPr>
          <w:rFonts w:ascii="Calibri" w:hAnsi="Calibri" w:cs="Calibri"/>
          <w:lang w:val="en-US"/>
        </w:rPr>
        <w:t>: S</w:t>
      </w:r>
      <w:r w:rsidRPr="002E5DFB">
        <w:rPr>
          <w:rFonts w:ascii="Calibri" w:hAnsi="Calibri" w:cs="Calibri"/>
          <w:lang w:val="en-US"/>
        </w:rPr>
        <w:t xml:space="preserve">ubcutaneous </w:t>
      </w:r>
      <w:r>
        <w:rPr>
          <w:rFonts w:ascii="Calibri" w:hAnsi="Calibri" w:cs="Calibri"/>
          <w:lang w:val="en-US"/>
        </w:rPr>
        <w:t>administration.</w:t>
      </w:r>
    </w:p>
    <w:p w14:paraId="45A05E67" w14:textId="088B92CF" w:rsidR="002E5DFB" w:rsidRDefault="00730273" w:rsidP="001E456A">
      <w:pPr>
        <w:spacing w:before="120" w:line="360" w:lineRule="auto"/>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r w:rsidR="009B2E2A" w:rsidRPr="00822AF5">
        <w:rPr>
          <w:rFonts w:ascii="Calibri" w:hAnsi="Calibri" w:cs="Calibri"/>
          <w:lang w:val="en-US"/>
        </w:rPr>
        <w:t xml:space="preserve">Similar to the mode of action from </w:t>
      </w:r>
      <w:proofErr w:type="spellStart"/>
      <w:r w:rsidR="009B2E2A" w:rsidRPr="00822AF5">
        <w:rPr>
          <w:rFonts w:ascii="Calibri" w:hAnsi="Calibri" w:cs="Calibri"/>
          <w:lang w:val="en-US"/>
        </w:rPr>
        <w:t>Pertuzumab</w:t>
      </w:r>
      <w:proofErr w:type="spellEnd"/>
      <w:r w:rsidR="009B2E2A" w:rsidRPr="00822AF5">
        <w:rPr>
          <w:rFonts w:ascii="Calibri" w:hAnsi="Calibri" w:cs="Calibri"/>
          <w:lang w:val="en-US"/>
        </w:rPr>
        <w:t xml:space="preserve"> and Herceptin (as illustrated in </w:t>
      </w:r>
      <w:r w:rsidR="009B2E2A" w:rsidRPr="005C1B7D">
        <w:rPr>
          <w:rFonts w:ascii="Calibri" w:hAnsi="Calibri" w:cs="Calibri"/>
          <w:b/>
          <w:bCs/>
          <w:lang w:val="en-US"/>
        </w:rPr>
        <w:t>Figure 1</w:t>
      </w:r>
      <w:r w:rsidR="009B2E2A" w:rsidRPr="00822AF5">
        <w:rPr>
          <w:rFonts w:ascii="Calibri" w:hAnsi="Calibri" w:cs="Calibri"/>
          <w:lang w:val="en-US"/>
        </w:rPr>
        <w:t xml:space="preserve">), </w:t>
      </w:r>
      <w:r w:rsidR="009B2E2A" w:rsidRPr="00822AF5">
        <w:rPr>
          <w:rFonts w:ascii="Calibri" w:hAnsi="Calibri" w:cs="Calibri"/>
        </w:rPr>
        <w:t>Hertum</w:t>
      </w:r>
      <w:proofErr w:type="spellStart"/>
      <w:r w:rsidR="002E5DFB">
        <w:rPr>
          <w:rFonts w:ascii="Calibri" w:hAnsi="Calibri" w:cs="Calibri"/>
          <w:lang w:val="en-US"/>
        </w:rPr>
        <w:t>ig</w:t>
      </w:r>
      <w:proofErr w:type="spellEnd"/>
      <w:r w:rsidR="00BC28B3" w:rsidRPr="00822AF5">
        <w:rPr>
          <w:rFonts w:ascii="Calibri" w:hAnsi="Calibri" w:cs="Calibri"/>
        </w:rPr>
        <w:t xml:space="preserve"> </w:t>
      </w:r>
      <w:r w:rsidR="009B2E2A" w:rsidRPr="00822AF5">
        <w:rPr>
          <w:rFonts w:ascii="Calibri" w:hAnsi="Calibri" w:cs="Calibri"/>
          <w:lang w:val="en-US"/>
        </w:rPr>
        <w:t xml:space="preserve">targets a newly defined antigen of HER2 which </w:t>
      </w:r>
      <w:r w:rsidR="00BC28B3" w:rsidRPr="00822AF5">
        <w:rPr>
          <w:rFonts w:ascii="Calibri" w:hAnsi="Calibri" w:cs="Calibri"/>
        </w:rPr>
        <w:t>inhibits the</w:t>
      </w:r>
      <w:r w:rsidR="00B31AED">
        <w:rPr>
          <w:rFonts w:ascii="Calibri" w:hAnsi="Calibri" w:cs="Calibri"/>
          <w:lang w:val="en-US"/>
        </w:rPr>
        <w:t xml:space="preserve"> </w:t>
      </w:r>
      <w:hyperlink r:id="rId9">
        <w:r w:rsidR="00BC28B3" w:rsidRPr="00822AF5">
          <w:rPr>
            <w:rStyle w:val="Hyperlink"/>
            <w:rFonts w:ascii="Calibri" w:hAnsi="Calibri" w:cs="Calibri"/>
          </w:rPr>
          <w:t>dimerization</w:t>
        </w:r>
      </w:hyperlink>
      <w:r w:rsidR="00BC28B3" w:rsidRPr="00822AF5">
        <w:rPr>
          <w:rFonts w:ascii="Calibri" w:hAnsi="Calibri" w:cs="Calibri"/>
        </w:rPr>
        <w:t xml:space="preserve"> with other HER receptors</w:t>
      </w:r>
      <w:r w:rsidR="009B2E2A" w:rsidRPr="00822AF5">
        <w:rPr>
          <w:rFonts w:ascii="Calibri" w:hAnsi="Calibri" w:cs="Calibri"/>
          <w:lang w:val="en-US"/>
        </w:rPr>
        <w:t>, thereby</w:t>
      </w:r>
      <w:r w:rsidR="00BC28B3" w:rsidRPr="00822AF5">
        <w:rPr>
          <w:rFonts w:ascii="Calibri" w:hAnsi="Calibri" w:cs="Calibri"/>
        </w:rPr>
        <w:t xml:space="preserve"> </w:t>
      </w:r>
      <w:r w:rsidR="009B2E2A" w:rsidRPr="00822AF5">
        <w:rPr>
          <w:rFonts w:ascii="Calibri" w:hAnsi="Calibri" w:cs="Calibri"/>
          <w:lang w:val="en-US"/>
        </w:rPr>
        <w:t>preventing</w:t>
      </w:r>
      <w:r w:rsidR="00B31AED">
        <w:rPr>
          <w:rFonts w:ascii="Calibri" w:hAnsi="Calibri" w:cs="Calibri"/>
          <w:lang w:val="en-US"/>
        </w:rPr>
        <w:t xml:space="preserve"> </w:t>
      </w:r>
      <w:hyperlink r:id="rId10" w:anchor="Signal_transduction">
        <w:r w:rsidR="00BC28B3" w:rsidRPr="00822AF5">
          <w:rPr>
            <w:rStyle w:val="Hyperlink"/>
            <w:rFonts w:ascii="Calibri" w:hAnsi="Calibri" w:cs="Calibri"/>
          </w:rPr>
          <w:t>signaling</w:t>
        </w:r>
      </w:hyperlink>
      <w:r w:rsidR="00B31AED">
        <w:rPr>
          <w:rFonts w:ascii="Calibri" w:hAnsi="Calibri" w:cs="Calibri"/>
          <w:lang w:val="en-US"/>
        </w:rPr>
        <w:t xml:space="preserve"> </w:t>
      </w:r>
      <w:r w:rsidR="00BC28B3" w:rsidRPr="00822AF5">
        <w:rPr>
          <w:rFonts w:ascii="Calibri" w:hAnsi="Calibri" w:cs="Calibri"/>
        </w:rPr>
        <w:t xml:space="preserve">in ways that promote cell growth and proliferation. HER2 positive breast cancer is caused by </w:t>
      </w:r>
      <w:r w:rsidR="00BC28B3" w:rsidRPr="004F6057">
        <w:rPr>
          <w:rFonts w:ascii="Calibri" w:hAnsi="Calibri" w:cs="Calibri"/>
          <w:i/>
          <w:iCs/>
        </w:rPr>
        <w:t>ERBB2</w:t>
      </w:r>
      <w:r w:rsidR="00BC28B3" w:rsidRPr="00822AF5">
        <w:rPr>
          <w:rFonts w:ascii="Calibri" w:hAnsi="Calibri" w:cs="Calibri"/>
        </w:rPr>
        <w:t xml:space="preserve"> gene amplification that results in overexpression of HER2 in approximately 15-30% of breast cancer tumors. Stimulates cell proliferation and cell growth</w:t>
      </w:r>
      <w:r w:rsidR="00BC28B3" w:rsidRPr="00822AF5">
        <w:rPr>
          <w:rFonts w:ascii="Calibri" w:hAnsi="Calibri" w:cs="Calibri"/>
          <w:lang w:val="en-US"/>
        </w:rPr>
        <w:t>.</w:t>
      </w:r>
      <w:r w:rsidR="002E5DFB">
        <w:rPr>
          <w:rFonts w:ascii="Calibri" w:hAnsi="Calibri" w:cs="Calibri"/>
          <w:lang w:val="en-US"/>
        </w:rPr>
        <w:t xml:space="preserve"> It is a b</w:t>
      </w:r>
      <w:r w:rsidR="002E5DFB" w:rsidRPr="002E5DFB">
        <w:rPr>
          <w:rFonts w:ascii="Calibri" w:hAnsi="Calibri" w:cs="Calibri"/>
        </w:rPr>
        <w:t>ispecific monoclonal antibody</w:t>
      </w:r>
      <w:r w:rsidR="002E5DFB">
        <w:rPr>
          <w:rFonts w:ascii="Calibri" w:hAnsi="Calibri" w:cs="Calibri"/>
          <w:lang w:val="en-US"/>
        </w:rPr>
        <w:t xml:space="preserve"> (</w:t>
      </w:r>
      <w:proofErr w:type="spellStart"/>
      <w:r w:rsidR="002E5DFB">
        <w:rPr>
          <w:rFonts w:ascii="Calibri" w:hAnsi="Calibri" w:cs="Calibri"/>
          <w:lang w:val="en-US"/>
        </w:rPr>
        <w:t>BsMAb</w:t>
      </w:r>
      <w:proofErr w:type="spellEnd"/>
      <w:r w:rsidR="002E5DFB">
        <w:rPr>
          <w:rFonts w:ascii="Calibri" w:hAnsi="Calibri" w:cs="Calibri"/>
          <w:lang w:val="en-US"/>
        </w:rPr>
        <w:t>)</w:t>
      </w:r>
      <w:r w:rsidR="002E5DFB" w:rsidRPr="002E5DFB">
        <w:rPr>
          <w:rFonts w:ascii="Calibri" w:hAnsi="Calibri" w:cs="Calibri"/>
        </w:rPr>
        <w:t xml:space="preserve"> </w:t>
      </w:r>
      <w:r w:rsidR="002E5DFB">
        <w:rPr>
          <w:rFonts w:ascii="Calibri" w:hAnsi="Calibri" w:cs="Calibri"/>
          <w:lang w:val="en-US"/>
        </w:rPr>
        <w:t>which targets two epitopes.</w:t>
      </w:r>
    </w:p>
    <w:p w14:paraId="4CAAD961" w14:textId="413D44B7" w:rsidR="00BC28B3" w:rsidRPr="00C80EF7" w:rsidRDefault="00730273" w:rsidP="001E456A">
      <w:pPr>
        <w:spacing w:before="120" w:line="360" w:lineRule="auto"/>
        <w:rPr>
          <w:rFonts w:ascii="Calibri" w:hAnsi="Calibri" w:cs="Calibri"/>
          <w:lang w:val="en-US"/>
        </w:rPr>
      </w:pPr>
      <w:r w:rsidRPr="00822AF5">
        <w:rPr>
          <w:rFonts w:ascii="Calibri" w:hAnsi="Calibri" w:cs="Calibri"/>
          <w:b/>
        </w:rPr>
        <w:lastRenderedPageBreak/>
        <w:t>Discussion</w:t>
      </w:r>
      <w:r w:rsidRPr="00822AF5">
        <w:rPr>
          <w:rFonts w:ascii="Calibri" w:hAnsi="Calibri" w:cs="Calibri"/>
        </w:rPr>
        <w:t xml:space="preserve">: </w:t>
      </w:r>
      <w:r w:rsidR="00BC28B3" w:rsidRPr="00822AF5">
        <w:rPr>
          <w:rFonts w:ascii="Calibri" w:hAnsi="Calibri" w:cs="Calibri"/>
          <w:lang w:val="en-US"/>
        </w:rPr>
        <w:t>T</w:t>
      </w:r>
      <w:r w:rsidR="00F854A6">
        <w:rPr>
          <w:rFonts w:ascii="Calibri" w:hAnsi="Calibri" w:cs="Calibri"/>
          <w:lang w:val="en-US"/>
        </w:rPr>
        <w:t>his drug is reminiscent of the</w:t>
      </w:r>
      <w:r w:rsidR="00BC28B3" w:rsidRPr="00822AF5">
        <w:rPr>
          <w:rFonts w:ascii="Calibri" w:hAnsi="Calibri" w:cs="Calibri"/>
          <w:lang w:val="en-US"/>
        </w:rPr>
        <w:t xml:space="preserve"> classical </w:t>
      </w:r>
      <w:proofErr w:type="spellStart"/>
      <w:r w:rsidR="00BC28B3" w:rsidRPr="00822AF5">
        <w:rPr>
          <w:rFonts w:ascii="Calibri" w:hAnsi="Calibri" w:cs="Calibri"/>
          <w:lang w:val="en-US"/>
        </w:rPr>
        <w:t>mAb</w:t>
      </w:r>
      <w:proofErr w:type="spellEnd"/>
      <w:r w:rsidR="00F854A6">
        <w:rPr>
          <w:rFonts w:ascii="Calibri" w:hAnsi="Calibri" w:cs="Calibri"/>
          <w:lang w:val="en-US"/>
        </w:rPr>
        <w:t xml:space="preserve"> anticancer treatments;</w:t>
      </w:r>
      <w:r w:rsidR="00BC28B3" w:rsidRPr="00822AF5">
        <w:rPr>
          <w:rFonts w:ascii="Calibri" w:hAnsi="Calibri" w:cs="Calibri"/>
          <w:lang w:val="en-US"/>
        </w:rPr>
        <w:t xml:space="preserve"> </w:t>
      </w:r>
      <w:r w:rsidR="00F854A6">
        <w:rPr>
          <w:rFonts w:ascii="Calibri" w:hAnsi="Calibri" w:cs="Calibri"/>
          <w:lang w:val="en-US"/>
        </w:rPr>
        <w:t>(</w:t>
      </w:r>
      <w:proofErr w:type="spellStart"/>
      <w:r w:rsidR="00F854A6">
        <w:rPr>
          <w:rFonts w:ascii="Calibri" w:hAnsi="Calibri" w:cs="Calibri"/>
          <w:lang w:val="en-US"/>
        </w:rPr>
        <w:t>i</w:t>
      </w:r>
      <w:proofErr w:type="spellEnd"/>
      <w:r w:rsidR="00F854A6">
        <w:rPr>
          <w:rFonts w:ascii="Calibri" w:hAnsi="Calibri" w:cs="Calibri"/>
          <w:lang w:val="en-US"/>
        </w:rPr>
        <w:t>) s</w:t>
      </w:r>
      <w:r w:rsidR="00BC28B3" w:rsidRPr="00822AF5">
        <w:rPr>
          <w:rFonts w:ascii="Calibri" w:hAnsi="Calibri" w:cs="Calibri"/>
          <w:lang w:val="en-US"/>
        </w:rPr>
        <w:t xml:space="preserve">imilar to </w:t>
      </w:r>
      <w:hyperlink r:id="rId11" w:history="1">
        <w:r w:rsidR="00BC28B3" w:rsidRPr="002E5DFB">
          <w:rPr>
            <w:rStyle w:val="Hyperlink"/>
            <w:rFonts w:ascii="Calibri" w:hAnsi="Calibri" w:cs="Calibri"/>
          </w:rPr>
          <w:t>Pertuzumab</w:t>
        </w:r>
      </w:hyperlink>
      <w:r w:rsidR="00BC28B3" w:rsidRPr="00822AF5">
        <w:rPr>
          <w:rFonts w:ascii="Calibri" w:hAnsi="Calibri" w:cs="Calibri"/>
          <w:lang w:val="en-US"/>
        </w:rPr>
        <w:t xml:space="preserve"> (</w:t>
      </w:r>
      <w:r w:rsidR="00BC28B3" w:rsidRPr="00822AF5">
        <w:rPr>
          <w:rFonts w:ascii="Calibri" w:hAnsi="Calibri" w:cs="Calibri"/>
        </w:rPr>
        <w:t>RG6264, Perjeta</w:t>
      </w:r>
      <w:r w:rsidR="00BC28B3" w:rsidRPr="00822AF5">
        <w:rPr>
          <w:rFonts w:ascii="Calibri" w:hAnsi="Calibri" w:cs="Calibri"/>
          <w:lang w:val="en-US"/>
        </w:rPr>
        <w:t xml:space="preserve">) from </w:t>
      </w:r>
      <w:hyperlink r:id="rId12">
        <w:r w:rsidR="00BC28B3" w:rsidRPr="00822AF5">
          <w:rPr>
            <w:rFonts w:ascii="Calibri" w:hAnsi="Calibri" w:cs="Calibri"/>
            <w:color w:val="0563C1"/>
            <w:u w:val="single"/>
          </w:rPr>
          <w:t>Genentech</w:t>
        </w:r>
      </w:hyperlink>
      <w:r w:rsidR="00BC28B3" w:rsidRPr="00822AF5">
        <w:rPr>
          <w:rFonts w:ascii="Calibri" w:hAnsi="Calibri" w:cs="Calibri"/>
        </w:rPr>
        <w:t> </w:t>
      </w:r>
      <w:r w:rsidR="00BC28B3" w:rsidRPr="00822AF5">
        <w:rPr>
          <w:rFonts w:ascii="Calibri" w:hAnsi="Calibri" w:cs="Calibri"/>
          <w:lang w:val="en-US"/>
        </w:rPr>
        <w:t>which</w:t>
      </w:r>
      <w:r w:rsidR="00BC28B3" w:rsidRPr="00822AF5">
        <w:rPr>
          <w:rFonts w:ascii="Calibri" w:hAnsi="Calibri" w:cs="Calibri"/>
        </w:rPr>
        <w:t xml:space="preserve"> was first approved in 2012, Europe in 2013, etc.</w:t>
      </w:r>
      <w:r w:rsidR="00BC28B3" w:rsidRPr="00822AF5">
        <w:rPr>
          <w:rFonts w:ascii="Calibri" w:hAnsi="Calibri" w:cs="Calibri"/>
          <w:lang w:val="en-US"/>
        </w:rPr>
        <w:t xml:space="preserve"> </w:t>
      </w:r>
      <w:r w:rsidR="00F854A6">
        <w:rPr>
          <w:rFonts w:ascii="Calibri" w:hAnsi="Calibri" w:cs="Calibri"/>
          <w:lang w:val="en-US"/>
        </w:rPr>
        <w:t>(ii) s</w:t>
      </w:r>
      <w:r w:rsidR="00BC28B3" w:rsidRPr="00822AF5">
        <w:rPr>
          <w:rFonts w:ascii="Calibri" w:hAnsi="Calibri" w:cs="Calibri"/>
          <w:lang w:val="en-US"/>
        </w:rPr>
        <w:t xml:space="preserve">imilar to </w:t>
      </w:r>
      <w:hyperlink r:id="rId13" w:history="1">
        <w:r w:rsidR="00BC28B3" w:rsidRPr="002E5DFB">
          <w:rPr>
            <w:rStyle w:val="Hyperlink"/>
            <w:rFonts w:ascii="Calibri" w:hAnsi="Calibri" w:cs="Calibri"/>
            <w:lang w:val="en-US"/>
          </w:rPr>
          <w:t>Trastuzumab</w:t>
        </w:r>
      </w:hyperlink>
      <w:r w:rsidR="00BC28B3" w:rsidRPr="00822AF5">
        <w:rPr>
          <w:rFonts w:ascii="Calibri" w:hAnsi="Calibri" w:cs="Calibri"/>
          <w:lang w:val="en-US"/>
        </w:rPr>
        <w:t>, Herceptin from Genentech very well known, approval US 1998, EU 2000, WHO essential medicine.</w:t>
      </w:r>
    </w:p>
    <w:p w14:paraId="00000035" w14:textId="7F7B2FAD" w:rsidR="000C2469" w:rsidRPr="0094030F" w:rsidRDefault="00EC3414" w:rsidP="001E456A">
      <w:pPr>
        <w:spacing w:before="120" w:line="360" w:lineRule="auto"/>
        <w:rPr>
          <w:rFonts w:ascii="Calibri" w:hAnsi="Calibri" w:cs="Calibri"/>
        </w:rPr>
      </w:pPr>
      <w:r>
        <w:rPr>
          <w:rFonts w:ascii="Calibri" w:hAnsi="Calibri" w:cs="Calibri"/>
          <w:noProof/>
        </w:rPr>
        <w:drawing>
          <wp:inline distT="0" distB="0" distL="0" distR="0" wp14:anchorId="7FB9CC22" wp14:editId="0277788C">
            <wp:extent cx="2647993" cy="148975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7553" cy="1500757"/>
                    </a:xfrm>
                    <a:prstGeom prst="rect">
                      <a:avLst/>
                    </a:prstGeom>
                  </pic:spPr>
                </pic:pic>
              </a:graphicData>
            </a:graphic>
          </wp:inline>
        </w:drawing>
      </w:r>
    </w:p>
    <w:p w14:paraId="6DDF5421" w14:textId="20679387" w:rsidR="004E78BC" w:rsidRPr="004E78BC" w:rsidRDefault="009C7364" w:rsidP="001E456A">
      <w:pPr>
        <w:spacing w:before="120" w:line="360" w:lineRule="auto"/>
        <w:rPr>
          <w:rFonts w:ascii="Calibri" w:hAnsi="Calibri" w:cs="Calibri"/>
          <w:lang w:val="en-US"/>
        </w:rPr>
      </w:pPr>
      <w:r w:rsidRPr="0094030F">
        <w:rPr>
          <w:rFonts w:ascii="Calibri" w:hAnsi="Calibri" w:cs="Calibri"/>
          <w:b/>
          <w:bCs/>
          <w:lang w:val="en-US"/>
        </w:rPr>
        <w:t>Fig</w:t>
      </w:r>
      <w:r w:rsidR="009B2E2A" w:rsidRPr="0094030F">
        <w:rPr>
          <w:rFonts w:ascii="Calibri" w:hAnsi="Calibri" w:cs="Calibri"/>
          <w:b/>
          <w:bCs/>
          <w:lang w:val="en-US"/>
        </w:rPr>
        <w:t>ure</w:t>
      </w:r>
      <w:r w:rsidRPr="0094030F">
        <w:rPr>
          <w:rFonts w:ascii="Calibri" w:hAnsi="Calibri" w:cs="Calibri"/>
          <w:b/>
          <w:bCs/>
          <w:lang w:val="en-US"/>
        </w:rPr>
        <w:t xml:space="preserve"> 1</w:t>
      </w:r>
      <w:r w:rsidRPr="00822AF5">
        <w:rPr>
          <w:rFonts w:ascii="Calibri" w:hAnsi="Calibri" w:cs="Calibri"/>
          <w:lang w:val="en-US"/>
        </w:rPr>
        <w:t xml:space="preserve">. </w:t>
      </w:r>
      <w:r w:rsidR="004E78BC" w:rsidRPr="004E78BC">
        <w:rPr>
          <w:rFonts w:ascii="Calibri" w:hAnsi="Calibri" w:cs="Calibri"/>
          <w:color w:val="202020"/>
          <w:shd w:val="clear" w:color="auto" w:fill="FFFFFF"/>
          <w:lang w:val="en-US"/>
        </w:rPr>
        <w:t>Cryo-EM structure of HER2 (cyan) extracellular domain</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Trastuzumab Fab</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(Herceptin - red and pink)</w:t>
      </w:r>
      <w:r w:rsidR="004E78BC">
        <w:rPr>
          <w:rFonts w:ascii="Calibri" w:hAnsi="Calibri" w:cs="Calibri"/>
          <w:color w:val="202020"/>
          <w:shd w:val="clear" w:color="auto" w:fill="FFFFFF"/>
          <w:lang w:val="en-US"/>
        </w:rPr>
        <w:t xml:space="preserve">, and </w:t>
      </w:r>
      <w:proofErr w:type="spellStart"/>
      <w:r w:rsidR="004E78BC" w:rsidRPr="004E78BC">
        <w:rPr>
          <w:rFonts w:ascii="Calibri" w:hAnsi="Calibri" w:cs="Calibri"/>
          <w:color w:val="202020"/>
          <w:shd w:val="clear" w:color="auto" w:fill="FFFFFF"/>
          <w:lang w:val="en-US"/>
        </w:rPr>
        <w:t>Pertuzumab</w:t>
      </w:r>
      <w:proofErr w:type="spellEnd"/>
      <w:r w:rsidR="004E78BC" w:rsidRPr="004E78BC">
        <w:rPr>
          <w:rFonts w:ascii="Calibri" w:hAnsi="Calibri" w:cs="Calibri"/>
          <w:color w:val="202020"/>
          <w:shd w:val="clear" w:color="auto" w:fill="FFFFFF"/>
          <w:lang w:val="en-US"/>
        </w:rPr>
        <w:t xml:space="preserve"> Fab complex (Perjeta - yellow and orange). Derived from PDB 6OGE </w:t>
      </w:r>
      <w:hyperlink r:id="rId15" w:history="1">
        <w:r w:rsidR="004E78BC" w:rsidRPr="007F0F55">
          <w:rPr>
            <w:rStyle w:val="Hyperlink"/>
            <w:rFonts w:ascii="Calibri" w:hAnsi="Calibri" w:cs="Calibri"/>
            <w:shd w:val="clear" w:color="auto" w:fill="FFFFFF"/>
            <w:lang w:val="en-US"/>
          </w:rPr>
          <w:t>https://doi.org/10.1371/journal.pone.0216095</w:t>
        </w:r>
      </w:hyperlink>
      <w:r w:rsidR="004E78BC" w:rsidRPr="004E78BC">
        <w:rPr>
          <w:rFonts w:ascii="Calibri" w:hAnsi="Calibri" w:cs="Calibri"/>
          <w:color w:val="202020"/>
          <w:shd w:val="clear" w:color="auto" w:fill="FFFFFF"/>
          <w:lang w:val="en-US"/>
        </w:rPr>
        <w:t>.</w:t>
      </w:r>
    </w:p>
    <w:p w14:paraId="4A3505A2" w14:textId="4BFB635F" w:rsidR="00C32691" w:rsidRPr="001E456A" w:rsidRDefault="00C32691" w:rsidP="001E456A">
      <w:pPr>
        <w:spacing w:before="120" w:line="360" w:lineRule="auto"/>
        <w:rPr>
          <w:rFonts w:ascii="Calibri" w:hAnsi="Calibri" w:cs="Calibri"/>
        </w:rPr>
      </w:pPr>
      <w:r>
        <w:rPr>
          <w:rFonts w:ascii="Calibri" w:hAnsi="Calibri" w:cs="Calibri"/>
        </w:rPr>
        <w:br w:type="page"/>
      </w:r>
    </w:p>
    <w:p w14:paraId="7C3E4C35" w14:textId="77777777" w:rsidR="00F236A3" w:rsidRDefault="00F236A3" w:rsidP="001E456A">
      <w:pPr>
        <w:pStyle w:val="Heading2"/>
        <w:spacing w:before="120" w:after="120" w:line="360" w:lineRule="auto"/>
      </w:pPr>
    </w:p>
    <w:p w14:paraId="70C358FA" w14:textId="7CE1C48D" w:rsidR="005836BF" w:rsidRPr="00822AF5" w:rsidRDefault="005836BF" w:rsidP="001E456A">
      <w:pPr>
        <w:pStyle w:val="Heading2"/>
        <w:spacing w:before="120" w:after="120" w:line="360" w:lineRule="auto"/>
      </w:pPr>
      <w:bookmarkStart w:id="2" w:name="_Toc115280135"/>
      <w:r w:rsidRPr="00822AF5">
        <w:t>Part A: Preclinical Plan</w:t>
      </w:r>
      <w:bookmarkEnd w:id="2"/>
    </w:p>
    <w:p w14:paraId="6EFAD601" w14:textId="77777777" w:rsidR="00223EDF" w:rsidRDefault="00223EDF" w:rsidP="00223EDF">
      <w:pPr>
        <w:spacing w:before="120"/>
        <w:jc w:val="both"/>
        <w:rPr>
          <w:rFonts w:ascii="Calibri" w:hAnsi="Calibri" w:cs="Calibri"/>
        </w:rPr>
      </w:pPr>
      <w:r w:rsidRPr="00822AF5">
        <w:rPr>
          <w:rFonts w:ascii="Calibri" w:hAnsi="Calibri" w:cs="Calibri"/>
          <w:lang w:val="en-US"/>
        </w:rPr>
        <w:t>A preclinical plan will be completed summarizing the</w:t>
      </w:r>
      <w:r w:rsidRPr="00822AF5">
        <w:rPr>
          <w:rFonts w:ascii="Calibri" w:hAnsi="Calibri" w:cs="Calibri"/>
        </w:rPr>
        <w:t xml:space="preserve"> work that needs to be done and included in the application for the above mentioned Investigational Medicinal Product. </w:t>
      </w:r>
      <w:r w:rsidRPr="00822AF5">
        <w:rPr>
          <w:rFonts w:ascii="Calibri" w:hAnsi="Calibri" w:cs="Calibri"/>
          <w:lang w:val="en-US"/>
        </w:rPr>
        <w:t>This consists of a short description</w:t>
      </w:r>
      <w:r w:rsidRPr="00822AF5">
        <w:rPr>
          <w:rFonts w:ascii="Calibri" w:hAnsi="Calibri" w:cs="Calibri"/>
        </w:rPr>
        <w:t xml:space="preserve"> </w:t>
      </w:r>
      <w:r w:rsidRPr="00822AF5">
        <w:rPr>
          <w:rFonts w:ascii="Calibri" w:hAnsi="Calibri" w:cs="Calibri"/>
          <w:lang w:val="en-US"/>
        </w:rPr>
        <w:t xml:space="preserve">of </w:t>
      </w:r>
      <w:r w:rsidRPr="00822AF5">
        <w:rPr>
          <w:rFonts w:ascii="Calibri" w:hAnsi="Calibri" w:cs="Calibri"/>
        </w:rPr>
        <w:t xml:space="preserve">the preclinical studies to cover the clinical trial, namely the animal studies, the duration of treatment, pharmacology and toxicology studies in the </w:t>
      </w:r>
      <w:sdt>
        <w:sdtPr>
          <w:tag w:val="goog_rdk_4"/>
          <w:id w:val="421611460"/>
        </w:sdtPr>
        <w:sdtEndPr/>
        <w:sdtContent>
          <w:r>
            <w:rPr>
              <w:rFonts w:ascii="Calibri" w:eastAsia="Calibri" w:hAnsi="Calibri" w:cs="Calibri"/>
            </w:rPr>
            <w:t>appropriate</w:t>
          </w:r>
        </w:sdtContent>
      </w:sdt>
      <w:r w:rsidRPr="00822AF5" w:rsidDel="00B31AED">
        <w:rPr>
          <w:rFonts w:ascii="Calibri" w:hAnsi="Calibri" w:cs="Calibri"/>
        </w:rPr>
        <w:t xml:space="preserve"> </w:t>
      </w:r>
      <w:r w:rsidRPr="00822AF5">
        <w:rPr>
          <w:rFonts w:ascii="Calibri" w:hAnsi="Calibri" w:cs="Calibri"/>
        </w:rPr>
        <w:t>animal model.</w:t>
      </w:r>
    </w:p>
    <w:p w14:paraId="27F0E7B7" w14:textId="77777777" w:rsidR="00223EDF" w:rsidRPr="00822AF5" w:rsidRDefault="00223EDF" w:rsidP="00223EDF">
      <w:pPr>
        <w:spacing w:before="120"/>
        <w:jc w:val="both"/>
        <w:rPr>
          <w:rFonts w:ascii="Calibri" w:hAnsi="Calibri" w:cs="Calibri"/>
          <w:lang w:val="en-US"/>
        </w:rPr>
      </w:pPr>
    </w:p>
    <w:p w14:paraId="5FF61AFD" w14:textId="77777777" w:rsidR="00223EDF" w:rsidRPr="00822AF5" w:rsidRDefault="00223EDF" w:rsidP="00223EDF">
      <w:pPr>
        <w:spacing w:before="120"/>
        <w:rPr>
          <w:rFonts w:ascii="Calibri" w:hAnsi="Calibri" w:cs="Calibri"/>
        </w:rPr>
      </w:pPr>
      <w:r w:rsidRPr="00822AF5">
        <w:rPr>
          <w:rFonts w:ascii="Calibri" w:hAnsi="Calibri" w:cs="Calibri"/>
          <w:color w:val="222222"/>
          <w:lang w:val="en-US"/>
        </w:rPr>
        <w:t xml:space="preserve">Guidance documents used in this plan include: </w:t>
      </w:r>
    </w:p>
    <w:p w14:paraId="7F764EFF" w14:textId="2E725EFF" w:rsidR="00223EDF" w:rsidRPr="00822AF5" w:rsidRDefault="00A315B4" w:rsidP="00223EDF">
      <w:pPr>
        <w:pStyle w:val="ListParagraph"/>
        <w:numPr>
          <w:ilvl w:val="0"/>
          <w:numId w:val="2"/>
        </w:numPr>
        <w:spacing w:before="120" w:after="120"/>
        <w:rPr>
          <w:rFonts w:ascii="Calibri" w:hAnsi="Calibri" w:cs="Calibri"/>
          <w:color w:val="222222"/>
          <w:sz w:val="24"/>
          <w:szCs w:val="24"/>
        </w:rPr>
      </w:pPr>
      <w:hyperlink r:id="rId16" w:history="1">
        <w:r w:rsidR="00223EDF" w:rsidRPr="00822AF5">
          <w:rPr>
            <w:rStyle w:val="Hyperlink"/>
            <w:rFonts w:ascii="Calibri" w:hAnsi="Calibri" w:cs="Calibri"/>
            <w:sz w:val="24"/>
            <w:szCs w:val="24"/>
          </w:rPr>
          <w:t>An introduction to little-known aspects of nonclinical regulatory writing</w:t>
        </w:r>
      </w:hyperlink>
      <w:r w:rsidR="00223EDF" w:rsidRPr="00822AF5">
        <w:rPr>
          <w:rFonts w:ascii="Calibri" w:hAnsi="Calibri" w:cs="Calibri"/>
          <w:color w:val="222222"/>
          <w:sz w:val="24"/>
          <w:szCs w:val="24"/>
        </w:rPr>
        <w:t xml:space="preserve">; </w:t>
      </w:r>
      <w:proofErr w:type="spellStart"/>
      <w:r w:rsidR="00223EDF" w:rsidRPr="00822AF5">
        <w:rPr>
          <w:rFonts w:ascii="Calibri" w:hAnsi="Calibri" w:cs="Calibri"/>
          <w:color w:val="222222"/>
          <w:sz w:val="24"/>
          <w:szCs w:val="24"/>
        </w:rPr>
        <w:t>Nürnberg</w:t>
      </w:r>
      <w:proofErr w:type="spellEnd"/>
      <w:r w:rsidR="00223EDF" w:rsidRPr="00822AF5">
        <w:rPr>
          <w:rFonts w:ascii="Calibri" w:hAnsi="Calibri" w:cs="Calibri"/>
          <w:color w:val="222222"/>
          <w:sz w:val="24"/>
          <w:szCs w:val="24"/>
        </w:rPr>
        <w:t xml:space="preserve"> and Pierre </w:t>
      </w:r>
      <w:r w:rsidR="00223EDF" w:rsidRPr="00822AF5">
        <w:rPr>
          <w:rFonts w:ascii="Calibri" w:hAnsi="Calibri" w:cs="Calibri"/>
          <w:color w:val="222222"/>
          <w:sz w:val="24"/>
          <w:szCs w:val="24"/>
        </w:rPr>
        <w:fldChar w:fldCharType="begin"/>
      </w:r>
      <w:r w:rsidR="00223EDF">
        <w:rPr>
          <w:rFonts w:ascii="Calibri" w:hAnsi="Calibri" w:cs="Calibri"/>
          <w:color w:val="222222"/>
          <w:sz w:val="24"/>
          <w:szCs w:val="24"/>
        </w:rPr>
        <w:instrText xml:space="preserve"> ADDIN ZOTERO_ITEM CSL_CITATION {"citationID":"XghyXGX6","properties":{"formattedCitation":"[1]","plainCitation":"[1]","noteIndex":0},"citationItems":[{"id":868,"uris":["http://zotero.org/groups/4760334/items/JX6SB6IV"],"itemData":{"id":868,"type":"article-journal","container-title":"Medical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00223EDF" w:rsidRPr="00822AF5">
        <w:rPr>
          <w:rFonts w:ascii="Calibri" w:hAnsi="Calibri" w:cs="Calibri"/>
          <w:color w:val="222222"/>
          <w:sz w:val="24"/>
          <w:szCs w:val="24"/>
        </w:rPr>
        <w:fldChar w:fldCharType="separate"/>
      </w:r>
      <w:r w:rsidR="00223EDF">
        <w:rPr>
          <w:rFonts w:ascii="Calibri" w:hAnsi="Calibri" w:cs="Calibri"/>
          <w:noProof/>
          <w:color w:val="222222"/>
          <w:sz w:val="24"/>
          <w:szCs w:val="24"/>
        </w:rPr>
        <w:t>[1]</w:t>
      </w:r>
      <w:r w:rsidR="00223EDF" w:rsidRPr="00822AF5">
        <w:rPr>
          <w:rFonts w:ascii="Calibri" w:hAnsi="Calibri" w:cs="Calibri"/>
          <w:color w:val="222222"/>
          <w:sz w:val="24"/>
          <w:szCs w:val="24"/>
        </w:rPr>
        <w:fldChar w:fldCharType="end"/>
      </w:r>
      <w:r w:rsidR="00223EDF" w:rsidRPr="00822AF5">
        <w:rPr>
          <w:rFonts w:ascii="Calibri" w:hAnsi="Calibri" w:cs="Calibri"/>
          <w:color w:val="222222"/>
          <w:sz w:val="24"/>
          <w:szCs w:val="24"/>
        </w:rPr>
        <w:t>.</w:t>
      </w:r>
    </w:p>
    <w:p w14:paraId="78C18CD6" w14:textId="0FB7CE9A" w:rsidR="00223EDF" w:rsidRPr="00822AF5" w:rsidRDefault="00223EDF" w:rsidP="00223EDF">
      <w:pPr>
        <w:pStyle w:val="ListParagraph"/>
        <w:numPr>
          <w:ilvl w:val="0"/>
          <w:numId w:val="2"/>
        </w:numPr>
        <w:spacing w:before="120" w:after="120"/>
        <w:rPr>
          <w:rFonts w:ascii="Calibri" w:hAnsi="Calibri" w:cs="Calibri"/>
          <w:sz w:val="24"/>
          <w:szCs w:val="24"/>
        </w:rPr>
      </w:pPr>
      <w:r w:rsidRPr="00822AF5">
        <w:rPr>
          <w:rFonts w:ascii="Calibri" w:hAnsi="Calibri" w:cs="Calibri"/>
          <w:sz w:val="24"/>
          <w:szCs w:val="24"/>
        </w:rPr>
        <w:t>European Comission: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17"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{"citationID":"AywywvGj","properties":{"formattedCitation":"[2]","plainCitation":"[2]","noteIndex":0},"citationItems":[{"id":870,"uris":["http://zotero.org/groups/4760334/items/NQR5PXJZ"],"itemData":{"id":870,"type":"document","title":"EudraLex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3444E5DA" w14:textId="6C205CA6" w:rsidR="00223EDF" w:rsidRPr="00822AF5" w:rsidRDefault="00223EDF" w:rsidP="00223EDF">
      <w:pPr>
        <w:pStyle w:val="ListParagraph"/>
        <w:numPr>
          <w:ilvl w:val="0"/>
          <w:numId w:val="2"/>
        </w:numPr>
        <w:spacing w:before="120" w:after="120"/>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18"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{"citationID":"XWWgrcIZ","properties":{"formattedCitation":"[2]","plainCitation":"[2]","noteIndex":0},"citationItems":[{"id":870,"uris":["http://zotero.org/groups/4760334/items/NQR5PXJZ"],"itemData":{"id":870,"type":"document","title":"EudraLex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5232BCA1" w14:textId="77777777" w:rsidR="00223EDF" w:rsidRPr="00822AF5" w:rsidRDefault="00223EDF" w:rsidP="00223EDF">
      <w:pPr>
        <w:pStyle w:val="ListParagraph"/>
        <w:numPr>
          <w:ilvl w:val="0"/>
          <w:numId w:val="2"/>
        </w:numPr>
        <w:spacing w:before="120" w:after="120"/>
        <w:rPr>
          <w:rFonts w:ascii="Calibri" w:hAnsi="Calibri" w:cs="Calibri"/>
          <w:sz w:val="24"/>
          <w:szCs w:val="24"/>
        </w:rPr>
      </w:pPr>
      <w:r w:rsidRPr="00822AF5">
        <w:rPr>
          <w:rFonts w:ascii="Calibri" w:hAnsi="Calibri" w:cs="Calibri"/>
          <w:sz w:val="24"/>
          <w:szCs w:val="24"/>
        </w:rPr>
        <w:t>EMA committee for medicinal products for human use (</w:t>
      </w:r>
      <w:proofErr w:type="spellStart"/>
      <w:r w:rsidRPr="00822AF5">
        <w:rPr>
          <w:rFonts w:ascii="Calibri" w:hAnsi="Calibri" w:cs="Calibri"/>
          <w:sz w:val="24"/>
          <w:szCs w:val="24"/>
        </w:rPr>
        <w:t>chmp</w:t>
      </w:r>
      <w:proofErr w:type="spellEnd"/>
      <w:r w:rsidRPr="00822AF5">
        <w:rPr>
          <w:rFonts w:ascii="Calibri" w:hAnsi="Calibri" w:cs="Calibri"/>
          <w:sz w:val="24"/>
          <w:szCs w:val="24"/>
        </w:rPr>
        <w:t>)</w:t>
      </w:r>
      <w:r>
        <w:rPr>
          <w:rFonts w:ascii="Calibri" w:hAnsi="Calibri" w:cs="Calibri"/>
          <w:sz w:val="24"/>
          <w:szCs w:val="24"/>
        </w:rPr>
        <w:t xml:space="preserve">: </w:t>
      </w:r>
      <w:r w:rsidRPr="00822AF5">
        <w:rPr>
          <w:rFonts w:ascii="Calibri" w:hAnsi="Calibri" w:cs="Calibri"/>
          <w:b/>
          <w:bCs/>
          <w:i/>
          <w:iCs/>
          <w:sz w:val="24"/>
          <w:szCs w:val="24"/>
        </w:rPr>
        <w:t>Guideline on the requirements to the chemical and pharmaceutical quality documentation concerning investigational medicinal products in clinical trials</w:t>
      </w:r>
      <w:r w:rsidRPr="00822AF5">
        <w:rPr>
          <w:rFonts w:ascii="Calibri" w:hAnsi="Calibri" w:cs="Calibri"/>
          <w:sz w:val="24"/>
          <w:szCs w:val="24"/>
        </w:rPr>
        <w:t xml:space="preserve"> (</w:t>
      </w:r>
      <w:hyperlink r:id="rId19"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w:t>
      </w:r>
    </w:p>
    <w:p w14:paraId="7F7B3D8F" w14:textId="3ECFD3CE" w:rsidR="00223EDF" w:rsidRPr="00822AF5" w:rsidRDefault="00223EDF" w:rsidP="00223EDF">
      <w:pPr>
        <w:pStyle w:val="ListParagraph"/>
        <w:numPr>
          <w:ilvl w:val="0"/>
          <w:numId w:val="2"/>
        </w:numPr>
        <w:spacing w:before="120" w:after="120"/>
        <w:rPr>
          <w:rFonts w:ascii="Calibri" w:hAnsi="Calibri" w:cs="Calibri"/>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w:t>
      </w:r>
      <w:r w:rsidRPr="00822AF5">
        <w:rPr>
          <w:rFonts w:ascii="Calibri" w:hAnsi="Calibri" w:cs="Calibri"/>
          <w:bCs/>
          <w:i/>
          <w:sz w:val="24"/>
          <w:szCs w:val="24"/>
        </w:rPr>
        <w:t>:</w:t>
      </w:r>
      <w:r w:rsidRPr="00822AF5">
        <w:rPr>
          <w:rFonts w:ascii="Calibri" w:hAnsi="Calibri" w:cs="Calibri"/>
          <w:b/>
          <w:i/>
          <w:sz w:val="24"/>
          <w:szCs w:val="24"/>
        </w:rPr>
        <w:t xml:space="preserve"> Guidance on nonclinical safety studies for the conduct of human clinical trials and marketing authorization for pharmaceuticals M3(R2) version step 4 2009</w:t>
      </w:r>
      <w:r w:rsidRPr="00822AF5">
        <w:rPr>
          <w:rFonts w:ascii="Calibri" w:hAnsi="Calibri" w:cs="Calibri"/>
          <w:sz w:val="24"/>
          <w:szCs w:val="24"/>
        </w:rPr>
        <w:t xml:space="preserve"> (</w:t>
      </w:r>
      <w:hyperlink r:id="rId20">
        <w:r w:rsidRPr="00822AF5">
          <w:rPr>
            <w:rFonts w:ascii="Calibri" w:hAnsi="Calibri" w:cs="Calibri"/>
            <w:color w:val="0563C1"/>
            <w:sz w:val="24"/>
            <w:szCs w:val="24"/>
            <w:u w:val="single"/>
          </w:rPr>
          <w:t>https://database.ich.org/sites/default/files/M3_R2__Guideline.pdf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{"citationID":"nes1ZF6p","properties":{"formattedCitation":"[3]","plainCitation":"[3]","noteIndex":0},"citationItems":[{"id":874,"uris":["http://zotero.org/groups/4760334/items/9W63VRGX"],"itemData":{"id":874,"type":"paper-conference","container-title":"International conference on harmonisation of technical requirements for registration of pharmaceuticals for human use","title":"ICH: Guidance on nonclinical safety studies for the conduct of human clinical trials and marketing authorization for pharmaceuticals M3 (R2). Version step 4 2009.","URL":"https://database.ich.org/sites/default/files/M3_R2__Guideline.pdf","author":[{"family":"Guideline","given":"International Conference Harmonisation"}],"issued":{"date-parts":[["2009"]]}}}],"schema":"https://github.com/citation-style-language/schema/raw/master/csl-citation.json"}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35F58552" w14:textId="5E3D557E" w:rsidR="00223EDF" w:rsidRPr="00822AF5" w:rsidRDefault="00223EDF" w:rsidP="00223EDF">
      <w:pPr>
        <w:pStyle w:val="ListParagraph"/>
        <w:numPr>
          <w:ilvl w:val="0"/>
          <w:numId w:val="2"/>
        </w:numPr>
        <w:spacing w:before="120" w:after="120"/>
        <w:rPr>
          <w:rFonts w:ascii="Calibri" w:hAnsi="Calibri" w:cs="Calibri"/>
          <w:b/>
          <w:bCs/>
          <w:i/>
          <w:iCs/>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 (</w:t>
      </w:r>
      <w:hyperlink r:id="rId21">
        <w:r w:rsidRPr="00822AF5">
          <w:rPr>
            <w:rFonts w:ascii="Calibri" w:hAnsi="Calibri" w:cs="Calibri"/>
            <w:color w:val="0563C1"/>
            <w:sz w:val="24"/>
            <w:szCs w:val="24"/>
            <w:u w:val="single"/>
          </w:rPr>
          <w:t>https://www.ich.org/page/safety-guidelines</w:t>
        </w:r>
      </w:hyperlink>
      <w:r w:rsidRPr="00822AF5">
        <w:rPr>
          <w:rFonts w:ascii="Calibri" w:hAnsi="Calibri" w:cs="Calibri"/>
          <w:color w:val="0563C1"/>
          <w:sz w:val="24"/>
          <w:szCs w:val="24"/>
          <w:u w:val="single"/>
        </w:rPr>
        <w:t>)</w:t>
      </w:r>
      <w:r w:rsidRPr="00822AF5">
        <w:rPr>
          <w:rFonts w:ascii="Calibri" w:hAnsi="Calibri" w:cs="Calibri"/>
          <w:sz w:val="24"/>
          <w:szCs w:val="24"/>
        </w:rPr>
        <w:t xml:space="preserve">, specifically section </w:t>
      </w:r>
      <w:r w:rsidRPr="00822AF5">
        <w:rPr>
          <w:rFonts w:ascii="Calibri" w:hAnsi="Calibri" w:cs="Calibri"/>
          <w:b/>
          <w:bCs/>
          <w:i/>
          <w:iCs/>
          <w:sz w:val="24"/>
          <w:szCs w:val="24"/>
        </w:rPr>
        <w:t xml:space="preserve">S9 Nonclinical evaluation for anticancer pharmaceuticals </w:t>
      </w:r>
      <w:r w:rsidRPr="00822AF5">
        <w:rPr>
          <w:rFonts w:ascii="Calibri" w:hAnsi="Calibri" w:cs="Calibri"/>
          <w:b/>
          <w:i/>
          <w:sz w:val="24"/>
          <w:szCs w:val="24"/>
        </w:rPr>
        <w:t>version step 4 2009</w:t>
      </w:r>
      <w:r w:rsidRPr="00822AF5">
        <w:rPr>
          <w:rFonts w:ascii="Calibri" w:hAnsi="Calibri" w:cs="Calibri"/>
          <w:sz w:val="24"/>
          <w:szCs w:val="24"/>
        </w:rPr>
        <w:t xml:space="preserve"> </w:t>
      </w:r>
      <w:r w:rsidRPr="00822AF5">
        <w:rPr>
          <w:rFonts w:ascii="Calibri" w:hAnsi="Calibri" w:cs="Calibri"/>
          <w:sz w:val="24"/>
          <w:szCs w:val="24"/>
          <w:lang w:val="en-CH"/>
        </w:rPr>
        <w:t>(</w:t>
      </w:r>
      <w:r w:rsidRPr="00822AF5">
        <w:rPr>
          <w:rFonts w:ascii="Calibri" w:hAnsi="Calibri" w:cs="Calibri"/>
          <w:sz w:val="24"/>
          <w:szCs w:val="24"/>
        </w:rPr>
        <w:fldChar w:fldCharType="begin"/>
      </w:r>
      <w:r w:rsidRPr="00822AF5">
        <w:rPr>
          <w:rFonts w:ascii="Calibri" w:hAnsi="Calibri" w:cs="Calibri"/>
          <w:sz w:val="24"/>
          <w:szCs w:val="24"/>
        </w:rPr>
        <w:instrText xml:space="preserve"> HYPERLINK "</w:instrText>
      </w:r>
      <w:r w:rsidRPr="00822AF5">
        <w:rPr>
          <w:rFonts w:ascii="Calibri" w:hAnsi="Calibri" w:cs="Calibri"/>
          <w:sz w:val="24"/>
          <w:szCs w:val="24"/>
          <w:lang w:val="en-CH"/>
        </w:rPr>
        <w:instrText>https://database.ich.org/sites/default/files/S9_Guideline.pdf</w:instrText>
      </w:r>
      <w:r w:rsidRPr="00822AF5">
        <w:rPr>
          <w:rFonts w:ascii="Calibri" w:hAnsi="Calibri" w:cs="Calibri"/>
          <w:sz w:val="24"/>
          <w:szCs w:val="24"/>
        </w:rPr>
        <w:instrText xml:space="preserve">" </w:instrText>
      </w:r>
      <w:r w:rsidRPr="00822AF5">
        <w:rPr>
          <w:rFonts w:ascii="Calibri" w:hAnsi="Calibri" w:cs="Calibri"/>
          <w:sz w:val="24"/>
          <w:szCs w:val="24"/>
        </w:rPr>
        <w:fldChar w:fldCharType="separate"/>
      </w:r>
      <w:r w:rsidRPr="00822AF5">
        <w:rPr>
          <w:rStyle w:val="Hyperlink"/>
          <w:rFonts w:ascii="Calibri" w:hAnsi="Calibri" w:cs="Calibri"/>
          <w:sz w:val="24"/>
          <w:szCs w:val="24"/>
          <w:lang w:val="en-CH"/>
        </w:rPr>
        <w:t>https://database.ich.org/sites/default/files/S9_Guideline.pdf</w:t>
      </w:r>
      <w:r w:rsidRPr="00822AF5">
        <w:rPr>
          <w:rFonts w:ascii="Calibri" w:hAnsi="Calibri" w:cs="Calibri"/>
          <w:sz w:val="24"/>
          <w:szCs w:val="24"/>
        </w:rPr>
        <w:fldChar w:fldCharType="end"/>
      </w:r>
      <w:r w:rsidRPr="00822AF5">
        <w:rPr>
          <w:rFonts w:ascii="Calibri" w:hAnsi="Calibri" w:cs="Calibri"/>
          <w:sz w:val="24"/>
          <w:szCs w:val="24"/>
          <w:lang w:val="en-CH"/>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{"citationID":"dO9kTfOc","properties":{"formattedCitation":"[4]","plainCitation":"[4]","noteIndex":0},"citationItems":[{"id":864,"uris":["http://zotero.org/groups/4760334/items/8JN7JCA2"],"itemData":{"id":864,"type":"paper-conference","container-title":"International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[4]</w:t>
      </w:r>
      <w:r w:rsidRPr="00822AF5">
        <w:rPr>
          <w:rFonts w:ascii="Calibri" w:hAnsi="Calibri" w:cs="Calibri"/>
          <w:sz w:val="24"/>
          <w:szCs w:val="24"/>
        </w:rPr>
        <w:fldChar w:fldCharType="end"/>
      </w:r>
      <w:r w:rsidRPr="00822AF5">
        <w:rPr>
          <w:rFonts w:ascii="Calibri" w:hAnsi="Calibri" w:cs="Calibri"/>
          <w:sz w:val="24"/>
          <w:szCs w:val="24"/>
          <w:lang w:val="en-CH"/>
        </w:rPr>
        <w:t>.</w:t>
      </w:r>
    </w:p>
    <w:p w14:paraId="270863B2" w14:textId="08555A70" w:rsidR="00223EDF" w:rsidRPr="00822AF5" w:rsidRDefault="00223EDF" w:rsidP="00223EDF">
      <w:pPr>
        <w:pStyle w:val="ListParagraph"/>
        <w:numPr>
          <w:ilvl w:val="0"/>
          <w:numId w:val="2"/>
        </w:numPr>
        <w:spacing w:before="120" w:after="120"/>
        <w:rPr>
          <w:rFonts w:ascii="Calibri" w:hAnsi="Calibri" w:cs="Calibri"/>
          <w:sz w:val="24"/>
          <w:szCs w:val="24"/>
          <w:lang w:val="en-CH"/>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guideline: </w:t>
      </w:r>
      <w:r w:rsidRPr="00822AF5">
        <w:rPr>
          <w:rFonts w:ascii="Calibri" w:hAnsi="Calibri" w:cs="Calibri"/>
          <w:b/>
          <w:i/>
          <w:sz w:val="24"/>
          <w:szCs w:val="24"/>
        </w:rPr>
        <w:t>Integrated addendum to ICH e6(r1): guideline for good clinical practice</w:t>
      </w:r>
      <w:r w:rsidRPr="00822AF5">
        <w:rPr>
          <w:rFonts w:ascii="Calibri" w:hAnsi="Calibri" w:cs="Calibri"/>
          <w:sz w:val="24"/>
          <w:szCs w:val="24"/>
        </w:rPr>
        <w:t xml:space="preserve"> </w:t>
      </w:r>
      <w:r w:rsidRPr="00822AF5">
        <w:rPr>
          <w:rFonts w:ascii="Calibri" w:hAnsi="Calibri" w:cs="Calibri"/>
          <w:b/>
          <w:i/>
          <w:sz w:val="24"/>
          <w:szCs w:val="24"/>
        </w:rPr>
        <w:t>E6(r2)step 4 version 2016</w:t>
      </w:r>
      <w:r w:rsidRPr="00822AF5">
        <w:rPr>
          <w:rFonts w:ascii="Calibri" w:hAnsi="Calibri" w:cs="Calibri"/>
          <w:sz w:val="24"/>
          <w:szCs w:val="24"/>
        </w:rPr>
        <w:t xml:space="preserve"> </w:t>
      </w:r>
      <w:r w:rsidRPr="00822AF5">
        <w:rPr>
          <w:rFonts w:ascii="Calibri" w:hAnsi="Calibri" w:cs="Calibri"/>
          <w:sz w:val="24"/>
          <w:szCs w:val="24"/>
          <w:lang w:val="en-CH"/>
        </w:rPr>
        <w:t>(</w:t>
      </w:r>
      <w:r w:rsidRPr="00822AF5">
        <w:rPr>
          <w:rFonts w:ascii="Calibri" w:hAnsi="Calibri" w:cs="Calibri"/>
          <w:sz w:val="24"/>
          <w:szCs w:val="24"/>
        </w:rPr>
        <w:fldChar w:fldCharType="begin"/>
      </w:r>
      <w:r w:rsidRPr="00822AF5">
        <w:rPr>
          <w:rFonts w:ascii="Calibri" w:hAnsi="Calibri" w:cs="Calibri"/>
          <w:sz w:val="24"/>
          <w:szCs w:val="24"/>
        </w:rPr>
        <w:instrText xml:space="preserve"> HYPERLINK "</w:instrText>
      </w:r>
      <w:r w:rsidRPr="00822AF5">
        <w:rPr>
          <w:rFonts w:ascii="Calibri" w:hAnsi="Calibri" w:cs="Calibri"/>
          <w:sz w:val="24"/>
          <w:szCs w:val="24"/>
          <w:lang w:val="en-CH"/>
        </w:rPr>
        <w:instrText>https://database.ich.org/sites/default/files/E6_R2_Addendum.pdf</w:instrText>
      </w:r>
      <w:r w:rsidRPr="00822AF5">
        <w:rPr>
          <w:rFonts w:ascii="Calibri" w:hAnsi="Calibri" w:cs="Calibri"/>
          <w:sz w:val="24"/>
          <w:szCs w:val="24"/>
        </w:rPr>
        <w:instrText xml:space="preserve">" </w:instrText>
      </w:r>
      <w:r w:rsidRPr="00822AF5">
        <w:rPr>
          <w:rFonts w:ascii="Calibri" w:hAnsi="Calibri" w:cs="Calibri"/>
          <w:sz w:val="24"/>
          <w:szCs w:val="24"/>
        </w:rPr>
        <w:fldChar w:fldCharType="separate"/>
      </w:r>
      <w:r w:rsidRPr="00822AF5">
        <w:rPr>
          <w:rStyle w:val="Hyperlink"/>
          <w:rFonts w:ascii="Calibri" w:hAnsi="Calibri" w:cs="Calibri"/>
          <w:sz w:val="24"/>
          <w:szCs w:val="24"/>
          <w:lang w:val="en-CH"/>
        </w:rPr>
        <w:t>https://database.ich.org/sites/default/files/E6_R2_Addendum.pdf</w:t>
      </w:r>
      <w:r w:rsidRPr="00822AF5">
        <w:rPr>
          <w:rFonts w:ascii="Calibri" w:hAnsi="Calibri" w:cs="Calibri"/>
          <w:sz w:val="24"/>
          <w:szCs w:val="24"/>
        </w:rPr>
        <w:fldChar w:fldCharType="end"/>
      </w:r>
      <w:r w:rsidRPr="00822AF5">
        <w:rPr>
          <w:rFonts w:ascii="Calibri" w:hAnsi="Calibri" w:cs="Calibri"/>
          <w:sz w:val="24"/>
          <w:szCs w:val="24"/>
          <w:lang w:val="en-CH"/>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{"citationID":"GjJJaM57","properties":{"formattedCitation":"[5]","plainCitation":"[5]","noteIndex":0},"citationItems":[{"id":875,"uris":["http://zotero.org/groups/4760334/items/A2ZFTZEG"],"itemData":{"id":875,"type":"paper-conference","title":"ICH: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[5]</w:t>
      </w:r>
      <w:r w:rsidRPr="00822AF5">
        <w:rPr>
          <w:rFonts w:ascii="Calibri" w:hAnsi="Calibri" w:cs="Calibri"/>
          <w:sz w:val="24"/>
          <w:szCs w:val="24"/>
        </w:rPr>
        <w:fldChar w:fldCharType="end"/>
      </w:r>
      <w:r w:rsidRPr="00822AF5">
        <w:rPr>
          <w:rFonts w:ascii="Calibri" w:hAnsi="Calibri" w:cs="Calibri"/>
          <w:sz w:val="24"/>
          <w:szCs w:val="24"/>
          <w:lang w:val="en-CH"/>
        </w:rPr>
        <w:t>.</w:t>
      </w:r>
    </w:p>
    <w:p w14:paraId="07E57364" w14:textId="77777777" w:rsidR="00223EDF" w:rsidRPr="00822AF5" w:rsidRDefault="00223EDF" w:rsidP="00223EDF">
      <w:pPr>
        <w:pStyle w:val="ListParagraph"/>
        <w:numPr>
          <w:ilvl w:val="0"/>
          <w:numId w:val="2"/>
        </w:numPr>
        <w:spacing w:before="120" w:after="120"/>
        <w:rPr>
          <w:rFonts w:ascii="Calibri" w:hAnsi="Calibri" w:cs="Calibri"/>
          <w:sz w:val="24"/>
          <w:szCs w:val="24"/>
        </w:rPr>
      </w:pPr>
      <w:r w:rsidRPr="00822AF5">
        <w:rPr>
          <w:rFonts w:ascii="Calibri" w:hAnsi="Calibri" w:cs="Calibri"/>
          <w:sz w:val="24"/>
          <w:szCs w:val="24"/>
        </w:rPr>
        <w:t xml:space="preserve">EMA Committee for medicinal products for human use (chmp): </w:t>
      </w:r>
      <w:r w:rsidRPr="00822AF5">
        <w:rPr>
          <w:rFonts w:ascii="Calibri" w:hAnsi="Calibri" w:cs="Calibri"/>
          <w:b/>
          <w:i/>
          <w:sz w:val="24"/>
          <w:szCs w:val="24"/>
        </w:rPr>
        <w:t>Guideline on the requirements to the chemical and pharmaceutical quality documentation concerning investigational medicinal products in clinical trials 2022</w:t>
      </w:r>
    </w:p>
    <w:p w14:paraId="088880FF" w14:textId="04A4D82C" w:rsidR="00223EDF" w:rsidRDefault="00223EDF" w:rsidP="00223EDF">
      <w:pPr>
        <w:pStyle w:val="ListParagraph"/>
        <w:numPr>
          <w:ilvl w:val="0"/>
          <w:numId w:val="2"/>
        </w:numPr>
        <w:spacing w:before="120" w:after="120"/>
        <w:rPr>
          <w:rFonts w:ascii="Calibri" w:hAnsi="Calibri" w:cs="Calibri"/>
          <w:sz w:val="24"/>
          <w:szCs w:val="24"/>
        </w:rPr>
      </w:pPr>
      <w:r w:rsidRPr="00822AF5">
        <w:rPr>
          <w:rFonts w:ascii="Calibri" w:hAnsi="Calibri" w:cs="Calibri"/>
          <w:sz w:val="24"/>
          <w:szCs w:val="24"/>
        </w:rPr>
        <w:t>(</w:t>
      </w:r>
      <w:hyperlink r:id="rId22" w:history="1">
        <w:r w:rsidRPr="00822AF5">
          <w:rPr>
            <w:rStyle w:val="Hyperlink"/>
            <w:rFonts w:ascii="Calibri" w:hAnsi="Calibri" w:cs="Calibri"/>
            <w:sz w:val="24"/>
            <w:szCs w:val="24"/>
            <w:lang w:val="en-CH"/>
          </w:rPr>
          <w:t>https://www.ema.europa.eu/en/requirements-chemical-pharmaceutical-quality-documentation-concerning-investigational-medicinal</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{"citationID":"4UUHhyRy","properties":{"formattedCitation":"[6]","plainCitation":"[6]","noteIndex":0},"citationItems":[{"id":876,"uris":["http://zotero.org/groups/4760334/items/2E3J3JTJ"],"itemData":{"id":876,"type":"document","title":"EMA: Guideline on the requirements to the chemical and pharmaceutical quality documentation concerning investigational medicinal products in clinical trials","URL":"https://www.ema.europa.eu/en/documents/scientific-guideline/guideline-requirements-chemical-pharmaceutical-quality-documentation-concerning-investigational_en-1.pdf"}}],"schema":"https://github.com/citation-style-language/schema/raw/master/csl-citation.json"}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[6]</w:t>
      </w:r>
      <w:r w:rsidRPr="00822AF5">
        <w:rPr>
          <w:rFonts w:ascii="Calibri" w:hAnsi="Calibri" w:cs="Calibri"/>
          <w:sz w:val="24"/>
          <w:szCs w:val="24"/>
        </w:rPr>
        <w:fldChar w:fldCharType="end"/>
      </w:r>
      <w:r w:rsidRPr="00822AF5">
        <w:rPr>
          <w:rFonts w:ascii="Calibri" w:hAnsi="Calibri" w:cs="Calibri"/>
          <w:sz w:val="24"/>
          <w:szCs w:val="24"/>
        </w:rPr>
        <w:t>.</w:t>
      </w:r>
    </w:p>
    <w:p w14:paraId="18BE7D36" w14:textId="571C18EF" w:rsidR="009B237F" w:rsidRDefault="009B237F" w:rsidP="001E456A">
      <w:pPr>
        <w:spacing w:before="120" w:line="360" w:lineRule="auto"/>
        <w:ind w:left="360"/>
        <w:rPr>
          <w:rFonts w:ascii="Calibri" w:hAnsi="Calibri" w:cs="Calibri"/>
        </w:rPr>
      </w:pPr>
    </w:p>
    <w:p w14:paraId="6BF56835" w14:textId="7EAB6103" w:rsidR="00820322" w:rsidRDefault="00D51D74" w:rsidP="001E456A">
      <w:pPr>
        <w:spacing w:before="120" w:line="360" w:lineRule="auto"/>
        <w:ind w:left="360"/>
        <w:rPr>
          <w:rFonts w:ascii="Calibri" w:hAnsi="Calibri" w:cs="Calibri"/>
        </w:rPr>
      </w:pPr>
      <w:r>
        <w:rPr>
          <w:rFonts w:ascii="Calibri" w:hAnsi="Calibri" w:cs="Calibri"/>
          <w:noProof/>
        </w:rPr>
        <w:lastRenderedPageBreak/>
        <w:drawing>
          <wp:inline distT="0" distB="0" distL="0" distR="0" wp14:anchorId="0FB59BD7" wp14:editId="7DF5028B">
            <wp:extent cx="5091887" cy="2736621"/>
            <wp:effectExtent l="0" t="0" r="127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41358" cy="2763209"/>
                    </a:xfrm>
                    <a:prstGeom prst="rect">
                      <a:avLst/>
                    </a:prstGeom>
                  </pic:spPr>
                </pic:pic>
              </a:graphicData>
            </a:graphic>
          </wp:inline>
        </w:drawing>
      </w:r>
    </w:p>
    <w:p w14:paraId="07B328FE" w14:textId="4FBD9347" w:rsidR="00660E67" w:rsidRDefault="00660E67" w:rsidP="00820322">
      <w:pPr>
        <w:pStyle w:val="Heading3"/>
        <w:rPr>
          <w:lang w:val="en-US"/>
        </w:rPr>
      </w:pPr>
      <w:bookmarkStart w:id="3" w:name="_Toc115280136"/>
    </w:p>
    <w:p w14:paraId="4B97621F" w14:textId="6B75592A" w:rsidR="000D2D86" w:rsidRPr="000D2D86" w:rsidRDefault="000D2D86" w:rsidP="000D2D86">
      <w:pPr>
        <w:rPr>
          <w:lang w:val="en-US"/>
        </w:rPr>
      </w:pPr>
      <w:r w:rsidRPr="000D2D86">
        <w:rPr>
          <w:lang w:val="en-US"/>
        </w:rPr>
        <w:t xml:space="preserve">Chemical Name: Immunoglobulin G1 (human-mouse monoclonal </w:t>
      </w:r>
      <w:proofErr w:type="spellStart"/>
      <w:r w:rsidRPr="000D2D86">
        <w:rPr>
          <w:lang w:val="en-US"/>
        </w:rPr>
        <w:t>rhuMAb</w:t>
      </w:r>
      <w:proofErr w:type="spellEnd"/>
      <w:r w:rsidRPr="000D2D86">
        <w:rPr>
          <w:lang w:val="en-US"/>
        </w:rPr>
        <w:t xml:space="preserve"> HER2γ1- chain anti-human P185c-erB2 receptor) </w:t>
      </w:r>
      <w:proofErr w:type="spellStart"/>
      <w:r w:rsidRPr="000D2D86">
        <w:rPr>
          <w:lang w:val="en-US"/>
        </w:rPr>
        <w:t>disulphided</w:t>
      </w:r>
      <w:proofErr w:type="spellEnd"/>
      <w:r w:rsidRPr="000D2D86">
        <w:rPr>
          <w:lang w:val="en-US"/>
        </w:rPr>
        <w:t xml:space="preserve"> with human-mouse monoclonal </w:t>
      </w:r>
      <w:proofErr w:type="spellStart"/>
      <w:r w:rsidRPr="000D2D86">
        <w:rPr>
          <w:lang w:val="en-US"/>
        </w:rPr>
        <w:t>rhuMAb</w:t>
      </w:r>
      <w:proofErr w:type="spellEnd"/>
      <w:r w:rsidRPr="000D2D86">
        <w:rPr>
          <w:lang w:val="en-US"/>
        </w:rPr>
        <w:t xml:space="preserve"> HER2 light chain, dimer</w:t>
      </w:r>
      <w:r>
        <w:rPr>
          <w:lang w:val="en-US"/>
        </w:rPr>
        <w:t>.</w:t>
      </w:r>
    </w:p>
    <w:p w14:paraId="099C0DF1" w14:textId="0FEA8484" w:rsidR="000D2D86" w:rsidRPr="000D2D86" w:rsidRDefault="000D2D86" w:rsidP="000D2D86">
      <w:pPr>
        <w:rPr>
          <w:lang w:val="en-US"/>
        </w:rPr>
      </w:pPr>
      <w:r w:rsidRPr="000D2D86">
        <w:rPr>
          <w:lang w:val="en-US"/>
        </w:rPr>
        <w:t xml:space="preserve">Molecular Formula/Molecular Weight: C6460H9972N1724O2014S44 / 148 </w:t>
      </w:r>
      <w:proofErr w:type="spellStart"/>
      <w:r w:rsidRPr="000D2D86">
        <w:rPr>
          <w:lang w:val="en-US"/>
        </w:rPr>
        <w:t>kDa</w:t>
      </w:r>
      <w:proofErr w:type="spellEnd"/>
      <w:r w:rsidRPr="000D2D86">
        <w:rPr>
          <w:lang w:val="en-US"/>
        </w:rPr>
        <w:t xml:space="preserve"> (without the N- glycan moiety)</w:t>
      </w:r>
      <w:r>
        <w:rPr>
          <w:lang w:val="en-US"/>
        </w:rPr>
        <w:t>.</w:t>
      </w:r>
    </w:p>
    <w:p w14:paraId="42CF7F63" w14:textId="77777777" w:rsidR="000D2D86" w:rsidRPr="000D2D86" w:rsidRDefault="000D2D86" w:rsidP="000D2D86">
      <w:pPr>
        <w:rPr>
          <w:lang w:val="en-US"/>
        </w:rPr>
      </w:pPr>
      <w:r w:rsidRPr="000D2D86">
        <w:rPr>
          <w:lang w:val="en-US"/>
        </w:rPr>
        <w:t>Structure or Biochemical Description:</w:t>
      </w:r>
    </w:p>
    <w:p w14:paraId="404016EF" w14:textId="0DCF2BCA" w:rsidR="000D2D86" w:rsidRDefault="000D2D86" w:rsidP="000D2D86">
      <w:pPr>
        <w:rPr>
          <w:lang w:val="en-US"/>
        </w:rPr>
      </w:pPr>
      <w:r w:rsidRPr="000D2D86">
        <w:rPr>
          <w:lang w:val="en-US"/>
        </w:rPr>
        <w:t xml:space="preserve">SB3 (trastuzumab) contains human framework regions with the complementarity- determining regions of a murine antibody (4D5) that binds to HER2. SB3 consists of 1,328 amino acids. The amino acid sequences for the heavy and light chains of SB3 are </w:t>
      </w:r>
      <w:r>
        <w:rPr>
          <w:lang w:val="en-US"/>
        </w:rPr>
        <w:t xml:space="preserve">listed in the following </w:t>
      </w:r>
      <w:proofErr w:type="spellStart"/>
      <w:r>
        <w:rPr>
          <w:lang w:val="en-US"/>
        </w:rPr>
        <w:t>fasta</w:t>
      </w:r>
      <w:proofErr w:type="spellEnd"/>
      <w:r>
        <w:rPr>
          <w:lang w:val="en-US"/>
        </w:rPr>
        <w:t xml:space="preserve"> format:</w:t>
      </w:r>
    </w:p>
    <w:p w14:paraId="3A5AC096" w14:textId="77777777" w:rsidR="000D2D86" w:rsidRDefault="000D2D86" w:rsidP="000D2D86">
      <w:pPr>
        <w:rPr>
          <w:lang w:val="en-US"/>
        </w:rPr>
      </w:pPr>
    </w:p>
    <w:p w14:paraId="30569490"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&gt;</w:t>
      </w:r>
      <w:proofErr w:type="spellStart"/>
      <w:r w:rsidRPr="000D2D86">
        <w:rPr>
          <w:rFonts w:ascii="Courier New" w:hAnsi="Courier New" w:cs="Courier New"/>
          <w:sz w:val="21"/>
          <w:szCs w:val="21"/>
          <w:lang w:val="en-US"/>
        </w:rPr>
        <w:t>Hertumig_Heavy_Chain</w:t>
      </w:r>
      <w:proofErr w:type="spellEnd"/>
    </w:p>
    <w:p w14:paraId="048E189B"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EVQLVESGGG LVQPGGSLRL SCAASGFNIK DTYIHWVRQA PGKGLEWVAR IYPTNGYTRY</w:t>
      </w:r>
    </w:p>
    <w:p w14:paraId="5A529FF0"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ADSVKGRFTI SADTSKNTAY LQMNSLRAED TAVYYCSRWG GDGFYAMDYW GQGTLVTVSS</w:t>
      </w:r>
    </w:p>
    <w:p w14:paraId="2ECEABC8"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ASTKGPSVFP LAPSSKSTSG GTAALGCLVK DYFPEPVTVS WNSGALTSGV HTFPAVLQSS</w:t>
      </w:r>
    </w:p>
    <w:p w14:paraId="49A0D938"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GLYSLSSVVT VPSSSLGTQT YICNVNHKPS NTKVDKKVEP KSCDKTHTCP PCPAPELLGG</w:t>
      </w:r>
    </w:p>
    <w:p w14:paraId="3ABA10B6"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PSVFLFPPKP KDTLMISRTP EVTCVVVDVS HEDPEVKFNW YVDGVEVHNA KTKPREEQYN</w:t>
      </w:r>
    </w:p>
    <w:p w14:paraId="0F1FE804"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STYRVVSVLT VLHQDWLNGK EYKCKVSNKA LPAPIEKTIS KAKGQPREPQ VYTLPPSREE</w:t>
      </w:r>
    </w:p>
    <w:p w14:paraId="5614A962"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MTKNQVSLTC LVKGFYPSDI AVEWESNGQP ENNYKTTPPV LDSDGSFFLY SKLTVDKSRW</w:t>
      </w:r>
    </w:p>
    <w:p w14:paraId="71B2FCD3"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QQGNVFSCSV MHEALHNHYT QKSLSLSPG</w:t>
      </w:r>
    </w:p>
    <w:p w14:paraId="7A9A1DE4" w14:textId="77777777" w:rsidR="000D2D86" w:rsidRPr="000D2D86" w:rsidRDefault="000D2D86" w:rsidP="000D2D86">
      <w:pPr>
        <w:rPr>
          <w:rFonts w:ascii="Courier New" w:hAnsi="Courier New" w:cs="Courier New"/>
          <w:sz w:val="21"/>
          <w:szCs w:val="21"/>
          <w:lang w:val="en-US"/>
        </w:rPr>
      </w:pPr>
    </w:p>
    <w:p w14:paraId="05799BC2"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&gt;</w:t>
      </w:r>
      <w:proofErr w:type="spellStart"/>
      <w:r w:rsidRPr="000D2D86">
        <w:rPr>
          <w:rFonts w:ascii="Courier New" w:hAnsi="Courier New" w:cs="Courier New"/>
          <w:sz w:val="21"/>
          <w:szCs w:val="21"/>
          <w:lang w:val="en-US"/>
        </w:rPr>
        <w:t>Hertumig_Light_Chain</w:t>
      </w:r>
      <w:proofErr w:type="spellEnd"/>
      <w:r w:rsidRPr="000D2D86">
        <w:rPr>
          <w:rFonts w:ascii="Courier New" w:hAnsi="Courier New" w:cs="Courier New"/>
          <w:sz w:val="21"/>
          <w:szCs w:val="21"/>
          <w:lang w:val="en-US"/>
        </w:rPr>
        <w:t>:</w:t>
      </w:r>
    </w:p>
    <w:p w14:paraId="2559128E"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DIQMTQSPSS LSASVGDRVT ITCRASQDVN TAVAWYQQKP GKAPKLLIYS ASFLYSGVPS</w:t>
      </w:r>
    </w:p>
    <w:p w14:paraId="6529AA73"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RFSGSRSGTD FTLTISSLQP EDFATYYCQQ HYTTPPTFGQ GTKVEIKRTV AAPSVFIFPP</w:t>
      </w:r>
    </w:p>
    <w:p w14:paraId="0A7CE7F4" w14:textId="77777777" w:rsidR="000D2D86" w:rsidRPr="000D2D86" w:rsidRDefault="000D2D86" w:rsidP="000D2D86">
      <w:pPr>
        <w:rPr>
          <w:rFonts w:ascii="Courier New" w:hAnsi="Courier New" w:cs="Courier New"/>
          <w:sz w:val="21"/>
          <w:szCs w:val="21"/>
          <w:lang w:val="en-US"/>
        </w:rPr>
      </w:pPr>
      <w:r w:rsidRPr="000D2D86">
        <w:rPr>
          <w:rFonts w:ascii="Courier New" w:hAnsi="Courier New" w:cs="Courier New"/>
          <w:sz w:val="21"/>
          <w:szCs w:val="21"/>
          <w:lang w:val="en-US"/>
        </w:rPr>
        <w:t>SDEQLKSGTA SVVCLLNNFY PREAKVQWKV DNALQSGNSQ ESVTEQDSKD STYSLSSTLT</w:t>
      </w:r>
    </w:p>
    <w:p w14:paraId="51910B1A" w14:textId="74DB3DE0" w:rsidR="000D2D86" w:rsidRDefault="000D2D86" w:rsidP="000D2D86">
      <w:pPr>
        <w:rPr>
          <w:lang w:val="en-US"/>
        </w:rPr>
      </w:pPr>
      <w:r w:rsidRPr="000D2D86">
        <w:rPr>
          <w:rFonts w:ascii="Courier New" w:hAnsi="Courier New" w:cs="Courier New"/>
          <w:sz w:val="21"/>
          <w:szCs w:val="21"/>
          <w:lang w:val="en-US"/>
        </w:rPr>
        <w:t>LSKADYEKHK VYACEVTHQG LSSPVTKSFN RGEC</w:t>
      </w:r>
    </w:p>
    <w:p w14:paraId="2ED6C2DC" w14:textId="4D263FFE" w:rsidR="000D2D86" w:rsidRDefault="000D2D86" w:rsidP="00660E67">
      <w:pPr>
        <w:rPr>
          <w:lang w:val="en-US"/>
        </w:rPr>
      </w:pPr>
    </w:p>
    <w:p w14:paraId="4F71CC83" w14:textId="5BBFA43E" w:rsidR="004F6057" w:rsidRDefault="004F6057" w:rsidP="00660E67">
      <w:pPr>
        <w:rPr>
          <w:lang w:val="en-US"/>
        </w:rPr>
      </w:pPr>
    </w:p>
    <w:p w14:paraId="620CB284" w14:textId="3C711E15" w:rsidR="004F6057" w:rsidRDefault="004F6057" w:rsidP="00660E67">
      <w:pPr>
        <w:rPr>
          <w:lang w:val="en-US"/>
        </w:rPr>
      </w:pPr>
      <w:r>
        <w:rPr>
          <w:lang w:val="en-US"/>
        </w:rPr>
        <w:t>Production</w:t>
      </w:r>
    </w:p>
    <w:p w14:paraId="5A9BEBC3" w14:textId="07B8303B" w:rsidR="000430AA" w:rsidRDefault="000430AA" w:rsidP="00660E67">
      <w:pPr>
        <w:rPr>
          <w:lang w:val="en-US"/>
        </w:rPr>
      </w:pPr>
      <w:r>
        <w:rPr>
          <w:lang w:val="en-US"/>
        </w:rPr>
        <w:t xml:space="preserve">Alternative method: </w:t>
      </w:r>
      <w:hyperlink r:id="rId24" w:history="1">
        <w:r w:rsidRPr="008A4805">
          <w:rPr>
            <w:rStyle w:val="Hyperlink"/>
            <w:lang w:val="en-US"/>
          </w:rPr>
          <w:t>https://www.nature.com/articles/s41598-020-59818-2#Sec11</w:t>
        </w:r>
      </w:hyperlink>
    </w:p>
    <w:p w14:paraId="14D0E5A7" w14:textId="62125829" w:rsidR="004F6057" w:rsidRDefault="004F6057" w:rsidP="00660E67">
      <w:pPr>
        <w:rPr>
          <w:lang w:val="en-US"/>
        </w:rPr>
      </w:pPr>
      <w:proofErr w:type="spellStart"/>
      <w:r>
        <w:rPr>
          <w:lang w:val="en-US"/>
        </w:rPr>
        <w:t>Hertumig</w:t>
      </w:r>
      <w:proofErr w:type="spellEnd"/>
      <w:r>
        <w:rPr>
          <w:lang w:val="en-US"/>
        </w:rPr>
        <w:t xml:space="preserve"> was </w:t>
      </w:r>
      <w:r w:rsidR="000430AA">
        <w:rPr>
          <w:lang w:val="en-US"/>
        </w:rPr>
        <w:t xml:space="preserve">generated by immunization of </w:t>
      </w:r>
      <w:proofErr w:type="spellStart"/>
      <w:r w:rsidR="000430AA">
        <w:rPr>
          <w:lang w:val="en-US"/>
        </w:rPr>
        <w:t>Balb</w:t>
      </w:r>
      <w:proofErr w:type="spellEnd"/>
      <w:r w:rsidR="000430AA">
        <w:rPr>
          <w:lang w:val="en-US"/>
        </w:rPr>
        <w:t xml:space="preserve">/c mice </w:t>
      </w:r>
    </w:p>
    <w:p w14:paraId="12A87CC2"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i/>
          <w:iCs/>
          <w:color w:val="0070C0"/>
          <w:sz w:val="20"/>
          <w:szCs w:val="20"/>
          <w:lang w:val="en-US"/>
        </w:rPr>
      </w:pPr>
      <w:r w:rsidRPr="004F6057">
        <w:rPr>
          <w:rFonts w:eastAsia="Calibri"/>
          <w:i/>
          <w:iCs/>
          <w:color w:val="0070C0"/>
          <w:sz w:val="20"/>
          <w:szCs w:val="20"/>
          <w:lang w:val="en-US"/>
        </w:rPr>
        <w:t>Production and control of active substance.</w:t>
      </w:r>
    </w:p>
    <w:p w14:paraId="64C6EB47" w14:textId="5D70955D"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proofErr w:type="spellStart"/>
      <w:r w:rsidRPr="004F6057">
        <w:rPr>
          <w:rFonts w:eastAsia="Calibri"/>
          <w:color w:val="0070C0"/>
          <w:sz w:val="20"/>
          <w:szCs w:val="20"/>
          <w:lang w:val="en-US"/>
        </w:rPr>
        <w:t>Hertumig</w:t>
      </w:r>
      <w:proofErr w:type="spellEnd"/>
      <w:r w:rsidRPr="004F6057">
        <w:rPr>
          <w:rFonts w:eastAsia="Calibri"/>
          <w:color w:val="0070C0"/>
          <w:sz w:val="20"/>
          <w:szCs w:val="20"/>
          <w:lang w:val="en-US"/>
        </w:rPr>
        <w:t xml:space="preserve"> </w:t>
      </w:r>
      <w:r w:rsidRPr="004F6057">
        <w:rPr>
          <w:rFonts w:eastAsia="Calibri"/>
          <w:color w:val="0070C0"/>
          <w:sz w:val="20"/>
          <w:szCs w:val="20"/>
          <w:lang w:val="en-US"/>
        </w:rPr>
        <w:t xml:space="preserve">was generated by the </w:t>
      </w:r>
      <w:proofErr w:type="spellStart"/>
      <w:r w:rsidRPr="004F6057">
        <w:rPr>
          <w:rFonts w:eastAsia="Calibri"/>
          <w:color w:val="0070C0"/>
          <w:sz w:val="20"/>
          <w:szCs w:val="20"/>
          <w:lang w:val="en-US"/>
        </w:rPr>
        <w:t>immunisation</w:t>
      </w:r>
      <w:proofErr w:type="spellEnd"/>
      <w:r w:rsidRPr="004F6057">
        <w:rPr>
          <w:rFonts w:eastAsia="Calibri"/>
          <w:color w:val="0070C0"/>
          <w:sz w:val="20"/>
          <w:szCs w:val="20"/>
          <w:lang w:val="en-US"/>
        </w:rPr>
        <w:t xml:space="preserve"> of </w:t>
      </w:r>
      <w:proofErr w:type="spellStart"/>
      <w:r w:rsidRPr="004F6057">
        <w:rPr>
          <w:rFonts w:eastAsia="Calibri"/>
          <w:color w:val="0070C0"/>
          <w:sz w:val="20"/>
          <w:szCs w:val="20"/>
          <w:lang w:val="en-US"/>
        </w:rPr>
        <w:t>Balb</w:t>
      </w:r>
      <w:proofErr w:type="spellEnd"/>
      <w:r w:rsidRPr="004F6057">
        <w:rPr>
          <w:rFonts w:eastAsia="Calibri"/>
          <w:color w:val="0070C0"/>
          <w:sz w:val="20"/>
          <w:szCs w:val="20"/>
          <w:lang w:val="en-US"/>
        </w:rPr>
        <w:t>/c mice with cells expressing HER-2 on their surface and partially purified membranes containing p</w:t>
      </w:r>
      <w:r w:rsidRPr="004F6057">
        <w:rPr>
          <w:rFonts w:eastAsia="Calibri"/>
          <w:color w:val="0070C0"/>
          <w:position w:val="10"/>
          <w:sz w:val="14"/>
          <w:szCs w:val="14"/>
          <w:lang w:val="en-US"/>
        </w:rPr>
        <w:t xml:space="preserve">185 </w:t>
      </w:r>
      <w:r w:rsidRPr="004F6057">
        <w:rPr>
          <w:rFonts w:eastAsia="Calibri"/>
          <w:color w:val="0070C0"/>
          <w:sz w:val="20"/>
          <w:szCs w:val="20"/>
          <w:lang w:val="en-US"/>
        </w:rPr>
        <w:t>HER-2 according to standard hybridoma techniques.</w:t>
      </w:r>
    </w:p>
    <w:p w14:paraId="3E3CE39A"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lastRenderedPageBreak/>
        <w:t xml:space="preserve">Hybridomas were either screened by an ELISA </w:t>
      </w:r>
      <w:proofErr w:type="spellStart"/>
      <w:r w:rsidRPr="004F6057">
        <w:rPr>
          <w:rFonts w:eastAsia="Calibri"/>
          <w:color w:val="0070C0"/>
          <w:sz w:val="20"/>
          <w:szCs w:val="20"/>
          <w:lang w:val="en-US"/>
        </w:rPr>
        <w:t>utilising</w:t>
      </w:r>
      <w:proofErr w:type="spellEnd"/>
      <w:r w:rsidRPr="004F6057">
        <w:rPr>
          <w:rFonts w:eastAsia="Calibri"/>
          <w:color w:val="0070C0"/>
          <w:sz w:val="20"/>
          <w:szCs w:val="20"/>
          <w:lang w:val="en-US"/>
        </w:rPr>
        <w:t xml:space="preserve"> </w:t>
      </w:r>
      <w:proofErr w:type="spellStart"/>
      <w:r w:rsidRPr="004F6057">
        <w:rPr>
          <w:rFonts w:eastAsia="Calibri"/>
          <w:color w:val="0070C0"/>
          <w:sz w:val="20"/>
          <w:szCs w:val="20"/>
          <w:lang w:val="en-US"/>
        </w:rPr>
        <w:t>immobilised</w:t>
      </w:r>
      <w:proofErr w:type="spellEnd"/>
      <w:r w:rsidRPr="004F6057">
        <w:rPr>
          <w:rFonts w:eastAsia="Calibri"/>
          <w:color w:val="0070C0"/>
          <w:sz w:val="20"/>
          <w:szCs w:val="20"/>
          <w:lang w:val="en-US"/>
        </w:rPr>
        <w:t xml:space="preserve"> p</w:t>
      </w:r>
      <w:r w:rsidRPr="004F6057">
        <w:rPr>
          <w:rFonts w:eastAsia="Calibri"/>
          <w:color w:val="0070C0"/>
          <w:position w:val="10"/>
          <w:sz w:val="14"/>
          <w:szCs w:val="14"/>
          <w:lang w:val="en-US"/>
        </w:rPr>
        <w:t>185</w:t>
      </w:r>
      <w:r w:rsidRPr="004F6057">
        <w:rPr>
          <w:rFonts w:eastAsia="Calibri"/>
          <w:color w:val="0070C0"/>
          <w:sz w:val="20"/>
          <w:szCs w:val="20"/>
          <w:lang w:val="en-US"/>
        </w:rPr>
        <w:t xml:space="preserve">-HER-2 protein, an assay detecting HER-2 mediated growth inhibition of SK-BR-3 cells or a nude mice breast cancer </w:t>
      </w:r>
      <w:proofErr w:type="spellStart"/>
      <w:r w:rsidRPr="004F6057">
        <w:rPr>
          <w:rFonts w:eastAsia="Calibri"/>
          <w:color w:val="0070C0"/>
          <w:sz w:val="20"/>
          <w:szCs w:val="20"/>
          <w:lang w:val="en-US"/>
        </w:rPr>
        <w:t>xenograph</w:t>
      </w:r>
      <w:proofErr w:type="spellEnd"/>
      <w:r w:rsidRPr="004F6057">
        <w:rPr>
          <w:rFonts w:eastAsia="Calibri"/>
          <w:color w:val="0070C0"/>
          <w:sz w:val="20"/>
          <w:szCs w:val="20"/>
          <w:lang w:val="en-US"/>
        </w:rPr>
        <w:t xml:space="preserve"> model, resulting in </w:t>
      </w:r>
      <w:proofErr w:type="spellStart"/>
      <w:r w:rsidRPr="004F6057">
        <w:rPr>
          <w:rFonts w:eastAsia="Calibri"/>
          <w:color w:val="0070C0"/>
          <w:sz w:val="20"/>
          <w:szCs w:val="20"/>
          <w:lang w:val="en-US"/>
        </w:rPr>
        <w:t>muMAb</w:t>
      </w:r>
      <w:proofErr w:type="spellEnd"/>
      <w:r w:rsidRPr="004F6057">
        <w:rPr>
          <w:rFonts w:eastAsia="Calibri"/>
          <w:color w:val="0070C0"/>
          <w:sz w:val="20"/>
          <w:szCs w:val="20"/>
          <w:lang w:val="en-US"/>
        </w:rPr>
        <w:t xml:space="preserve"> 4D5.</w:t>
      </w:r>
    </w:p>
    <w:p w14:paraId="40F4587F"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 xml:space="preserve">The </w:t>
      </w:r>
      <w:proofErr w:type="spellStart"/>
      <w:r w:rsidRPr="004F6057">
        <w:rPr>
          <w:rFonts w:eastAsia="Calibri"/>
          <w:color w:val="0070C0"/>
          <w:sz w:val="20"/>
          <w:szCs w:val="20"/>
          <w:lang w:val="en-US"/>
        </w:rPr>
        <w:t>humanisation</w:t>
      </w:r>
      <w:proofErr w:type="spellEnd"/>
      <w:r w:rsidRPr="004F6057">
        <w:rPr>
          <w:rFonts w:eastAsia="Calibri"/>
          <w:color w:val="0070C0"/>
          <w:sz w:val="20"/>
          <w:szCs w:val="20"/>
          <w:lang w:val="en-US"/>
        </w:rPr>
        <w:t xml:space="preserve"> of muMAb4D5 was performed according to standard procedures after the determination of the primary sequence of the V</w:t>
      </w:r>
      <w:r w:rsidRPr="004F6057">
        <w:rPr>
          <w:rFonts w:eastAsia="Calibri"/>
          <w:color w:val="0070C0"/>
          <w:position w:val="-2"/>
          <w:sz w:val="14"/>
          <w:szCs w:val="14"/>
          <w:lang w:val="en-US"/>
        </w:rPr>
        <w:t xml:space="preserve">H+L </w:t>
      </w:r>
      <w:r w:rsidRPr="004F6057">
        <w:rPr>
          <w:rFonts w:eastAsia="Calibri"/>
          <w:color w:val="0070C0"/>
          <w:sz w:val="20"/>
          <w:szCs w:val="20"/>
          <w:lang w:val="en-US"/>
        </w:rPr>
        <w:t xml:space="preserve">chain regions of </w:t>
      </w:r>
      <w:proofErr w:type="spellStart"/>
      <w:r w:rsidRPr="004F6057">
        <w:rPr>
          <w:rFonts w:eastAsia="Calibri"/>
          <w:color w:val="0070C0"/>
          <w:sz w:val="20"/>
          <w:szCs w:val="20"/>
          <w:lang w:val="en-US"/>
        </w:rPr>
        <w:t>muMAb</w:t>
      </w:r>
      <w:proofErr w:type="spellEnd"/>
      <w:r w:rsidRPr="004F6057">
        <w:rPr>
          <w:rFonts w:eastAsia="Calibri"/>
          <w:color w:val="0070C0"/>
          <w:sz w:val="20"/>
          <w:szCs w:val="20"/>
          <w:lang w:val="en-US"/>
        </w:rPr>
        <w:t xml:space="preserve"> 4D5.The resulting constructs were designed to express the human Fc </w:t>
      </w:r>
      <w:r w:rsidRPr="004F6057">
        <w:rPr>
          <w:rFonts w:ascii="Symbol" w:eastAsia="Calibri" w:hAnsi="Symbol" w:cs="Symbol"/>
          <w:color w:val="0070C0"/>
          <w:sz w:val="20"/>
          <w:szCs w:val="20"/>
          <w:lang w:val="en-US"/>
        </w:rPr>
        <w:t>γ</w:t>
      </w:r>
      <w:r w:rsidRPr="004F6057">
        <w:rPr>
          <w:rFonts w:eastAsia="Calibri"/>
          <w:color w:val="0070C0"/>
          <w:sz w:val="20"/>
          <w:szCs w:val="20"/>
          <w:lang w:val="en-US"/>
        </w:rPr>
        <w:t xml:space="preserve">1 isotype to maximally support CDC and ADCC. The resulting antibody of the </w:t>
      </w:r>
      <w:proofErr w:type="spellStart"/>
      <w:r w:rsidRPr="004F6057">
        <w:rPr>
          <w:rFonts w:eastAsia="Calibri"/>
          <w:color w:val="0070C0"/>
          <w:sz w:val="20"/>
          <w:szCs w:val="20"/>
          <w:lang w:val="en-US"/>
        </w:rPr>
        <w:t>humanisation</w:t>
      </w:r>
      <w:proofErr w:type="spellEnd"/>
      <w:r w:rsidRPr="004F6057">
        <w:rPr>
          <w:rFonts w:eastAsia="Calibri"/>
          <w:color w:val="0070C0"/>
          <w:sz w:val="20"/>
          <w:szCs w:val="20"/>
          <w:lang w:val="en-US"/>
        </w:rPr>
        <w:t xml:space="preserve"> </w:t>
      </w:r>
      <w:proofErr w:type="spellStart"/>
      <w:r w:rsidRPr="004F6057">
        <w:rPr>
          <w:rFonts w:eastAsia="Calibri"/>
          <w:color w:val="0070C0"/>
          <w:sz w:val="20"/>
          <w:szCs w:val="20"/>
          <w:lang w:val="en-US"/>
        </w:rPr>
        <w:t>huMAb</w:t>
      </w:r>
      <w:proofErr w:type="spellEnd"/>
      <w:r w:rsidRPr="004F6057">
        <w:rPr>
          <w:rFonts w:eastAsia="Calibri"/>
          <w:color w:val="0070C0"/>
          <w:sz w:val="20"/>
          <w:szCs w:val="20"/>
          <w:lang w:val="en-US"/>
        </w:rPr>
        <w:t xml:space="preserve"> 4D5-8, which expressed maximal amount of the </w:t>
      </w:r>
      <w:proofErr w:type="spellStart"/>
      <w:r w:rsidRPr="004F6057">
        <w:rPr>
          <w:rFonts w:eastAsia="Calibri"/>
          <w:color w:val="0070C0"/>
          <w:sz w:val="20"/>
          <w:szCs w:val="20"/>
          <w:lang w:val="en-US"/>
        </w:rPr>
        <w:t>humanised</w:t>
      </w:r>
      <w:proofErr w:type="spellEnd"/>
      <w:r w:rsidRPr="004F6057">
        <w:rPr>
          <w:rFonts w:eastAsia="Calibri"/>
          <w:color w:val="0070C0"/>
          <w:sz w:val="20"/>
          <w:szCs w:val="20"/>
          <w:lang w:val="en-US"/>
        </w:rPr>
        <w:t xml:space="preserve"> antibody, is reported to bind to ECD of HER-2 about 3-fold more tightly than </w:t>
      </w:r>
      <w:proofErr w:type="spellStart"/>
      <w:r w:rsidRPr="004F6057">
        <w:rPr>
          <w:rFonts w:eastAsia="Calibri"/>
          <w:color w:val="0070C0"/>
          <w:sz w:val="20"/>
          <w:szCs w:val="20"/>
          <w:lang w:val="en-US"/>
        </w:rPr>
        <w:t>muMAb</w:t>
      </w:r>
      <w:proofErr w:type="spellEnd"/>
      <w:r w:rsidRPr="004F6057">
        <w:rPr>
          <w:rFonts w:eastAsia="Calibri"/>
          <w:color w:val="0070C0"/>
          <w:sz w:val="20"/>
          <w:szCs w:val="20"/>
          <w:lang w:val="en-US"/>
        </w:rPr>
        <w:t xml:space="preserve"> 4D5.</w:t>
      </w:r>
    </w:p>
    <w:p w14:paraId="78F3D9E6"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 xml:space="preserve">The active substance trastuzumab is produced in recombinant Chinese Hamster Ovary cells using a serum free medium. The MCB, WCB and End of Production Cells were </w:t>
      </w:r>
      <w:proofErr w:type="spellStart"/>
      <w:r w:rsidRPr="004F6057">
        <w:rPr>
          <w:rFonts w:eastAsia="Calibri"/>
          <w:color w:val="0070C0"/>
          <w:sz w:val="20"/>
          <w:szCs w:val="20"/>
          <w:lang w:val="en-US"/>
        </w:rPr>
        <w:t>characterised</w:t>
      </w:r>
      <w:proofErr w:type="spellEnd"/>
      <w:r w:rsidRPr="004F6057">
        <w:rPr>
          <w:rFonts w:eastAsia="Calibri"/>
          <w:color w:val="0070C0"/>
          <w:sz w:val="20"/>
          <w:szCs w:val="20"/>
          <w:lang w:val="en-US"/>
        </w:rPr>
        <w:t xml:space="preserve"> sufficiently. MCB </w:t>
      </w:r>
      <w:proofErr w:type="spellStart"/>
      <w:r w:rsidRPr="004F6057">
        <w:rPr>
          <w:rFonts w:eastAsia="Calibri"/>
          <w:color w:val="0070C0"/>
          <w:sz w:val="20"/>
          <w:szCs w:val="20"/>
          <w:lang w:val="en-US"/>
        </w:rPr>
        <w:t>andWCB</w:t>
      </w:r>
      <w:proofErr w:type="spellEnd"/>
      <w:r w:rsidRPr="004F6057">
        <w:rPr>
          <w:rFonts w:eastAsia="Calibri"/>
          <w:color w:val="0070C0"/>
          <w:sz w:val="20"/>
          <w:szCs w:val="20"/>
          <w:lang w:val="en-US"/>
        </w:rPr>
        <w:t xml:space="preserve"> were adapted to growth in serum free medium.</w:t>
      </w:r>
    </w:p>
    <w:p w14:paraId="1CA292C9" w14:textId="10026C53" w:rsidR="004F6057" w:rsidRPr="004F6057" w:rsidRDefault="004F6057" w:rsidP="004F6057">
      <w:pPr>
        <w:rPr>
          <w:rFonts w:eastAsia="Calibri"/>
          <w:color w:val="0070C0"/>
          <w:sz w:val="20"/>
          <w:szCs w:val="20"/>
          <w:lang w:val="en-US"/>
        </w:rPr>
      </w:pPr>
      <w:r w:rsidRPr="004F6057">
        <w:rPr>
          <w:rFonts w:eastAsia="Calibri"/>
          <w:color w:val="0070C0"/>
          <w:sz w:val="20"/>
          <w:szCs w:val="20"/>
          <w:lang w:val="en-US"/>
        </w:rPr>
        <w:t>Manufacturing process of the active ingredient starts with thawing and expansion of cells from the MCB or the WCB derived from the MCB. Cells are expanded using a seed train and fermenters from 80 liters up to 12 000 liters.</w:t>
      </w:r>
    </w:p>
    <w:p w14:paraId="264367DF"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After harvesting different chromatographic steps are used for purification. With affinity chromatography (Protein A) unwanted protein and potential endotoxin contaminants can be removed. Cation ion exchange chromatography removes antibody aggregates and fragments and CHO impurities. Anion ion exchange chromatography is intended to separate DNA, endotoxin, and retrovirus, if present. With hydrophobic interaction chromatography antibody aggregates, fragments and CHO proteins can be removed. After formulation and filtration into freeze/thaw stainless steel tanks the formulated bulk can be stored at 2-8</w:t>
      </w:r>
      <w:r w:rsidRPr="004F6057">
        <w:rPr>
          <w:rFonts w:eastAsia="Calibri"/>
          <w:color w:val="0070C0"/>
          <w:position w:val="10"/>
          <w:sz w:val="14"/>
          <w:szCs w:val="14"/>
          <w:lang w:val="en-US"/>
        </w:rPr>
        <w:t>0</w:t>
      </w:r>
      <w:r w:rsidRPr="004F6057">
        <w:rPr>
          <w:rFonts w:eastAsia="Calibri"/>
          <w:color w:val="0070C0"/>
          <w:sz w:val="20"/>
          <w:szCs w:val="20"/>
          <w:lang w:val="en-US"/>
        </w:rPr>
        <w:t>C and/or frozen and stored at –20</w:t>
      </w:r>
      <w:r w:rsidRPr="004F6057">
        <w:rPr>
          <w:rFonts w:eastAsia="Calibri"/>
          <w:color w:val="0070C0"/>
          <w:position w:val="10"/>
          <w:sz w:val="14"/>
          <w:szCs w:val="14"/>
          <w:lang w:val="en-US"/>
        </w:rPr>
        <w:t>0</w:t>
      </w:r>
      <w:r w:rsidRPr="004F6057">
        <w:rPr>
          <w:rFonts w:eastAsia="Calibri"/>
          <w:color w:val="0070C0"/>
          <w:sz w:val="20"/>
          <w:szCs w:val="20"/>
          <w:lang w:val="en-US"/>
        </w:rPr>
        <w:t>C or lower until further processing to finished product takes place.</w:t>
      </w:r>
    </w:p>
    <w:p w14:paraId="02F49ACD"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Process validation (active substance and finished product)</w:t>
      </w:r>
    </w:p>
    <w:p w14:paraId="7CE35434"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The critical steps of the manufacture of the finished product have been validated using pilot scale and full-scale batches: influence of the mixing parameters during pooling, protein yield, homogeneity during filling, simulation of an interruption during filling, homogeneity during filling tested after lyophilization, homogeneity of drying, evaluation of the lyophilization cycle. In addition, adequate in- process controls have been established and analysis of three full-scale finished product batches shows consistency of the manufacturing process. As a follow-up measure, the data on in-process and release controls for two further batches will be provided</w:t>
      </w:r>
    </w:p>
    <w:p w14:paraId="382255C4"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For active substance, process validation studies were presented to demonstrate the removal of host- related DNA, Chinese Hamster ovary cell proteins (CHOP) and non-host-related impurities. Lifetime of purification columns and hold points during the purification process were validated.</w:t>
      </w:r>
    </w:p>
    <w:p w14:paraId="184108F6"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Data from the validated release assays for five lots of bulk active ingredient produced at Vacaville were presented and compared to the ranges of these assays specified for trastuzumab.</w:t>
      </w:r>
    </w:p>
    <w:p w14:paraId="12018728"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Consistency of the drug substance was assessed using test methods and specifications as described in the MAA in section II.C.1.1</w:t>
      </w:r>
    </w:p>
    <w:p w14:paraId="5FAACF70"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All results were within the specification limits and within the range of the lots produced at the previous site, South San Francisco.</w:t>
      </w:r>
    </w:p>
    <w:p w14:paraId="36E4E796"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Comparing the cell culture process of Vacaville and the previous manufacturing site assessed production culture performance.</w:t>
      </w:r>
    </w:p>
    <w:p w14:paraId="06952E8D"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All results were within the ranges of the results of the previous production. Recovery performance was assessed by comparing recovery yields of the Vacaville lots with the lots produced at the previous site and the yields of every production step were within the range of the known results. In-process controls for the Vacaville lots showed results within the specified limits.</w:t>
      </w:r>
    </w:p>
    <w:p w14:paraId="24278E86"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Impurity profiles were obtained by testing for host cell proteins, host cell DNA, and residual Protein A at various intermediate stages in the process</w:t>
      </w:r>
    </w:p>
    <w:p w14:paraId="1C93601B"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All results were within the ranges of the lots produced at the previous site. Stability studies were performed after storage for 1 month at 37°C.</w:t>
      </w:r>
    </w:p>
    <w:p w14:paraId="5CDAB2D7" w14:textId="77777777" w:rsidR="004F6057" w:rsidRPr="004F6057" w:rsidRDefault="004F6057" w:rsidP="004F6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70C0"/>
          <w:sz w:val="20"/>
          <w:szCs w:val="20"/>
          <w:lang w:val="en-US"/>
        </w:rPr>
      </w:pPr>
      <w:r w:rsidRPr="004F6057">
        <w:rPr>
          <w:rFonts w:eastAsia="Calibri"/>
          <w:color w:val="0070C0"/>
          <w:sz w:val="20"/>
          <w:szCs w:val="20"/>
          <w:lang w:val="en-US"/>
        </w:rPr>
        <w:t>Changes observed were within the range of the changes of material manufactured at the previous site.</w:t>
      </w:r>
    </w:p>
    <w:p w14:paraId="480266BF" w14:textId="4D0BC370" w:rsidR="004F6057" w:rsidRDefault="004F6057" w:rsidP="004F6057">
      <w:pPr>
        <w:rPr>
          <w:lang w:val="en-US"/>
        </w:rPr>
      </w:pPr>
      <w:r w:rsidRPr="004F6057">
        <w:rPr>
          <w:rFonts w:eastAsia="Calibri"/>
          <w:color w:val="0070C0"/>
          <w:sz w:val="20"/>
          <w:szCs w:val="20"/>
          <w:lang w:val="en-US"/>
        </w:rPr>
        <w:t>Further stability data are required as follow-up measure for the bulk product to reflect the anticipated storage time and conditions used during full production</w:t>
      </w:r>
      <w:r>
        <w:rPr>
          <w:rFonts w:eastAsia="Calibri"/>
          <w:color w:val="000000"/>
          <w:sz w:val="20"/>
          <w:szCs w:val="20"/>
          <w:lang w:val="en-US"/>
        </w:rPr>
        <w:t>.</w:t>
      </w:r>
    </w:p>
    <w:p w14:paraId="4C386026" w14:textId="138E1CD9" w:rsidR="00820322" w:rsidRDefault="00820322" w:rsidP="00820322">
      <w:pPr>
        <w:pStyle w:val="Heading3"/>
        <w:rPr>
          <w:lang w:val="en-US"/>
        </w:rPr>
      </w:pPr>
      <w:r>
        <w:rPr>
          <w:lang w:val="en-US"/>
        </w:rPr>
        <w:t>ICH M3 R2</w:t>
      </w:r>
      <w:bookmarkEnd w:id="3"/>
    </w:p>
    <w:p w14:paraId="29CD6E58" w14:textId="67D6B526"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 xml:space="preserve">Acute </w:t>
      </w:r>
      <w:r w:rsidRPr="007A10A6">
        <w:rPr>
          <w:rFonts w:ascii="Calibri" w:hAnsi="Calibri" w:cs="Calibri"/>
          <w:color w:val="000000" w:themeColor="text1"/>
          <w:lang w:val="en-US"/>
        </w:rPr>
        <w:t xml:space="preserve">toxicity </w:t>
      </w:r>
      <w:r w:rsidR="00C2048C" w:rsidRPr="007A10A6">
        <w:rPr>
          <w:rFonts w:ascii="Calibri" w:hAnsi="Calibri" w:cs="Calibri"/>
          <w:color w:val="000000" w:themeColor="text1"/>
          <w:lang w:val="en-US"/>
        </w:rPr>
        <w:t>will be</w:t>
      </w:r>
      <w:r w:rsidRPr="007A10A6">
        <w:rPr>
          <w:rFonts w:ascii="Calibri" w:hAnsi="Calibri" w:cs="Calibri"/>
          <w:color w:val="000000" w:themeColor="text1"/>
          <w:lang w:val="en-US"/>
        </w:rPr>
        <w:t xml:space="preserve"> assessed </w:t>
      </w:r>
      <w:r w:rsidRPr="00820322">
        <w:rPr>
          <w:rFonts w:ascii="Calibri" w:hAnsi="Calibri" w:cs="Calibri"/>
          <w:lang w:val="en-US"/>
        </w:rPr>
        <w:t>using single-dose toxicity studies in two mammalian species (one non-rodent)</w:t>
      </w:r>
      <w:r w:rsidR="00C2048C">
        <w:rPr>
          <w:rFonts w:ascii="Calibri" w:hAnsi="Calibri" w:cs="Calibri"/>
          <w:lang w:val="en-US"/>
        </w:rPr>
        <w:t xml:space="preserve"> as </w:t>
      </w:r>
      <w:proofErr w:type="gramStart"/>
      <w:r w:rsidR="00C2048C">
        <w:rPr>
          <w:rFonts w:ascii="Calibri" w:hAnsi="Calibri" w:cs="Calibri"/>
          <w:lang w:val="en-US"/>
        </w:rPr>
        <w:t>follows</w:t>
      </w:r>
      <w:r w:rsidRPr="00820322">
        <w:rPr>
          <w:rFonts w:ascii="Calibri" w:hAnsi="Calibri" w:cs="Calibri"/>
          <w:lang w:val="en-US"/>
        </w:rPr>
        <w:t>;</w:t>
      </w:r>
      <w:proofErr w:type="gramEnd"/>
    </w:p>
    <w:p w14:paraId="490EE5F5" w14:textId="39688B19" w:rsidR="00820322" w:rsidRDefault="00820322" w:rsidP="00820322">
      <w:pPr>
        <w:numPr>
          <w:ilvl w:val="0"/>
          <w:numId w:val="6"/>
        </w:numPr>
        <w:spacing w:before="120" w:line="360" w:lineRule="auto"/>
        <w:rPr>
          <w:rFonts w:ascii="Calibri" w:hAnsi="Calibri" w:cs="Calibri"/>
        </w:rPr>
      </w:pPr>
      <w:r w:rsidRPr="00820322">
        <w:rPr>
          <w:rFonts w:ascii="Calibri" w:hAnsi="Calibri" w:cs="Calibri"/>
          <w:lang w:val="en-US"/>
        </w:rPr>
        <w:t xml:space="preserve">mammal one - </w:t>
      </w:r>
      <w:hyperlink r:id="rId25" w:history="1">
        <w:r w:rsidRPr="00820322">
          <w:rPr>
            <w:rStyle w:val="Hyperlink"/>
            <w:rFonts w:ascii="Calibri" w:hAnsi="Calibri" w:cs="Calibri"/>
            <w:i/>
            <w:iCs/>
            <w:lang w:val="en-US"/>
          </w:rPr>
          <w:t>acute_toxicity_study_report_one.pdf</w:t>
        </w:r>
      </w:hyperlink>
    </w:p>
    <w:p w14:paraId="5B98C67D" w14:textId="6AF86E6C" w:rsidR="00820322" w:rsidRPr="00820322" w:rsidRDefault="00820322" w:rsidP="00820322">
      <w:pPr>
        <w:numPr>
          <w:ilvl w:val="0"/>
          <w:numId w:val="6"/>
        </w:numPr>
        <w:spacing w:before="120" w:line="360" w:lineRule="auto"/>
        <w:rPr>
          <w:rFonts w:ascii="Calibri" w:hAnsi="Calibri" w:cs="Calibri"/>
        </w:rPr>
      </w:pPr>
      <w:r w:rsidRPr="00820322">
        <w:rPr>
          <w:rFonts w:ascii="Calibri" w:hAnsi="Calibri" w:cs="Calibri"/>
          <w:lang w:val="en-US"/>
        </w:rPr>
        <w:lastRenderedPageBreak/>
        <w:t xml:space="preserve">mammal two - </w:t>
      </w:r>
      <w:hyperlink r:id="rId26" w:history="1">
        <w:r w:rsidRPr="00820322">
          <w:rPr>
            <w:rStyle w:val="Hyperlink"/>
            <w:rFonts w:ascii="Calibri" w:hAnsi="Calibri" w:cs="Calibri"/>
            <w:i/>
            <w:iCs/>
            <w:lang w:val="en-US"/>
          </w:rPr>
          <w:t>acute_toxicity_study_report_two.pdf</w:t>
        </w:r>
      </w:hyperlink>
    </w:p>
    <w:p w14:paraId="0F038520" w14:textId="26DC337C"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 xml:space="preserve">In these studies, both the clinical and parenteral route of administration </w:t>
      </w:r>
      <w:r w:rsidR="00C2048C">
        <w:rPr>
          <w:rFonts w:ascii="Calibri" w:hAnsi="Calibri" w:cs="Calibri"/>
          <w:lang w:val="en-US"/>
        </w:rPr>
        <w:t>will be</w:t>
      </w:r>
      <w:r w:rsidRPr="00820322">
        <w:rPr>
          <w:rFonts w:ascii="Calibri" w:hAnsi="Calibri" w:cs="Calibri"/>
          <w:lang w:val="en-US"/>
        </w:rPr>
        <w:t xml:space="preserve"> used (intravenous). The minimum and maximum dosages (3 - 18 mg/kg) </w:t>
      </w:r>
      <w:r w:rsidR="00223EDF">
        <w:rPr>
          <w:rFonts w:ascii="Calibri" w:hAnsi="Calibri" w:cs="Calibri"/>
          <w:lang w:val="en-US"/>
        </w:rPr>
        <w:t>to be</w:t>
      </w:r>
      <w:r w:rsidRPr="00820322">
        <w:rPr>
          <w:rFonts w:ascii="Calibri" w:hAnsi="Calibri" w:cs="Calibri"/>
          <w:lang w:val="en-US"/>
        </w:rPr>
        <w:t xml:space="preserve"> administered over 90 minutes without short-term adverse effects </w:t>
      </w:r>
    </w:p>
    <w:p w14:paraId="1516DCB1" w14:textId="3B33B180"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Each study w</w:t>
      </w:r>
      <w:r w:rsidR="00223EDF">
        <w:rPr>
          <w:rFonts w:ascii="Calibri" w:hAnsi="Calibri" w:cs="Calibri"/>
          <w:lang w:val="en-US"/>
        </w:rPr>
        <w:t>ill be</w:t>
      </w:r>
      <w:r w:rsidRPr="00820322">
        <w:rPr>
          <w:rFonts w:ascii="Calibri" w:hAnsi="Calibri" w:cs="Calibri"/>
          <w:lang w:val="en-US"/>
        </w:rPr>
        <w:t xml:space="preserve"> conducted under GLP. </w:t>
      </w:r>
    </w:p>
    <w:p w14:paraId="4FB606DE" w14:textId="153242C0" w:rsidR="00660E67" w:rsidRPr="00660E67" w:rsidRDefault="00223EDF" w:rsidP="00660E67">
      <w:pPr>
        <w:spacing w:before="120" w:line="360" w:lineRule="auto"/>
        <w:ind w:left="360"/>
        <w:rPr>
          <w:rFonts w:ascii="Calibri" w:hAnsi="Calibri" w:cs="Calibri"/>
          <w:lang w:val="en-US"/>
        </w:rPr>
      </w:pPr>
      <w:r>
        <w:rPr>
          <w:rFonts w:ascii="Calibri" w:hAnsi="Calibri" w:cs="Calibri"/>
          <w:lang w:val="en-US"/>
        </w:rPr>
        <w:t>A</w:t>
      </w:r>
      <w:r w:rsidR="00820322" w:rsidRPr="00820322">
        <w:rPr>
          <w:rFonts w:ascii="Calibri" w:hAnsi="Calibri" w:cs="Calibri"/>
          <w:lang w:val="en-US"/>
        </w:rPr>
        <w:t xml:space="preserve">cute toxicity results will be used in combination with the known toxicity for other </w:t>
      </w:r>
      <w:proofErr w:type="spellStart"/>
      <w:r w:rsidR="00820322" w:rsidRPr="00820322">
        <w:rPr>
          <w:rFonts w:ascii="Calibri" w:hAnsi="Calibri" w:cs="Calibri"/>
          <w:lang w:val="en-US"/>
        </w:rPr>
        <w:t>mAbs</w:t>
      </w:r>
      <w:proofErr w:type="spellEnd"/>
      <w:r w:rsidR="00820322" w:rsidRPr="00820322">
        <w:rPr>
          <w:rFonts w:ascii="Calibri" w:hAnsi="Calibri" w:cs="Calibri"/>
          <w:lang w:val="en-US"/>
        </w:rPr>
        <w:t xml:space="preserve"> to assess the potential consequences of human overdose and will be available to support Phase III. </w:t>
      </w:r>
    </w:p>
    <w:p w14:paraId="32631C3D" w14:textId="5C03508A" w:rsidR="00C03A15" w:rsidRPr="00C03A15" w:rsidRDefault="00C03A15" w:rsidP="00C03A15">
      <w:pPr>
        <w:spacing w:before="120" w:line="360" w:lineRule="auto"/>
        <w:ind w:left="360"/>
        <w:rPr>
          <w:rFonts w:ascii="Calibri" w:hAnsi="Calibri" w:cs="Calibri"/>
          <w:lang w:val="en-US"/>
        </w:rPr>
      </w:pPr>
      <w:r w:rsidRPr="00C03A15">
        <w:rPr>
          <w:rFonts w:ascii="Calibri" w:hAnsi="Calibri" w:cs="Calibri"/>
          <w:b/>
          <w:bCs/>
        </w:rPr>
        <w:t>Table 1: Treatment Schedules for Hertu</w:t>
      </w:r>
      <w:proofErr w:type="spellStart"/>
      <w:r w:rsidRPr="00C03A15">
        <w:rPr>
          <w:rFonts w:ascii="Calibri" w:hAnsi="Calibri" w:cs="Calibri"/>
          <w:b/>
          <w:bCs/>
          <w:lang w:val="en-US"/>
        </w:rPr>
        <w:t>mig</w:t>
      </w:r>
      <w:proofErr w:type="spellEnd"/>
      <w:r w:rsidRPr="00C03A15">
        <w:rPr>
          <w:rFonts w:ascii="Calibri" w:hAnsi="Calibri" w:cs="Calibri"/>
          <w:b/>
          <w:bCs/>
          <w:lang w:val="en-US"/>
        </w:rPr>
        <w:t xml:space="preserve"> </w:t>
      </w:r>
      <w:r>
        <w:rPr>
          <w:rFonts w:ascii="Calibri" w:hAnsi="Calibri" w:cs="Calibri"/>
          <w:lang w:val="en-US"/>
        </w:rPr>
        <w:t>….</w:t>
      </w:r>
    </w:p>
    <w:p w14:paraId="60BDB665" w14:textId="77777777" w:rsidR="00C03A15" w:rsidRPr="00660E67" w:rsidRDefault="00C03A15" w:rsidP="00C03A15">
      <w:pPr>
        <w:spacing w:before="120" w:line="360" w:lineRule="auto"/>
        <w:ind w:left="360"/>
        <w:rPr>
          <w:rFonts w:ascii="Calibri" w:hAnsi="Calibri" w:cs="Calibri"/>
          <w:lang w:val="en-US"/>
        </w:rPr>
      </w:pPr>
    </w:p>
    <w:p w14:paraId="06DD177A" w14:textId="77777777" w:rsidR="008110E1" w:rsidRPr="00822AF5" w:rsidRDefault="005836BF" w:rsidP="001E456A">
      <w:pPr>
        <w:pStyle w:val="Heading2"/>
        <w:spacing w:before="120" w:after="120" w:line="360" w:lineRule="auto"/>
      </w:pPr>
      <w:bookmarkStart w:id="4" w:name="_Toc115280137"/>
      <w:r w:rsidRPr="00822AF5">
        <w:t>Part B: Clinical Plan</w:t>
      </w:r>
      <w:bookmarkEnd w:id="4"/>
    </w:p>
    <w:p w14:paraId="2FB775C3" w14:textId="737F9AF5" w:rsidR="0042421F" w:rsidRPr="00C32691" w:rsidRDefault="005836BF" w:rsidP="001E456A">
      <w:pPr>
        <w:pStyle w:val="ListParagraph"/>
        <w:numPr>
          <w:ilvl w:val="0"/>
          <w:numId w:val="5"/>
        </w:numPr>
        <w:spacing w:before="120" w:after="120" w:line="360" w:lineRule="auto"/>
        <w:rPr>
          <w:b/>
          <w:bCs/>
          <w:iCs/>
          <w:u w:val="single"/>
        </w:rPr>
      </w:pPr>
      <w:r w:rsidRPr="00822AF5">
        <w:t xml:space="preserve">Clinical Trial Protocol </w:t>
      </w:r>
      <w:r w:rsidR="008110E1" w:rsidRPr="00822AF5">
        <w:t xml:space="preserve">will be drafted for </w:t>
      </w:r>
      <w:r w:rsidR="00A24B17" w:rsidRPr="00822AF5">
        <w:t>inclusion</w:t>
      </w:r>
      <w:r w:rsidRPr="00822AF5">
        <w:t xml:space="preserve"> in the application for the above-mentioned Investigational Medicinal Product.</w:t>
      </w:r>
      <w:r w:rsidR="00A24B17" w:rsidRPr="00822AF5">
        <w:t xml:space="preserve"> </w:t>
      </w:r>
      <w:r w:rsidR="00A24B17" w:rsidRPr="00C32691">
        <w:rPr>
          <w:iCs/>
        </w:rPr>
        <w:t>In this we d</w:t>
      </w:r>
      <w:r w:rsidRPr="00C32691">
        <w:rPr>
          <w:iCs/>
        </w:rPr>
        <w:t xml:space="preserve">efine the main points of the clinical trial protocol </w:t>
      </w:r>
      <w:r w:rsidR="00A24B17" w:rsidRPr="00C32691">
        <w:rPr>
          <w:iCs/>
        </w:rPr>
        <w:t>and</w:t>
      </w:r>
      <w:r w:rsidRPr="00C32691">
        <w:rPr>
          <w:iCs/>
        </w:rPr>
        <w:t xml:space="preserve"> consider a </w:t>
      </w:r>
      <w:r w:rsidR="00A24B17" w:rsidRPr="00C32691">
        <w:rPr>
          <w:iCs/>
        </w:rPr>
        <w:t>m</w:t>
      </w:r>
      <w:r w:rsidRPr="00C32691">
        <w:rPr>
          <w:iCs/>
        </w:rPr>
        <w:t xml:space="preserve">aster </w:t>
      </w:r>
      <w:r w:rsidR="00A24B17" w:rsidRPr="00C32691">
        <w:rPr>
          <w:iCs/>
        </w:rPr>
        <w:t>p</w:t>
      </w:r>
      <w:r w:rsidRPr="00C32691">
        <w:rPr>
          <w:iCs/>
        </w:rPr>
        <w:t>rotoco</w:t>
      </w:r>
      <w:r w:rsidR="00DB4DA1" w:rsidRPr="00C32691">
        <w:rPr>
          <w:iCs/>
        </w:rPr>
        <w:t>l</w:t>
      </w:r>
      <w:r w:rsidR="00A24B17" w:rsidRPr="00C32691">
        <w:rPr>
          <w:iCs/>
        </w:rPr>
        <w:t>.</w:t>
      </w:r>
      <w:r w:rsidR="00DB4DA1" w:rsidRPr="00C32691">
        <w:rPr>
          <w:i/>
        </w:rPr>
        <w:t xml:space="preserve"> </w:t>
      </w:r>
      <w:hyperlink r:id="rId27" w:history="1">
        <w:r w:rsidR="0042421F" w:rsidRPr="00C32691">
          <w:rPr>
            <w:rStyle w:val="Hyperlink"/>
            <w:rFonts w:ascii="Calibri" w:hAnsi="Calibri" w:cs="Calibri"/>
            <w:iCs/>
            <w:sz w:val="24"/>
            <w:szCs w:val="24"/>
          </w:rPr>
          <w:t>Ledford 2013</w:t>
        </w:r>
      </w:hyperlink>
      <w:r w:rsidR="0042421F" w:rsidRPr="00C32691">
        <w:rPr>
          <w:iCs/>
        </w:rPr>
        <w:t xml:space="preserve"> reports on “‘Master protocol’ aims to revamp cancer trials” </w:t>
      </w:r>
      <w:r w:rsidR="0042421F" w:rsidRPr="00C32691">
        <w:rPr>
          <w:iCs/>
        </w:rPr>
        <w:fldChar w:fldCharType="begin"/>
      </w:r>
      <w:r w:rsidR="00820322">
        <w:rPr>
          <w:iCs/>
        </w:rPr>
        <w:instrText xml:space="preserve"> ADDIN ZOTERO_ITEM CSL_CITATION {"citationID":"lbhTOL2X","properties":{"formattedCitation":"[7]","plainCitation":"[7]","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42421F" w:rsidRPr="00C32691">
        <w:rPr>
          <w:iCs/>
        </w:rPr>
        <w:fldChar w:fldCharType="separate"/>
      </w:r>
      <w:r w:rsidR="00820322">
        <w:rPr>
          <w:iCs/>
          <w:noProof/>
        </w:rPr>
        <w:t>[7]</w:t>
      </w:r>
      <w:r w:rsidR="0042421F" w:rsidRPr="00C32691">
        <w:rPr>
          <w:iCs/>
        </w:rPr>
        <w:fldChar w:fldCharType="end"/>
      </w:r>
      <w:r w:rsidRPr="00C32691">
        <w:rPr>
          <w:iCs/>
        </w:rPr>
        <w:t xml:space="preserve"> </w:t>
      </w:r>
      <w:r w:rsidR="0042421F" w:rsidRPr="00C32691">
        <w:rPr>
          <w:iCs/>
        </w:rPr>
        <w:t xml:space="preserve">and </w:t>
      </w:r>
      <w:hyperlink r:id="rId28" w:anchor="t=article" w:history="1">
        <w:r w:rsidR="0042421F" w:rsidRPr="00C32691">
          <w:rPr>
            <w:rStyle w:val="Hyperlink"/>
            <w:rFonts w:ascii="Calibri" w:hAnsi="Calibri" w:cs="Calibri"/>
            <w:iCs/>
            <w:sz w:val="24"/>
            <w:szCs w:val="24"/>
          </w:rPr>
          <w:t xml:space="preserve">Woodcock and </w:t>
        </w:r>
        <w:proofErr w:type="spellStart"/>
        <w:r w:rsidR="0042421F" w:rsidRPr="00C32691">
          <w:rPr>
            <w:rStyle w:val="Hyperlink"/>
            <w:rFonts w:ascii="Calibri" w:hAnsi="Calibri" w:cs="Calibri"/>
            <w:iCs/>
            <w:sz w:val="24"/>
            <w:szCs w:val="24"/>
          </w:rPr>
          <w:t>LaVange</w:t>
        </w:r>
        <w:proofErr w:type="spellEnd"/>
        <w:r w:rsidR="0042421F" w:rsidRPr="00C32691">
          <w:rPr>
            <w:rStyle w:val="Hyperlink"/>
            <w:rFonts w:ascii="Calibri" w:hAnsi="Calibri" w:cs="Calibri"/>
            <w:iCs/>
            <w:sz w:val="24"/>
            <w:szCs w:val="24"/>
          </w:rPr>
          <w:t xml:space="preserve"> 2017</w:t>
        </w:r>
      </w:hyperlink>
      <w:r w:rsidR="0042421F" w:rsidRPr="00C32691">
        <w:rPr>
          <w:iCs/>
        </w:rPr>
        <w:t xml:space="preserve"> on requirements to “Master Protocols to Study Multiple Therapies, Multiple Diseases, or Both” </w:t>
      </w:r>
      <w:r w:rsidR="0042421F" w:rsidRPr="00C32691">
        <w:rPr>
          <w:iCs/>
        </w:rPr>
        <w:fldChar w:fldCharType="begin"/>
      </w:r>
      <w:r w:rsidR="00820322">
        <w:rPr>
          <w:iCs/>
        </w:rPr>
        <w:instrText xml:space="preserve"> ADDIN ZOTERO_ITEM CSL_CITATION {"citationID":"ccPMnNB8","properties":{"formattedCitation":"[8]","plainCitation":"[8]","noteIndex":0},"citationItems":[{"id":866,"uris":["http://zotero.org/groups/4760334/items/3DHBIWM7"],"itemData":{"id":866,"type":"article-journal","container-title":"The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42421F" w:rsidRPr="00C32691">
        <w:rPr>
          <w:iCs/>
        </w:rPr>
        <w:fldChar w:fldCharType="separate"/>
      </w:r>
      <w:r w:rsidR="00820322">
        <w:rPr>
          <w:iCs/>
          <w:noProof/>
        </w:rPr>
        <w:t>[8]</w:t>
      </w:r>
      <w:r w:rsidR="0042421F" w:rsidRPr="00C32691">
        <w:rPr>
          <w:iCs/>
        </w:rPr>
        <w:fldChar w:fldCharType="end"/>
      </w:r>
      <w:r w:rsidR="0042421F" w:rsidRPr="00C32691">
        <w:rPr>
          <w:iCs/>
        </w:rPr>
        <w:t xml:space="preserve">. </w:t>
      </w:r>
      <w:r w:rsidRPr="00C32691">
        <w:rPr>
          <w:iCs/>
        </w:rPr>
        <w:t>Consider</w:t>
      </w:r>
      <w:r w:rsidRPr="00C32691">
        <w:rPr>
          <w:i/>
        </w:rPr>
        <w:t xml:space="preserve"> </w:t>
      </w:r>
      <w:hyperlink r:id="rId29" w:history="1">
        <w:r w:rsidRPr="00C32691">
          <w:rPr>
            <w:rStyle w:val="Hyperlink"/>
            <w:rFonts w:ascii="Calibri" w:hAnsi="Calibri" w:cs="Calibri"/>
            <w:i/>
            <w:sz w:val="24"/>
            <w:szCs w:val="24"/>
          </w:rPr>
          <w:t>PRIME</w:t>
        </w:r>
      </w:hyperlink>
      <w:r w:rsidRPr="00C32691">
        <w:rPr>
          <w:i/>
        </w:rPr>
        <w:t xml:space="preserve"> </w:t>
      </w:r>
      <w:r w:rsidRPr="00C32691">
        <w:rPr>
          <w:iCs/>
        </w:rPr>
        <w:t>and</w:t>
      </w:r>
      <w:r w:rsidRPr="00C32691">
        <w:rPr>
          <w:i/>
        </w:rPr>
        <w:t xml:space="preserve"> </w:t>
      </w:r>
      <w:hyperlink r:id="rId30" w:history="1">
        <w:r w:rsidRPr="00C32691">
          <w:rPr>
            <w:rStyle w:val="Hyperlink"/>
            <w:rFonts w:ascii="Calibri" w:hAnsi="Calibri" w:cs="Calibri"/>
            <w:i/>
            <w:sz w:val="24"/>
            <w:szCs w:val="24"/>
          </w:rPr>
          <w:t>Breakthrough Designations</w:t>
        </w:r>
      </w:hyperlink>
      <w:r w:rsidR="00A24B17" w:rsidRPr="00C32691">
        <w:rPr>
          <w:iCs/>
        </w:rPr>
        <w:t xml:space="preserve"> (for comparison see FAQ 24. </w:t>
      </w:r>
      <w:hyperlink r:id="rId31" w:history="1">
        <w:r w:rsidR="00A24B17" w:rsidRPr="00C32691">
          <w:rPr>
            <w:rStyle w:val="Hyperlink"/>
            <w:rFonts w:ascii="Calibri" w:hAnsi="Calibri" w:cs="Calibri"/>
            <w:iCs/>
            <w:sz w:val="24"/>
            <w:szCs w:val="24"/>
          </w:rPr>
          <w:t>here</w:t>
        </w:r>
      </w:hyperlink>
      <w:r w:rsidR="00A24B17" w:rsidRPr="00C32691">
        <w:rPr>
          <w:iCs/>
        </w:rPr>
        <w:t>).</w:t>
      </w:r>
    </w:p>
    <w:p w14:paraId="48077993" w14:textId="58C94A93" w:rsidR="008925E8" w:rsidRPr="00822AF5" w:rsidRDefault="005836BF" w:rsidP="001E456A">
      <w:pPr>
        <w:pStyle w:val="ListParagraph"/>
        <w:numPr>
          <w:ilvl w:val="0"/>
          <w:numId w:val="3"/>
        </w:numPr>
        <w:spacing w:before="120" w:after="120" w:line="360" w:lineRule="auto"/>
        <w:rPr>
          <w:rFonts w:ascii="Calibri" w:hAnsi="Calibri" w:cs="Calibri"/>
          <w:color w:val="222222"/>
          <w:sz w:val="24"/>
          <w:szCs w:val="24"/>
        </w:rPr>
      </w:pPr>
      <w:r w:rsidRPr="00822AF5">
        <w:rPr>
          <w:rFonts w:ascii="Calibri" w:eastAsia="Times New Roman" w:hAnsi="Calibri" w:cs="Calibri"/>
          <w:color w:val="222222"/>
          <w:sz w:val="24"/>
          <w:szCs w:val="24"/>
        </w:rPr>
        <w:t>Guidance and reference</w:t>
      </w:r>
      <w:r w:rsidR="0042421F" w:rsidRPr="00822AF5">
        <w:rPr>
          <w:rFonts w:ascii="Calibri" w:hAnsi="Calibri" w:cs="Calibri"/>
          <w:color w:val="222222"/>
          <w:sz w:val="24"/>
          <w:szCs w:val="24"/>
        </w:rPr>
        <w:t xml:space="preserve"> is found in the </w:t>
      </w:r>
      <w:r w:rsidR="0042421F" w:rsidRPr="00822AF5">
        <w:rPr>
          <w:rFonts w:ascii="Calibri" w:hAnsi="Calibri" w:cs="Calibri"/>
          <w:sz w:val="24"/>
          <w:szCs w:val="24"/>
        </w:rPr>
        <w:t xml:space="preserve">ICH </w:t>
      </w:r>
      <w:proofErr w:type="spellStart"/>
      <w:r w:rsidR="0042421F" w:rsidRPr="00822AF5">
        <w:rPr>
          <w:rFonts w:ascii="Calibri" w:hAnsi="Calibri" w:cs="Calibri"/>
          <w:sz w:val="24"/>
          <w:szCs w:val="24"/>
        </w:rPr>
        <w:t>harmonised</w:t>
      </w:r>
      <w:proofErr w:type="spellEnd"/>
      <w:r w:rsidR="0042421F" w:rsidRPr="00822AF5">
        <w:rPr>
          <w:rFonts w:ascii="Calibri" w:hAnsi="Calibri" w:cs="Calibri"/>
          <w:sz w:val="24"/>
          <w:szCs w:val="24"/>
        </w:rPr>
        <w:t xml:space="preserve"> guideline: </w:t>
      </w:r>
      <w:r w:rsidR="0042421F" w:rsidRPr="00822AF5">
        <w:rPr>
          <w:rFonts w:ascii="Calibri" w:hAnsi="Calibri" w:cs="Calibri"/>
          <w:b/>
          <w:i/>
          <w:sz w:val="24"/>
          <w:szCs w:val="24"/>
        </w:rPr>
        <w:t>Integrated addendum to ICH e6(r1): guideline for good clinical practice</w:t>
      </w:r>
      <w:r w:rsidR="0042421F" w:rsidRPr="00822AF5">
        <w:rPr>
          <w:rFonts w:ascii="Calibri" w:hAnsi="Calibri" w:cs="Calibri"/>
          <w:sz w:val="24"/>
          <w:szCs w:val="24"/>
        </w:rPr>
        <w:t xml:space="preserve"> </w:t>
      </w:r>
      <w:r w:rsidR="0042421F" w:rsidRPr="00822AF5">
        <w:rPr>
          <w:rFonts w:ascii="Calibri" w:hAnsi="Calibri" w:cs="Calibri"/>
          <w:b/>
          <w:i/>
          <w:sz w:val="24"/>
          <w:szCs w:val="24"/>
        </w:rPr>
        <w:t>E6(r2)step 4 version 2016</w:t>
      </w:r>
      <w:r w:rsidR="0042421F" w:rsidRPr="00822AF5">
        <w:rPr>
          <w:rFonts w:ascii="Calibri" w:hAnsi="Calibri" w:cs="Calibri"/>
          <w:sz w:val="24"/>
          <w:szCs w:val="24"/>
        </w:rPr>
        <w:t xml:space="preserve"> </w:t>
      </w:r>
      <w:r w:rsidR="0042421F" w:rsidRPr="00822AF5">
        <w:rPr>
          <w:rFonts w:ascii="Calibri" w:hAnsi="Calibri" w:cs="Calibri"/>
          <w:sz w:val="24"/>
          <w:szCs w:val="24"/>
          <w:lang w:val="en-CH"/>
        </w:rPr>
        <w:t>(</w:t>
      </w:r>
      <w:r w:rsidR="00D303D4">
        <w:rPr>
          <w:rFonts w:asciiTheme="minorHAnsi" w:hAnsiTheme="minorHAnsi"/>
        </w:rPr>
        <w:fldChar w:fldCharType="begin"/>
      </w:r>
      <w:r w:rsidR="00D303D4">
        <w:instrText xml:space="preserve"> HYPERLINK "https://database.ich.org/sites/default/files/E6_R2_Addendum.pdf" </w:instrText>
      </w:r>
      <w:r w:rsidR="00D303D4">
        <w:rPr>
          <w:rFonts w:asciiTheme="minorHAnsi" w:hAnsiTheme="minorHAnsi"/>
        </w:rPr>
        <w:fldChar w:fldCharType="separate"/>
      </w:r>
      <w:r w:rsidR="0042421F" w:rsidRPr="00822AF5">
        <w:rPr>
          <w:rStyle w:val="Hyperlink"/>
          <w:rFonts w:ascii="Calibri" w:hAnsi="Calibri" w:cs="Calibri"/>
          <w:sz w:val="24"/>
          <w:szCs w:val="24"/>
          <w:lang w:val="en-CH"/>
        </w:rPr>
        <w:t>https://database.ich.org/sites/default/files/E6_R2_Addendum.pdf</w:t>
      </w:r>
      <w:r w:rsidR="00D303D4">
        <w:rPr>
          <w:rStyle w:val="Hyperlink"/>
          <w:rFonts w:ascii="Calibri" w:hAnsi="Calibri" w:cs="Calibri"/>
          <w:sz w:val="24"/>
          <w:szCs w:val="24"/>
          <w:lang w:val="en-CH"/>
        </w:rPr>
        <w:fldChar w:fldCharType="end"/>
      </w:r>
      <w:r w:rsidR="0042421F" w:rsidRPr="00822AF5">
        <w:rPr>
          <w:rFonts w:ascii="Calibri" w:hAnsi="Calibri" w:cs="Calibri"/>
          <w:sz w:val="24"/>
          <w:szCs w:val="24"/>
          <w:lang w:val="en-CH"/>
        </w:rPr>
        <w:t>)</w:t>
      </w:r>
      <w:r w:rsidR="0042421F" w:rsidRPr="00822AF5">
        <w:rPr>
          <w:rFonts w:ascii="Calibri" w:hAnsi="Calibri" w:cs="Calibri"/>
          <w:sz w:val="24"/>
          <w:szCs w:val="24"/>
        </w:rPr>
        <w:t xml:space="preserve"> </w:t>
      </w:r>
      <w:r w:rsidR="0042421F" w:rsidRPr="00822AF5">
        <w:rPr>
          <w:rFonts w:ascii="Calibri" w:hAnsi="Calibri" w:cs="Calibri"/>
          <w:color w:val="222222"/>
          <w:sz w:val="24"/>
          <w:szCs w:val="24"/>
        </w:rPr>
        <w:fldChar w:fldCharType="begin"/>
      </w:r>
      <w:r w:rsidR="00820322">
        <w:rPr>
          <w:rFonts w:ascii="Calibri" w:hAnsi="Calibri" w:cs="Calibri"/>
          <w:color w:val="222222"/>
          <w:sz w:val="24"/>
          <w:szCs w:val="24"/>
        </w:rPr>
        <w:instrText xml:space="preserve"> ADDIN ZOTERO_ITEM CSL_CITATION {"citationID":"Cv8jth29","properties":{"formattedCitation":"[5]","plainCitation":"[5]","noteIndex":0},"citationItems":[{"id":875,"uris":["http://zotero.org/groups/4760334/items/A2ZFTZEG"],"itemData":{"id":875,"type":"paper-conference","title":"ICH: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42421F" w:rsidRPr="00822AF5">
        <w:rPr>
          <w:rFonts w:ascii="Calibri" w:hAnsi="Calibri" w:cs="Calibri"/>
          <w:color w:val="222222"/>
          <w:sz w:val="24"/>
          <w:szCs w:val="24"/>
        </w:rPr>
        <w:fldChar w:fldCharType="separate"/>
      </w:r>
      <w:r w:rsidR="00820322">
        <w:rPr>
          <w:rFonts w:ascii="Calibri" w:hAnsi="Calibri" w:cs="Calibri"/>
          <w:noProof/>
          <w:color w:val="222222"/>
          <w:sz w:val="24"/>
          <w:szCs w:val="24"/>
        </w:rPr>
        <w:t>[5]</w:t>
      </w:r>
      <w:r w:rsidR="0042421F" w:rsidRPr="00822AF5">
        <w:rPr>
          <w:rFonts w:ascii="Calibri" w:hAnsi="Calibri" w:cs="Calibri"/>
          <w:color w:val="222222"/>
          <w:sz w:val="24"/>
          <w:szCs w:val="24"/>
        </w:rPr>
        <w:fldChar w:fldCharType="end"/>
      </w:r>
      <w:r w:rsidR="0042421F" w:rsidRPr="00822AF5">
        <w:rPr>
          <w:rFonts w:ascii="Calibri" w:hAnsi="Calibri" w:cs="Calibri"/>
          <w:color w:val="222222"/>
          <w:sz w:val="24"/>
          <w:szCs w:val="24"/>
        </w:rPr>
        <w:t>.</w:t>
      </w:r>
    </w:p>
    <w:p w14:paraId="5D2DFB1D" w14:textId="77777777" w:rsidR="008925E8" w:rsidRPr="00822AF5" w:rsidRDefault="008925E8" w:rsidP="001E456A">
      <w:pPr>
        <w:spacing w:before="120" w:line="360" w:lineRule="auto"/>
        <w:rPr>
          <w:rFonts w:ascii="Calibri" w:hAnsi="Calibri" w:cs="Calibri"/>
          <w:color w:val="222222"/>
        </w:rPr>
      </w:pPr>
    </w:p>
    <w:p w14:paraId="7C236CDB" w14:textId="77777777" w:rsidR="005836BF" w:rsidRPr="00822AF5" w:rsidRDefault="005836BF" w:rsidP="001E456A">
      <w:pPr>
        <w:pStyle w:val="Heading2"/>
        <w:spacing w:before="120" w:after="120" w:line="360" w:lineRule="auto"/>
      </w:pPr>
      <w:bookmarkStart w:id="5" w:name="_Toc115280138"/>
      <w:r w:rsidRPr="00822AF5">
        <w:t>Part C: Chemistry, Manufacturing and Controls, CMC</w:t>
      </w:r>
      <w:bookmarkEnd w:id="5"/>
    </w:p>
    <w:p w14:paraId="76140451" w14:textId="555563F6" w:rsidR="005836BF" w:rsidRPr="00761036" w:rsidRDefault="008925E8" w:rsidP="001E456A">
      <w:pPr>
        <w:spacing w:before="120" w:line="360" w:lineRule="auto"/>
        <w:jc w:val="both"/>
        <w:rPr>
          <w:rFonts w:ascii="Calibri" w:hAnsi="Calibri" w:cs="Calibri"/>
          <w:lang w:val="en-US"/>
        </w:rPr>
      </w:pPr>
      <w:r w:rsidRPr="00822AF5">
        <w:rPr>
          <w:rFonts w:ascii="Calibri" w:hAnsi="Calibri" w:cs="Calibri"/>
          <w:lang w:val="en-US"/>
        </w:rPr>
        <w:t>Here we will write</w:t>
      </w:r>
      <w:r w:rsidR="005836BF" w:rsidRPr="00822AF5">
        <w:rPr>
          <w:rFonts w:ascii="Calibri" w:hAnsi="Calibri" w:cs="Calibri"/>
        </w:rPr>
        <w:t xml:space="preserve"> a clear CMC plan on the work that needs to be done and included in the application for the above mentioned Investigational Medicinal Product. Emphasize the level of detail require</w:t>
      </w:r>
      <w:r w:rsidR="00761036">
        <w:rPr>
          <w:rFonts w:ascii="Calibri" w:hAnsi="Calibri" w:cs="Calibri"/>
          <w:lang w:val="en-US"/>
        </w:rPr>
        <w:t>d.</w:t>
      </w:r>
    </w:p>
    <w:p w14:paraId="78F693E1" w14:textId="56B442CA" w:rsidR="005836BF" w:rsidRPr="00822AF5" w:rsidRDefault="005836BF" w:rsidP="001E456A">
      <w:pPr>
        <w:spacing w:before="120" w:line="360" w:lineRule="auto"/>
        <w:rPr>
          <w:rFonts w:ascii="Calibri" w:hAnsi="Calibri" w:cs="Calibri"/>
          <w:color w:val="222222"/>
          <w:lang w:val="en-US"/>
        </w:rPr>
      </w:pPr>
      <w:r w:rsidRPr="00822AF5">
        <w:rPr>
          <w:rFonts w:ascii="Calibri" w:hAnsi="Calibri" w:cs="Calibri"/>
          <w:color w:val="222222"/>
        </w:rPr>
        <w:t>Guidance and reference</w:t>
      </w:r>
      <w:r w:rsidR="008925E8" w:rsidRPr="00822AF5">
        <w:rPr>
          <w:rFonts w:ascii="Calibri" w:hAnsi="Calibri" w:cs="Calibri"/>
          <w:color w:val="222222"/>
          <w:lang w:val="en-US"/>
        </w:rPr>
        <w:t xml:space="preserve"> can be found at</w:t>
      </w:r>
    </w:p>
    <w:p w14:paraId="46425563" w14:textId="7046958C" w:rsidR="008925E8" w:rsidRPr="00822AF5" w:rsidRDefault="008925E8"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32"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820322">
        <w:rPr>
          <w:rFonts w:ascii="Calibri" w:hAnsi="Calibri" w:cs="Calibri"/>
          <w:sz w:val="24"/>
          <w:szCs w:val="24"/>
        </w:rPr>
        <w:instrText xml:space="preserve"> ADDIN ZOTERO_ITEM CSL_CITATION {"citationID":"71XpCmgX","properties":{"formattedCitation":"[2]","plainCitation":"[2]","noteIndex":0},"citationItems":[{"id":870,"uris":["http://zotero.org/groups/4760334/items/NQR5PXJZ"],"itemData":{"id":870,"type":"document","title":"EudraLex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820322">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413E4ABF" w14:textId="28608FF8" w:rsidR="008B3A1A" w:rsidRDefault="008925E8"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sz w:val="24"/>
          <w:szCs w:val="24"/>
        </w:rPr>
        <w:lastRenderedPageBreak/>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33"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or PDF </w:t>
      </w:r>
      <w:hyperlink r:id="rId34"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820322">
        <w:rPr>
          <w:rFonts w:ascii="Calibri" w:hAnsi="Calibri" w:cs="Calibri"/>
          <w:sz w:val="24"/>
          <w:szCs w:val="24"/>
        </w:rPr>
        <w:instrText xml:space="preserve"> ADDIN ZOTERO_ITEM CSL_CITATION {"citationID":"iS55tvie","properties":{"formattedCitation":"[2]","plainCitation":"[2]","noteIndex":0},"citationItems":[{"id":870,"uris":["http://zotero.org/groups/4760334/items/NQR5PXJZ"],"itemData":{"id":870,"type":"document","title":"EudraLex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820322">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74AB40D0" w14:textId="77777777" w:rsidR="00C32691" w:rsidRPr="00822AF5" w:rsidRDefault="00C32691" w:rsidP="001E456A">
      <w:pPr>
        <w:pStyle w:val="ListParagraph"/>
        <w:numPr>
          <w:ilvl w:val="0"/>
          <w:numId w:val="2"/>
        </w:numPr>
        <w:spacing w:before="120" w:after="120" w:line="360" w:lineRule="auto"/>
        <w:rPr>
          <w:rFonts w:ascii="Calibri" w:hAnsi="Calibri" w:cs="Calibri"/>
          <w:sz w:val="24"/>
          <w:szCs w:val="24"/>
        </w:rPr>
      </w:pPr>
    </w:p>
    <w:p w14:paraId="2888995F" w14:textId="6EF828B3" w:rsidR="005836BF" w:rsidRPr="00822AF5" w:rsidRDefault="005836BF" w:rsidP="001E456A">
      <w:pPr>
        <w:pStyle w:val="Heading2"/>
        <w:spacing w:before="120" w:after="120" w:line="360" w:lineRule="auto"/>
      </w:pPr>
      <w:bookmarkStart w:id="6" w:name="_Toc115280139"/>
      <w:r w:rsidRPr="00822AF5">
        <w:t>Part D: Pre-IND Meeting / Scientific Advice</w:t>
      </w:r>
      <w:bookmarkEnd w:id="6"/>
    </w:p>
    <w:p w14:paraId="663DC521" w14:textId="77777777" w:rsidR="003A0507" w:rsidRPr="00822AF5" w:rsidRDefault="008B3A1A" w:rsidP="001E456A">
      <w:pPr>
        <w:spacing w:before="120" w:line="360" w:lineRule="auto"/>
        <w:rPr>
          <w:rFonts w:ascii="Calibri" w:hAnsi="Calibri" w:cs="Calibri"/>
          <w:iCs/>
          <w:lang w:val="en-US"/>
        </w:rPr>
      </w:pPr>
      <w:r w:rsidRPr="00822AF5">
        <w:rPr>
          <w:rFonts w:ascii="Calibri" w:hAnsi="Calibri" w:cs="Calibri"/>
          <w:iCs/>
          <w:lang w:val="en-US"/>
        </w:rPr>
        <w:t xml:space="preserve">Here we will </w:t>
      </w:r>
      <w:r w:rsidR="003A0507" w:rsidRPr="00822AF5">
        <w:rPr>
          <w:rFonts w:ascii="Calibri" w:hAnsi="Calibri" w:cs="Calibri"/>
          <w:iCs/>
          <w:lang w:val="en-US"/>
        </w:rPr>
        <w:t>include</w:t>
      </w:r>
      <w:r w:rsidR="005836BF" w:rsidRPr="00822AF5">
        <w:rPr>
          <w:rFonts w:ascii="Calibri" w:hAnsi="Calibri" w:cs="Calibri"/>
          <w:iCs/>
        </w:rPr>
        <w:t xml:space="preserve"> a summary of the project background, the questions with the opinion of the company, number of attendees, and the time for the meeting (ideally)</w:t>
      </w:r>
      <w:r w:rsidRPr="00822AF5">
        <w:rPr>
          <w:rFonts w:ascii="Calibri" w:hAnsi="Calibri" w:cs="Calibri"/>
          <w:iCs/>
          <w:lang w:val="en-US"/>
        </w:rPr>
        <w:t>.</w:t>
      </w:r>
      <w:r w:rsidR="003A0507" w:rsidRPr="00822AF5">
        <w:rPr>
          <w:rFonts w:ascii="Calibri" w:hAnsi="Calibri" w:cs="Calibri"/>
          <w:iCs/>
          <w:lang w:val="en-US"/>
        </w:rPr>
        <w:t xml:space="preserve"> </w:t>
      </w:r>
    </w:p>
    <w:p w14:paraId="4878AB96" w14:textId="77777777" w:rsidR="00761036" w:rsidRDefault="008B3A1A" w:rsidP="001E456A">
      <w:pPr>
        <w:spacing w:before="120" w:line="360" w:lineRule="auto"/>
        <w:rPr>
          <w:rFonts w:ascii="Calibri" w:hAnsi="Calibri" w:cs="Calibri"/>
          <w:iCs/>
          <w:lang w:val="en-US"/>
        </w:rPr>
      </w:pPr>
      <w:r w:rsidRPr="00822AF5">
        <w:rPr>
          <w:rFonts w:ascii="Calibri" w:hAnsi="Calibri" w:cs="Calibri"/>
          <w:iCs/>
          <w:lang w:val="en-US"/>
        </w:rPr>
        <w:t xml:space="preserve">Advice can be found at </w:t>
      </w:r>
    </w:p>
    <w:p w14:paraId="03DF666A" w14:textId="77777777" w:rsidR="00761036" w:rsidRDefault="008B3A1A" w:rsidP="001E456A">
      <w:pPr>
        <w:pStyle w:val="ListParagraph"/>
        <w:numPr>
          <w:ilvl w:val="0"/>
          <w:numId w:val="4"/>
        </w:numPr>
        <w:spacing w:before="120" w:after="120" w:line="360" w:lineRule="auto"/>
        <w:rPr>
          <w:rFonts w:ascii="Calibri" w:hAnsi="Calibri" w:cs="Calibri"/>
          <w:iCs/>
        </w:rPr>
      </w:pPr>
      <w:r w:rsidRPr="00761036">
        <w:rPr>
          <w:rFonts w:ascii="Calibri" w:hAnsi="Calibri" w:cs="Calibri"/>
          <w:iCs/>
        </w:rPr>
        <w:t>Paul-Ehrlich-Institute, Federal Institute for Vaccines and Biomedicines webpage (</w:t>
      </w:r>
      <w:hyperlink r:id="rId35" w:history="1">
        <w:r w:rsidRPr="00761036">
          <w:rPr>
            <w:rStyle w:val="Hyperlink"/>
            <w:rFonts w:ascii="Calibri" w:hAnsi="Calibri" w:cs="Calibri"/>
          </w:rPr>
          <w:t>https://www.pei.de/EN/information/license-applicants/advice/scientific-advice/scientific-advice-node.html</w:t>
        </w:r>
      </w:hyperlink>
      <w:r w:rsidRPr="00761036">
        <w:rPr>
          <w:rFonts w:ascii="Calibri" w:hAnsi="Calibri" w:cs="Calibri"/>
        </w:rPr>
        <w:t>)</w:t>
      </w:r>
      <w:r w:rsidR="00761036">
        <w:rPr>
          <w:rFonts w:ascii="Calibri" w:hAnsi="Calibri" w:cs="Calibri"/>
          <w:iCs/>
        </w:rPr>
        <w:t>.</w:t>
      </w:r>
    </w:p>
    <w:p w14:paraId="14AF3E74" w14:textId="1CDDCBC8" w:rsidR="008B3A1A" w:rsidRPr="00761036" w:rsidRDefault="008B3A1A" w:rsidP="001E456A">
      <w:pPr>
        <w:pStyle w:val="ListParagraph"/>
        <w:numPr>
          <w:ilvl w:val="0"/>
          <w:numId w:val="4"/>
        </w:numPr>
        <w:spacing w:before="120" w:after="120" w:line="360" w:lineRule="auto"/>
        <w:rPr>
          <w:rFonts w:ascii="Calibri" w:hAnsi="Calibri" w:cs="Calibri"/>
          <w:iCs/>
        </w:rPr>
      </w:pPr>
      <w:r w:rsidRPr="00761036">
        <w:rPr>
          <w:rFonts w:ascii="Calibri" w:hAnsi="Calibri" w:cs="Calibri"/>
          <w:iCs/>
        </w:rPr>
        <w:t>EMA Human Regulatory webpage for Scientific advice and protocol assistance (</w:t>
      </w:r>
      <w:hyperlink r:id="rId36" w:history="1">
        <w:r w:rsidRPr="00761036">
          <w:rPr>
            <w:rStyle w:val="Hyperlink"/>
            <w:rFonts w:ascii="Calibri" w:hAnsi="Calibri" w:cs="Calibri"/>
          </w:rPr>
          <w:t>https://www.ema.europa.eu/en/human-regulatory/research-development/scientific-advice-protocol-assistance</w:t>
        </w:r>
      </w:hyperlink>
      <w:r w:rsidRPr="00761036">
        <w:rPr>
          <w:rFonts w:ascii="Calibri" w:hAnsi="Calibri" w:cs="Calibri"/>
        </w:rPr>
        <w:t>).</w:t>
      </w:r>
    </w:p>
    <w:p w14:paraId="4B2F1DD9" w14:textId="77777777" w:rsidR="008B3A1A" w:rsidRPr="00822AF5" w:rsidRDefault="008B3A1A" w:rsidP="001E456A">
      <w:pPr>
        <w:spacing w:before="120" w:line="360" w:lineRule="auto"/>
        <w:rPr>
          <w:rFonts w:ascii="Calibri" w:hAnsi="Calibri" w:cs="Calibri"/>
          <w:iCs/>
          <w:lang w:val="en-US"/>
        </w:rPr>
      </w:pPr>
    </w:p>
    <w:p w14:paraId="3E7E9ED7" w14:textId="21FB927A" w:rsidR="005836BF" w:rsidRPr="00822AF5" w:rsidRDefault="005836BF" w:rsidP="001E456A">
      <w:pPr>
        <w:pStyle w:val="Heading2"/>
        <w:spacing w:before="120" w:after="120" w:line="360" w:lineRule="auto"/>
        <w:rPr>
          <w:iCs/>
          <w:lang w:val="en-US"/>
        </w:rPr>
      </w:pPr>
      <w:bookmarkStart w:id="7" w:name="_Toc115280140"/>
      <w:r w:rsidRPr="00822AF5">
        <w:t>Part E: Inspection Readiness</w:t>
      </w:r>
      <w:bookmarkEnd w:id="7"/>
    </w:p>
    <w:p w14:paraId="23979AA4" w14:textId="0A66E4D8" w:rsidR="005836BF" w:rsidRPr="00822AF5" w:rsidRDefault="003A0507" w:rsidP="001E456A">
      <w:pPr>
        <w:spacing w:before="120" w:line="360" w:lineRule="auto"/>
      </w:pPr>
      <w:r w:rsidRPr="00822AF5">
        <w:rPr>
          <w:lang w:val="en-US"/>
        </w:rPr>
        <w:t>Here we will</w:t>
      </w:r>
      <w:r w:rsidR="005836BF" w:rsidRPr="00822AF5">
        <w:t xml:space="preserve"> write a summary of the work that a company needs to have ready before the inspection to ensure compliance to GxP. Extract some details from the Week 3 presentation. Important is </w:t>
      </w:r>
      <w:r w:rsidR="008501DA">
        <w:rPr>
          <w:lang w:val="en-US"/>
        </w:rPr>
        <w:t>to</w:t>
      </w:r>
      <w:r w:rsidR="005836BF" w:rsidRPr="00822AF5">
        <w:t xml:space="preserve"> know the points the inspector normally go through during an inspection.</w:t>
      </w:r>
    </w:p>
    <w:p w14:paraId="228C75C4" w14:textId="77777777" w:rsidR="00C32691" w:rsidRDefault="00C32691" w:rsidP="001E456A">
      <w:pPr>
        <w:spacing w:before="120" w:line="360" w:lineRule="auto"/>
      </w:pPr>
    </w:p>
    <w:p w14:paraId="0A143E01" w14:textId="2993B4D1" w:rsidR="005836BF" w:rsidRPr="00822AF5" w:rsidRDefault="005836BF" w:rsidP="001E456A">
      <w:pPr>
        <w:spacing w:before="120" w:line="360" w:lineRule="auto"/>
        <w:rPr>
          <w:lang w:val="en-US"/>
        </w:rPr>
      </w:pPr>
      <w:r w:rsidRPr="00822AF5">
        <w:t>Guidance</w:t>
      </w:r>
      <w:r w:rsidR="003A0507" w:rsidRPr="00822AF5">
        <w:rPr>
          <w:lang w:val="en-US"/>
        </w:rPr>
        <w:t xml:space="preserve"> can be found at</w:t>
      </w:r>
    </w:p>
    <w:p w14:paraId="5E6185C1" w14:textId="14754D92" w:rsidR="00822AF5" w:rsidRDefault="003A0507"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37" w:history="1">
        <w:r w:rsidRPr="00822AF5">
          <w:rPr>
            <w:rStyle w:val="Hyperlink"/>
            <w:rFonts w:ascii="Calibri" w:hAnsi="Calibri" w:cs="Calibri"/>
            <w:sz w:val="24"/>
            <w:szCs w:val="24"/>
          </w:rPr>
          <w:t>https://health.ec.europa.eu/medicinal-products/eudralex/eudralex-volume-10_en</w:t>
        </w:r>
      </w:hyperlink>
      <w:r w:rsidR="00822AF5" w:rsidRPr="00822AF5">
        <w:rPr>
          <w:rFonts w:ascii="Calibri" w:hAnsi="Calibri" w:cs="Calibri"/>
          <w:sz w:val="24"/>
          <w:szCs w:val="24"/>
        </w:rPr>
        <w:t xml:space="preserve">) </w:t>
      </w:r>
      <w:r w:rsidRPr="00822AF5">
        <w:rPr>
          <w:rFonts w:ascii="Calibri" w:hAnsi="Calibri" w:cs="Calibri"/>
          <w:sz w:val="24"/>
          <w:szCs w:val="24"/>
        </w:rPr>
        <w:fldChar w:fldCharType="begin"/>
      </w:r>
      <w:r w:rsidR="00820322">
        <w:rPr>
          <w:rFonts w:ascii="Calibri" w:hAnsi="Calibri" w:cs="Calibri"/>
          <w:sz w:val="24"/>
          <w:szCs w:val="24"/>
        </w:rPr>
        <w:instrText xml:space="preserve"> ADDIN ZOTERO_ITEM CSL_CITATION {"citationID":"yvnaUAgd","properties":{"formattedCitation":"[2]","plainCitation":"[2]","noteIndex":0},"citationItems":[{"id":870,"uris":["http://zotero.org/groups/4760334/items/NQR5PXJZ"],"itemData":{"id":870,"type":"document","title":"EudraLex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820322">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5F75D4F3" w14:textId="473A9E3E" w:rsidR="00822AF5" w:rsidRPr="00C32691" w:rsidRDefault="00822AF5"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rPr>
        <w:t xml:space="preserve">European </w:t>
      </w:r>
      <w:r w:rsidR="009B237F" w:rsidRPr="00822AF5">
        <w:rPr>
          <w:rFonts w:ascii="Calibri" w:hAnsi="Calibri" w:cs="Calibri"/>
          <w:bCs/>
          <w:iCs/>
        </w:rPr>
        <w:t>Commission</w:t>
      </w:r>
      <w:r w:rsidRPr="00822AF5">
        <w:rPr>
          <w:rFonts w:ascii="Calibri" w:hAnsi="Calibri" w:cs="Calibri"/>
          <w:bCs/>
          <w:iCs/>
        </w:rPr>
        <w:t>: Guidance</w:t>
      </w:r>
      <w:r w:rsidRPr="00822AF5">
        <w:rPr>
          <w:rFonts w:ascii="Calibri" w:hAnsi="Calibri" w:cs="Calibri"/>
        </w:rPr>
        <w:t xml:space="preserve"> documents containing the common provisions on the conduct of GCP inspections by competent authorities of the different member states.</w:t>
      </w:r>
      <w:r w:rsidR="009B237F">
        <w:rPr>
          <w:rFonts w:ascii="Calibri" w:hAnsi="Calibri" w:cs="Calibri"/>
        </w:rPr>
        <w:t xml:space="preserve"> </w:t>
      </w:r>
      <w:r w:rsidR="009B237F">
        <w:rPr>
          <w:rFonts w:ascii="Calibri" w:hAnsi="Calibri" w:cs="Calibri"/>
          <w:b/>
          <w:bCs/>
          <w:i/>
          <w:iCs/>
        </w:rPr>
        <w:t>Gu</w:t>
      </w:r>
      <w:r w:rsidRPr="00822AF5">
        <w:rPr>
          <w:rFonts w:ascii="Calibri" w:hAnsi="Calibri" w:cs="Calibri"/>
          <w:b/>
          <w:bCs/>
          <w:i/>
          <w:iCs/>
        </w:rPr>
        <w:t>idance for the conduct of good clinical practice inspections</w:t>
      </w:r>
      <w:r w:rsidR="009B237F">
        <w:rPr>
          <w:rFonts w:ascii="Calibri" w:hAnsi="Calibri" w:cs="Calibri"/>
          <w:b/>
          <w:bCs/>
          <w:i/>
          <w:iCs/>
        </w:rPr>
        <w:t xml:space="preserve"> </w:t>
      </w:r>
      <w:r w:rsidR="009B237F">
        <w:rPr>
          <w:rFonts w:ascii="Calibri" w:hAnsi="Calibri" w:cs="Calibri"/>
        </w:rPr>
        <w:t>(</w:t>
      </w:r>
      <w:hyperlink r:id="rId38" w:history="1">
        <w:r w:rsidR="009B237F" w:rsidRPr="009E7DF7">
          <w:rPr>
            <w:rStyle w:val="Hyperlink"/>
            <w:rFonts w:ascii="Calibri" w:hAnsi="Calibri" w:cs="Calibri"/>
            <w:sz w:val="24"/>
            <w:szCs w:val="24"/>
          </w:rPr>
          <w:t>https://ec.europa.eu/health/sites/health/files/files/eudralex/vol-10/2008_11/vpl10_an5_10-2008_en.pdf</w:t>
        </w:r>
      </w:hyperlink>
      <w:r w:rsidRPr="00822AF5">
        <w:rPr>
          <w:rFonts w:ascii="Calibri" w:hAnsi="Calibri" w:cs="Calibri"/>
        </w:rPr>
        <w:t>)</w:t>
      </w:r>
      <w:r>
        <w:rPr>
          <w:rFonts w:ascii="Calibri" w:hAnsi="Calibri" w:cs="Calibri"/>
        </w:rPr>
        <w:t>.</w:t>
      </w:r>
    </w:p>
    <w:p w14:paraId="07382EFB" w14:textId="0B33B129" w:rsidR="0007227B" w:rsidRDefault="0007227B" w:rsidP="001E456A">
      <w:pPr>
        <w:pStyle w:val="NormalWeb"/>
        <w:spacing w:before="120" w:beforeAutospacing="0" w:after="120" w:afterAutospacing="0" w:line="360" w:lineRule="auto"/>
        <w:rPr>
          <w:rFonts w:ascii="Calibri" w:hAnsi="Calibri" w:cs="Calibri"/>
          <w:lang w:val="en-US"/>
        </w:rPr>
      </w:pPr>
    </w:p>
    <w:p w14:paraId="3C0335F0" w14:textId="4DD958F3" w:rsidR="005C1B7D" w:rsidRPr="005C1B7D" w:rsidRDefault="005C1B7D" w:rsidP="001E456A">
      <w:pPr>
        <w:pStyle w:val="Heading2"/>
        <w:spacing w:before="120" w:after="120" w:line="360" w:lineRule="auto"/>
      </w:pPr>
      <w:bookmarkStart w:id="8" w:name="_Toc115280141"/>
      <w:r w:rsidRPr="005C1B7D">
        <w:t>Overall strategy</w:t>
      </w:r>
      <w:bookmarkEnd w:id="8"/>
    </w:p>
    <w:p w14:paraId="6239018A" w14:textId="77777777" w:rsidR="005C1B7D" w:rsidRPr="005C1B7D" w:rsidRDefault="005C1B7D" w:rsidP="001E456A">
      <w:pPr>
        <w:pStyle w:val="NormalWeb"/>
        <w:spacing w:before="120" w:beforeAutospacing="0" w:after="120" w:afterAutospacing="0" w:line="360" w:lineRule="auto"/>
        <w:rPr>
          <w:rFonts w:ascii="Calibri" w:hAnsi="Calibri" w:cs="Calibri"/>
        </w:rPr>
      </w:pPr>
      <w:r w:rsidRPr="005C1B7D">
        <w:rPr>
          <w:rFonts w:ascii="Calibri" w:hAnsi="Calibri" w:cs="Calibri"/>
        </w:rPr>
        <w:t>Hints – With the above plans on the domains of preclinical, clinical and CMC, how would you accelerate submission process in Germany, with minimum questions from the health authorities and EC/IRB, and obtain rapid HA and EC/IRB approvals?</w:t>
      </w:r>
    </w:p>
    <w:p w14:paraId="3FFD04AB" w14:textId="77777777" w:rsidR="005C1B7D" w:rsidRPr="005C1B7D" w:rsidRDefault="005C1B7D" w:rsidP="001E456A">
      <w:pPr>
        <w:pStyle w:val="NormalWeb"/>
        <w:spacing w:before="120" w:beforeAutospacing="0" w:after="120" w:afterAutospacing="0" w:line="360" w:lineRule="auto"/>
        <w:rPr>
          <w:rFonts w:ascii="Calibri" w:hAnsi="Calibri" w:cs="Calibri"/>
        </w:rPr>
      </w:pPr>
      <w:r w:rsidRPr="005C1B7D">
        <w:rPr>
          <w:rFonts w:ascii="Calibri" w:hAnsi="Calibri" w:cs="Calibri"/>
        </w:rPr>
        <w:t> </w:t>
      </w:r>
    </w:p>
    <w:p w14:paraId="68A8DF6C" w14:textId="26364165" w:rsidR="005C1B7D" w:rsidRPr="005C1B7D" w:rsidRDefault="005C1B7D" w:rsidP="001E456A">
      <w:pPr>
        <w:pStyle w:val="Heading2"/>
        <w:spacing w:before="120" w:after="120" w:line="360" w:lineRule="auto"/>
      </w:pPr>
      <w:bookmarkStart w:id="9" w:name="_Toc115280142"/>
      <w:r w:rsidRPr="005C1B7D">
        <w:t>Advice to Management</w:t>
      </w:r>
      <w:bookmarkEnd w:id="9"/>
    </w:p>
    <w:p w14:paraId="31902121" w14:textId="6230C352" w:rsidR="005C1B7D" w:rsidRPr="00C32691" w:rsidRDefault="005C1B7D" w:rsidP="001E456A">
      <w:pPr>
        <w:pStyle w:val="NormalWeb"/>
        <w:spacing w:before="120" w:beforeAutospacing="0" w:after="120" w:afterAutospacing="0" w:line="360" w:lineRule="auto"/>
        <w:rPr>
          <w:rFonts w:ascii="Calibri" w:hAnsi="Calibri" w:cs="Calibri"/>
          <w:lang w:val="en-US"/>
        </w:rPr>
      </w:pPr>
      <w:r w:rsidRPr="005C1B7D">
        <w:rPr>
          <w:rFonts w:ascii="Calibri" w:hAnsi="Calibri" w:cs="Calibri"/>
        </w:rPr>
        <w:t>Hints – A short cover letter to the management on the Development Plan</w:t>
      </w:r>
      <w:r w:rsidR="00C32691">
        <w:rPr>
          <w:rFonts w:ascii="Calibri" w:hAnsi="Calibri" w:cs="Calibri"/>
          <w:lang w:val="en-US"/>
        </w:rPr>
        <w:t>.</w:t>
      </w:r>
    </w:p>
    <w:p w14:paraId="3F927E2B" w14:textId="77777777" w:rsidR="00C32691" w:rsidRPr="005C1B7D" w:rsidRDefault="00C32691" w:rsidP="001E456A">
      <w:pPr>
        <w:pStyle w:val="NormalWeb"/>
        <w:spacing w:before="120" w:beforeAutospacing="0" w:after="120" w:afterAutospacing="0" w:line="360" w:lineRule="auto"/>
        <w:rPr>
          <w:rFonts w:ascii="Calibri" w:hAnsi="Calibri" w:cs="Calibri"/>
        </w:rPr>
      </w:pPr>
    </w:p>
    <w:p w14:paraId="0153C23D" w14:textId="0A77957D" w:rsidR="005C1B7D" w:rsidRPr="005C1B7D" w:rsidRDefault="005C1B7D" w:rsidP="001E456A">
      <w:pPr>
        <w:pStyle w:val="Heading2"/>
        <w:spacing w:before="120" w:after="120" w:line="360" w:lineRule="auto"/>
      </w:pPr>
      <w:bookmarkStart w:id="10" w:name="_Toc115280143"/>
      <w:r w:rsidRPr="005C1B7D">
        <w:t>Conclusion</w:t>
      </w:r>
      <w:bookmarkEnd w:id="10"/>
    </w:p>
    <w:p w14:paraId="59202C56" w14:textId="0FF143D3" w:rsidR="005C1B7D" w:rsidRDefault="005C1B7D" w:rsidP="001E456A">
      <w:pPr>
        <w:pStyle w:val="NormalWeb"/>
        <w:spacing w:before="120" w:beforeAutospacing="0" w:after="120" w:afterAutospacing="0" w:line="360" w:lineRule="auto"/>
        <w:rPr>
          <w:rFonts w:ascii="Calibri" w:hAnsi="Calibri" w:cs="Calibri"/>
        </w:rPr>
      </w:pPr>
      <w:r w:rsidRPr="005C1B7D">
        <w:rPr>
          <w:rFonts w:ascii="Calibri" w:hAnsi="Calibri" w:cs="Calibri"/>
        </w:rPr>
        <w:t>Hints – A very short (two paragraphs) on why you think the regulatory strategy is well thought through and has the maximum chance of success.</w:t>
      </w:r>
    </w:p>
    <w:p w14:paraId="35C39ECA" w14:textId="2CAF7A82" w:rsidR="00820322" w:rsidRDefault="00820322" w:rsidP="001E456A">
      <w:pPr>
        <w:pStyle w:val="NormalWeb"/>
        <w:spacing w:before="120" w:beforeAutospacing="0" w:after="120" w:afterAutospacing="0" w:line="360" w:lineRule="auto"/>
        <w:rPr>
          <w:rFonts w:ascii="Calibri" w:hAnsi="Calibri" w:cs="Calibri"/>
        </w:rPr>
      </w:pPr>
    </w:p>
    <w:p w14:paraId="62FB9FDF" w14:textId="3C2A539F" w:rsidR="00820322" w:rsidRPr="00820322" w:rsidRDefault="00820322" w:rsidP="007E1686">
      <w:pPr>
        <w:pStyle w:val="Heading1"/>
        <w:rPr>
          <w:lang w:val="en-US"/>
        </w:rPr>
      </w:pPr>
      <w:bookmarkStart w:id="11" w:name="_Toc115280144"/>
      <w:r>
        <w:rPr>
          <w:lang w:val="en-US"/>
        </w:rPr>
        <w:t>Supplemental</w:t>
      </w:r>
      <w:bookmarkEnd w:id="11"/>
    </w:p>
    <w:p w14:paraId="12EB1834" w14:textId="4AF723A7" w:rsidR="00820322" w:rsidRDefault="00820322" w:rsidP="00820322">
      <w:pPr>
        <w:pStyle w:val="Heading2"/>
        <w:spacing w:before="120" w:after="120" w:line="360" w:lineRule="auto"/>
        <w:rPr>
          <w:lang w:val="en-US"/>
        </w:rPr>
      </w:pPr>
      <w:bookmarkStart w:id="12" w:name="_Toc115280145"/>
      <w:r>
        <w:rPr>
          <w:lang w:val="en-US"/>
        </w:rPr>
        <w:t>Introduction</w:t>
      </w:r>
      <w:bookmarkEnd w:id="12"/>
      <w:r w:rsidR="00660E67">
        <w:rPr>
          <w:lang w:val="en-US"/>
        </w:rPr>
        <w:t xml:space="preserve"> on therapeutic </w:t>
      </w:r>
      <w:proofErr w:type="spellStart"/>
      <w:r w:rsidR="00660E67">
        <w:rPr>
          <w:lang w:val="en-US"/>
        </w:rPr>
        <w:t>mAb</w:t>
      </w:r>
      <w:proofErr w:type="spellEnd"/>
    </w:p>
    <w:p w14:paraId="600C2C53" w14:textId="6DB800B2"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Monoclonal antibodies (</w:t>
      </w:r>
      <w:proofErr w:type="spellStart"/>
      <w:r>
        <w:rPr>
          <w:rFonts w:ascii="Calibri" w:hAnsi="Calibri" w:cs="Calibri"/>
          <w:lang w:val="en-US"/>
        </w:rPr>
        <w:t>mAb</w:t>
      </w:r>
      <w:proofErr w:type="spellEnd"/>
      <w:r>
        <w:rPr>
          <w:rFonts w:ascii="Calibri" w:hAnsi="Calibri" w:cs="Calibri"/>
          <w:lang w:val="en-US"/>
        </w:rPr>
        <w:t xml:space="preserve">) are well established as cancer therapies. As early as 1890, the neutralizing effect on </w:t>
      </w:r>
      <w:r w:rsidRPr="00C724F4">
        <w:rPr>
          <w:rFonts w:ascii="Calibri" w:hAnsi="Calibri" w:cs="Calibri"/>
          <w:lang w:val="en-US"/>
        </w:rPr>
        <w:t>diphtheria</w:t>
      </w:r>
      <w:r>
        <w:rPr>
          <w:rFonts w:ascii="Calibri" w:hAnsi="Calibri" w:cs="Calibri"/>
          <w:lang w:val="en-US"/>
        </w:rPr>
        <w:t xml:space="preserve"> was known </w:t>
      </w:r>
      <w:r>
        <w:rPr>
          <w:rFonts w:ascii="Calibri" w:hAnsi="Calibri" w:cs="Calibri"/>
          <w:lang w:val="en-US"/>
        </w:rPr>
        <w:fldChar w:fldCharType="begin"/>
      </w:r>
      <w:r>
        <w:rPr>
          <w:rFonts w:ascii="Calibri" w:hAnsi="Calibri" w:cs="Calibri"/>
          <w:lang w:val="en-US"/>
        </w:rPr>
        <w:instrText xml:space="preserve"> ADDIN ZOTERO_ITEM CSL_CITATION {"citationID":"by5z454O","properties":{"formattedCitation":"[9]","plainCitation":"[9]","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[9]</w:t>
      </w:r>
      <w:r>
        <w:rPr>
          <w:rFonts w:ascii="Calibri" w:hAnsi="Calibri" w:cs="Calibri"/>
          <w:lang w:val="en-US"/>
        </w:rPr>
        <w:fldChar w:fldCharType="end"/>
      </w:r>
      <w:r>
        <w:rPr>
          <w:rFonts w:ascii="Calibri" w:hAnsi="Calibri" w:cs="Calibri"/>
          <w:lang w:val="en-US"/>
        </w:rPr>
        <w:t xml:space="preserve">. In 1980, </w:t>
      </w:r>
      <w:r w:rsidRPr="00C724F4">
        <w:rPr>
          <w:rFonts w:ascii="Calibri" w:hAnsi="Calibri" w:cs="Calibri"/>
          <w:lang w:val="en-US"/>
        </w:rPr>
        <w:t>human trial</w:t>
      </w:r>
      <w:r>
        <w:rPr>
          <w:rFonts w:ascii="Calibri" w:hAnsi="Calibri" w:cs="Calibri"/>
          <w:lang w:val="en-US"/>
        </w:rPr>
        <w:t>s</w:t>
      </w:r>
      <w:r w:rsidRPr="00C724F4">
        <w:rPr>
          <w:rFonts w:ascii="Calibri" w:hAnsi="Calibri" w:cs="Calibri"/>
          <w:lang w:val="en-US"/>
        </w:rPr>
        <w:t xml:space="preserve"> of </w:t>
      </w:r>
      <w:proofErr w:type="spellStart"/>
      <w:r w:rsidRPr="00C724F4">
        <w:rPr>
          <w:rFonts w:ascii="Calibri" w:hAnsi="Calibri" w:cs="Calibri"/>
          <w:lang w:val="en-US"/>
        </w:rPr>
        <w:t>mAb</w:t>
      </w:r>
      <w:proofErr w:type="spellEnd"/>
      <w:r w:rsidRPr="00C724F4">
        <w:rPr>
          <w:rFonts w:ascii="Calibri" w:hAnsi="Calibri" w:cs="Calibri"/>
          <w:lang w:val="en-US"/>
        </w:rPr>
        <w:t xml:space="preserve"> therapy </w:t>
      </w:r>
      <w:r>
        <w:rPr>
          <w:rFonts w:ascii="Calibri" w:hAnsi="Calibri" w:cs="Calibri"/>
          <w:lang w:val="en-US"/>
        </w:rPr>
        <w:t>for the treatment of</w:t>
      </w:r>
      <w:r w:rsidRPr="00C724F4">
        <w:rPr>
          <w:rFonts w:ascii="Calibri" w:hAnsi="Calibri" w:cs="Calibri"/>
          <w:lang w:val="en-US"/>
        </w:rPr>
        <w:t xml:space="preserve"> lymphoma </w:t>
      </w:r>
      <w:r>
        <w:rPr>
          <w:rFonts w:ascii="Calibri" w:hAnsi="Calibri" w:cs="Calibri"/>
          <w:lang w:val="en-US"/>
        </w:rPr>
        <w:t xml:space="preserve">were performed and with the advent of </w:t>
      </w:r>
      <w:r w:rsidRPr="00C724F4">
        <w:rPr>
          <w:rFonts w:ascii="Calibri" w:hAnsi="Calibri" w:cs="Calibri"/>
          <w:lang w:val="en-US"/>
        </w:rPr>
        <w:t>antibod</w:t>
      </w:r>
      <w:r>
        <w:rPr>
          <w:rFonts w:ascii="Calibri" w:hAnsi="Calibri" w:cs="Calibri"/>
          <w:lang w:val="en-US"/>
        </w:rPr>
        <w:t xml:space="preserve">y </w:t>
      </w:r>
      <w:r w:rsidRPr="00C724F4">
        <w:rPr>
          <w:rFonts w:ascii="Calibri" w:hAnsi="Calibri" w:cs="Calibri"/>
          <w:lang w:val="en-US"/>
        </w:rPr>
        <w:t>humani</w:t>
      </w:r>
      <w:r>
        <w:rPr>
          <w:rFonts w:ascii="Calibri" w:hAnsi="Calibri" w:cs="Calibri"/>
          <w:lang w:val="en-US"/>
        </w:rPr>
        <w:t xml:space="preserve">zation later that decade, this treatment strategy became a powerful tool for precision medicine </w:t>
      </w:r>
      <w:r>
        <w:rPr>
          <w:rFonts w:ascii="Calibri" w:hAnsi="Calibri" w:cs="Calibri"/>
          <w:lang w:val="en-US"/>
        </w:rPr>
        <w:fldChar w:fldCharType="begin"/>
      </w:r>
      <w:r>
        <w:rPr>
          <w:rFonts w:ascii="Calibri" w:hAnsi="Calibri" w:cs="Calibri"/>
          <w:lang w:val="en-US"/>
        </w:rPr>
        <w:instrText xml:space="preserve"> ADDIN ZOTERO_ITEM CSL_CITATION {"citationID":"PU969LiO","properties":{"formattedCitation":"[9]","plainCitation":"[9]","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[9]</w:t>
      </w:r>
      <w:r>
        <w:rPr>
          <w:rFonts w:ascii="Calibri" w:hAnsi="Calibri" w:cs="Calibri"/>
          <w:lang w:val="en-US"/>
        </w:rPr>
        <w:fldChar w:fldCharType="end"/>
      </w:r>
      <w:r>
        <w:rPr>
          <w:rFonts w:ascii="Calibri" w:hAnsi="Calibri" w:cs="Calibri"/>
          <w:lang w:val="en-US"/>
        </w:rPr>
        <w:t xml:space="preserve">. </w:t>
      </w:r>
    </w:p>
    <w:p w14:paraId="4E0D5726"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70D53554" w14:textId="59443638" w:rsidR="00820322" w:rsidRDefault="00820322" w:rsidP="00820322">
      <w:pPr>
        <w:pStyle w:val="NormalWeb"/>
        <w:spacing w:before="120" w:beforeAutospacing="0" w:after="120" w:afterAutospacing="0" w:line="360" w:lineRule="auto"/>
        <w:rPr>
          <w:rFonts w:ascii="Calibri" w:eastAsia="Calibri" w:hAnsi="Calibri" w:cs="Calibri"/>
          <w:color w:val="000000"/>
          <w:lang w:val="en-US"/>
        </w:rPr>
      </w:pPr>
      <w:r w:rsidRPr="007A7490">
        <w:rPr>
          <w:rFonts w:ascii="Calibri" w:hAnsi="Calibri" w:cs="Calibri"/>
          <w:lang w:val="en-US"/>
        </w:rPr>
        <w:lastRenderedPageBreak/>
        <w:t xml:space="preserve">The advent and rise of </w:t>
      </w:r>
      <w:r>
        <w:rPr>
          <w:rFonts w:ascii="Calibri" w:hAnsi="Calibri" w:cs="Calibri"/>
          <w:lang w:val="en-US"/>
        </w:rPr>
        <w:t>mAb</w:t>
      </w:r>
      <w:r w:rsidRPr="007A7490">
        <w:rPr>
          <w:rFonts w:ascii="Calibri" w:hAnsi="Calibri" w:cs="Calibri"/>
          <w:lang w:val="en-US"/>
        </w:rPr>
        <w:t xml:space="preserve"> is a triumph </w:t>
      </w:r>
      <w:r>
        <w:rPr>
          <w:rFonts w:ascii="Calibri" w:hAnsi="Calibri" w:cs="Calibri"/>
          <w:lang w:val="en-US"/>
        </w:rPr>
        <w:t>for</w:t>
      </w:r>
      <w:r w:rsidRPr="007A7490">
        <w:rPr>
          <w:rFonts w:ascii="Calibri" w:hAnsi="Calibri" w:cs="Calibri"/>
          <w:lang w:val="en-US"/>
        </w:rPr>
        <w:t xml:space="preserve"> clinical medicine. </w:t>
      </w:r>
      <w:r>
        <w:rPr>
          <w:rFonts w:ascii="Calibri" w:hAnsi="Calibri" w:cs="Calibri"/>
          <w:lang w:val="en-US"/>
        </w:rPr>
        <w:t xml:space="preserve">Since the beginning of their modern understanding, the applications for </w:t>
      </w:r>
      <w:proofErr w:type="spellStart"/>
      <w:r>
        <w:rPr>
          <w:rFonts w:ascii="Calibri" w:hAnsi="Calibri" w:cs="Calibri"/>
          <w:lang w:val="en-US"/>
        </w:rPr>
        <w:t>mAb</w:t>
      </w:r>
      <w:proofErr w:type="spellEnd"/>
      <w:r>
        <w:rPr>
          <w:rFonts w:ascii="Calibri" w:hAnsi="Calibri" w:cs="Calibri"/>
          <w:lang w:val="en-US"/>
        </w:rPr>
        <w:t xml:space="preserve"> have been recognized; </w:t>
      </w:r>
      <w:r w:rsidRPr="007A7490">
        <w:rPr>
          <w:rFonts w:ascii="Calibri" w:hAnsi="Calibri" w:cs="Calibri"/>
          <w:lang w:val="en-US"/>
        </w:rPr>
        <w:t>“</w:t>
      </w:r>
      <w:r>
        <w:rPr>
          <w:rFonts w:ascii="Calibri" w:eastAsia="Calibri" w:hAnsi="Calibri" w:cs="Calibri"/>
          <w:color w:val="000000"/>
          <w:lang w:val="en-US"/>
        </w:rPr>
        <w:t>a</w:t>
      </w:r>
      <w:r w:rsidRPr="007A7490">
        <w:rPr>
          <w:rFonts w:ascii="Calibri" w:eastAsia="Calibri" w:hAnsi="Calibri" w:cs="Calibri"/>
          <w:color w:val="000000"/>
          <w:lang w:val="en-US"/>
        </w:rPr>
        <w:t xml:space="preserve"> 1975 Nature paper reported how cell lines could be made that produce an antibody of known specificity” </w:t>
      </w:r>
      <w:r w:rsidRPr="007A7490">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{"citationID":"8TxQ6EfX","properties":{"formattedCitation":"[10]","plainCitation":"[10]","noteIndex":0},"citationItems":[{"id":861,"uris":["http://zotero.org/groups/4760334/items/NJSCJNSR"],"itemData":{"id":861,"type":"book","publisher":"Nature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7A7490">
        <w:rPr>
          <w:rFonts w:ascii="Calibri" w:eastAsia="Calibri" w:hAnsi="Calibri" w:cs="Calibri"/>
          <w:color w:val="000000"/>
          <w:lang w:val="en-US"/>
        </w:rPr>
        <w:fldChar w:fldCharType="separate"/>
      </w:r>
      <w:r>
        <w:rPr>
          <w:rFonts w:ascii="Calibri" w:eastAsia="Calibri" w:hAnsi="Calibri" w:cs="Calibri"/>
          <w:noProof/>
          <w:color w:val="000000"/>
          <w:lang w:val="en-US"/>
        </w:rPr>
        <w:t>[10]</w:t>
      </w:r>
      <w:r w:rsidRPr="007A7490">
        <w:rPr>
          <w:rFonts w:ascii="Calibri" w:eastAsia="Calibri" w:hAnsi="Calibri" w:cs="Calibri"/>
          <w:color w:val="000000"/>
          <w:lang w:val="en-US"/>
        </w:rPr>
        <w:fldChar w:fldCharType="end"/>
      </w:r>
      <w:r>
        <w:rPr>
          <w:rFonts w:ascii="Calibri" w:eastAsia="Calibri" w:hAnsi="Calibri" w:cs="Calibri"/>
          <w:color w:val="000000"/>
          <w:lang w:val="en-US"/>
        </w:rPr>
        <w:t xml:space="preserve">. While these early days of antibody production - relying on </w:t>
      </w:r>
      <w:r w:rsidRPr="007A7490">
        <w:rPr>
          <w:rFonts w:ascii="Calibri" w:eastAsia="Calibri" w:hAnsi="Calibri" w:cs="Calibri"/>
          <w:color w:val="000000"/>
          <w:lang w:val="en-US"/>
        </w:rPr>
        <w:t>hybridoma technology</w:t>
      </w:r>
      <w:r>
        <w:rPr>
          <w:rFonts w:ascii="Calibri" w:eastAsia="Calibri" w:hAnsi="Calibri" w:cs="Calibri"/>
          <w:color w:val="000000"/>
          <w:lang w:val="en-US"/>
        </w:rPr>
        <w:t xml:space="preserve"> - were challenging, today </w:t>
      </w:r>
      <w:proofErr w:type="spellStart"/>
      <w:r>
        <w:rPr>
          <w:rFonts w:ascii="Calibri" w:eastAsia="Calibri" w:hAnsi="Calibri" w:cs="Calibri"/>
          <w:color w:val="000000"/>
          <w:lang w:val="en-US"/>
        </w:rPr>
        <w:t>mAb</w:t>
      </w:r>
      <w:proofErr w:type="spellEnd"/>
      <w:r>
        <w:rPr>
          <w:rFonts w:ascii="Calibri" w:eastAsia="Calibri" w:hAnsi="Calibri" w:cs="Calibri"/>
          <w:color w:val="000000"/>
          <w:lang w:val="en-US"/>
        </w:rPr>
        <w:t xml:space="preserve"> are often produced by</w:t>
      </w:r>
      <w:r w:rsidRPr="007A7490">
        <w:rPr>
          <w:rFonts w:ascii="Calibri" w:eastAsia="Calibri" w:hAnsi="Calibri" w:cs="Calibri"/>
          <w:color w:val="000000"/>
          <w:lang w:val="en-US"/>
        </w:rPr>
        <w:t xml:space="preserve"> isolati</w:t>
      </w:r>
      <w:r>
        <w:rPr>
          <w:rFonts w:ascii="Calibri" w:eastAsia="Calibri" w:hAnsi="Calibri" w:cs="Calibri"/>
          <w:color w:val="000000"/>
          <w:lang w:val="en-US"/>
        </w:rPr>
        <w:t>on</w:t>
      </w:r>
      <w:r w:rsidRPr="007A7490">
        <w:rPr>
          <w:rFonts w:ascii="Calibri" w:eastAsia="Calibri" w:hAnsi="Calibri" w:cs="Calibri"/>
          <w:color w:val="000000"/>
          <w:lang w:val="en-US"/>
        </w:rPr>
        <w:t xml:space="preserve"> or transform</w:t>
      </w:r>
      <w:r>
        <w:rPr>
          <w:rFonts w:ascii="Calibri" w:eastAsia="Calibri" w:hAnsi="Calibri" w:cs="Calibri"/>
          <w:color w:val="000000"/>
          <w:lang w:val="en-US"/>
        </w:rPr>
        <w:t>ation of Ab-</w:t>
      </w:r>
      <w:r w:rsidRPr="007A7490">
        <w:rPr>
          <w:rFonts w:ascii="Calibri" w:eastAsia="Calibri" w:hAnsi="Calibri" w:cs="Calibri"/>
          <w:color w:val="000000"/>
          <w:lang w:val="en-US"/>
        </w:rPr>
        <w:t xml:space="preserve">producing cells taken directly from immunized animals or </w:t>
      </w:r>
      <w:r>
        <w:rPr>
          <w:rFonts w:ascii="Calibri" w:eastAsia="Calibri" w:hAnsi="Calibri" w:cs="Calibri"/>
          <w:color w:val="000000"/>
          <w:lang w:val="en-US"/>
        </w:rPr>
        <w:t xml:space="preserve">humans. The </w:t>
      </w:r>
      <w:r w:rsidRPr="00455819">
        <w:rPr>
          <w:rFonts w:ascii="Calibri" w:eastAsia="Calibri" w:hAnsi="Calibri" w:cs="Calibri"/>
          <w:color w:val="000000"/>
          <w:lang w:val="en-US"/>
        </w:rPr>
        <w:t xml:space="preserve">immunoglobulin </w:t>
      </w:r>
      <w:r>
        <w:rPr>
          <w:rFonts w:ascii="Calibri" w:eastAsia="Calibri" w:hAnsi="Calibri" w:cs="Calibri"/>
          <w:color w:val="000000"/>
          <w:lang w:val="en-US"/>
        </w:rPr>
        <w:t xml:space="preserve">genes responsible for the Ab of interest are subsequently transplanted into cell lines </w:t>
      </w:r>
      <w:r>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{"citationID":"zQFw42CO","properties":{"formattedCitation":"[10]","plainCitation":"[10]","noteIndex":0},"citationItems":[{"id":861,"uris":["http://zotero.org/groups/4760334/items/NJSCJNSR"],"itemData":{"id":861,"type":"book","publisher":"Nature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Pr>
          <w:rFonts w:ascii="Calibri" w:eastAsia="Calibri" w:hAnsi="Calibri" w:cs="Calibri"/>
          <w:color w:val="000000"/>
          <w:lang w:val="en-US"/>
        </w:rPr>
        <w:fldChar w:fldCharType="separate"/>
      </w:r>
      <w:r>
        <w:rPr>
          <w:rFonts w:ascii="Calibri" w:eastAsia="Calibri" w:hAnsi="Calibri" w:cs="Calibri"/>
          <w:noProof/>
          <w:color w:val="000000"/>
          <w:lang w:val="en-US"/>
        </w:rPr>
        <w:t>[10]</w:t>
      </w:r>
      <w:r>
        <w:rPr>
          <w:rFonts w:ascii="Calibri" w:eastAsia="Calibri" w:hAnsi="Calibri" w:cs="Calibri"/>
          <w:color w:val="000000"/>
          <w:lang w:val="en-US"/>
        </w:rPr>
        <w:fldChar w:fldCharType="end"/>
      </w:r>
      <w:r>
        <w:rPr>
          <w:rFonts w:ascii="Calibri" w:eastAsia="Calibri" w:hAnsi="Calibri" w:cs="Calibri"/>
          <w:color w:val="000000"/>
          <w:lang w:val="en-US"/>
        </w:rPr>
        <w:t>.</w:t>
      </w:r>
    </w:p>
    <w:p w14:paraId="3E6BC044" w14:textId="77777777" w:rsidR="00820322" w:rsidRPr="001C68E0" w:rsidRDefault="00820322" w:rsidP="00820322">
      <w:pPr>
        <w:pStyle w:val="NormalWeb"/>
        <w:spacing w:before="120" w:beforeAutospacing="0" w:after="120" w:afterAutospacing="0" w:line="360" w:lineRule="auto"/>
        <w:rPr>
          <w:rFonts w:ascii="Calibri" w:hAnsi="Calibri" w:cs="Calibri"/>
          <w:lang w:val="en-US"/>
        </w:rPr>
      </w:pPr>
    </w:p>
    <w:p w14:paraId="46BBC825" w14:textId="28E0EE18"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Recently (2021), the FDA approved the 100</w:t>
      </w:r>
      <w:r w:rsidRPr="007A7490">
        <w:rPr>
          <w:rFonts w:ascii="Calibri" w:hAnsi="Calibri" w:cs="Calibri"/>
          <w:vertAlign w:val="superscript"/>
          <w:lang w:val="en-US"/>
        </w:rPr>
        <w:t>th</w:t>
      </w:r>
      <w:r>
        <w:rPr>
          <w:rFonts w:ascii="Calibri" w:hAnsi="Calibri" w:cs="Calibri"/>
          <w:lang w:val="en-US"/>
        </w:rPr>
        <w:t xml:space="preserve"> </w:t>
      </w:r>
      <w:proofErr w:type="spellStart"/>
      <w:r>
        <w:rPr>
          <w:rFonts w:ascii="Calibri" w:hAnsi="Calibri" w:cs="Calibri"/>
          <w:lang w:val="en-US"/>
        </w:rPr>
        <w:t>mAb</w:t>
      </w:r>
      <w:proofErr w:type="spellEnd"/>
      <w:r>
        <w:rPr>
          <w:rFonts w:ascii="Calibri" w:hAnsi="Calibri" w:cs="Calibri"/>
          <w:lang w:val="en-US"/>
        </w:rPr>
        <w:t xml:space="preserve"> product </w:t>
      </w:r>
      <w:r>
        <w:rPr>
          <w:rFonts w:ascii="Calibri" w:hAnsi="Calibri" w:cs="Calibri"/>
          <w:lang w:val="en-US"/>
        </w:rPr>
        <w:fldChar w:fldCharType="begin"/>
      </w:r>
      <w:r>
        <w:rPr>
          <w:rFonts w:ascii="Calibri" w:hAnsi="Calibri" w:cs="Calibri"/>
          <w:lang w:val="en-US"/>
        </w:rPr>
        <w:instrText xml:space="preserve"> ADDIN ZOTERO_ITEM CSL_CITATION {"citationID":"VE4ggX3I","properties":{"formattedCitation":"[11]","plainCitation":"[11]","noteIndex":0},"citationItems":[{"id":860,"uris":["http://zotero.org/groups/4760334/items/4HPTIV3Z"],"itemData":{"id":860,"type":"article-journal","container-title":"Nature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 The timeline starts in 1986 with the majority of products consisting of c</w:t>
      </w:r>
      <w:r w:rsidRPr="007A7490">
        <w:rPr>
          <w:rFonts w:ascii="Calibri" w:hAnsi="Calibri" w:cs="Calibri"/>
          <w:lang w:val="en-US"/>
        </w:rPr>
        <w:t>anonical antibod</w:t>
      </w:r>
      <w:r>
        <w:rPr>
          <w:rFonts w:ascii="Calibri" w:hAnsi="Calibri" w:cs="Calibri"/>
          <w:lang w:val="en-US"/>
        </w:rPr>
        <w:t>ies, and a small number of alternative constructs including</w:t>
      </w:r>
      <w:r w:rsidRPr="007A7490">
        <w:rPr>
          <w:rFonts w:ascii="Calibri" w:hAnsi="Calibri" w:cs="Calibri"/>
          <w:lang w:val="en-US"/>
        </w:rPr>
        <w:t xml:space="preserve"> </w:t>
      </w:r>
      <w:r>
        <w:rPr>
          <w:rFonts w:ascii="Calibri" w:hAnsi="Calibri" w:cs="Calibri"/>
          <w:lang w:val="en-US"/>
        </w:rPr>
        <w:t>a</w:t>
      </w:r>
      <w:r w:rsidRPr="007A7490">
        <w:rPr>
          <w:rFonts w:ascii="Calibri" w:hAnsi="Calibri" w:cs="Calibri"/>
          <w:lang w:val="en-US"/>
        </w:rPr>
        <w:t>ntibody–drug conjugate</w:t>
      </w:r>
      <w:r>
        <w:rPr>
          <w:rFonts w:ascii="Calibri" w:hAnsi="Calibri" w:cs="Calibri"/>
          <w:lang w:val="en-US"/>
        </w:rPr>
        <w:t>s,</w:t>
      </w:r>
      <w:r w:rsidRPr="007A7490">
        <w:rPr>
          <w:rFonts w:ascii="Calibri" w:hAnsi="Calibri" w:cs="Calibri"/>
          <w:lang w:val="en-US"/>
        </w:rPr>
        <w:t xml:space="preserve"> </w:t>
      </w:r>
      <w:r>
        <w:rPr>
          <w:rFonts w:ascii="Calibri" w:hAnsi="Calibri" w:cs="Calibri"/>
          <w:lang w:val="en-US"/>
        </w:rPr>
        <w:t>b</w:t>
      </w:r>
      <w:r w:rsidRPr="007A7490">
        <w:rPr>
          <w:rFonts w:ascii="Calibri" w:hAnsi="Calibri" w:cs="Calibri"/>
          <w:lang w:val="en-US"/>
        </w:rPr>
        <w:t>ispecific</w:t>
      </w:r>
      <w:r>
        <w:rPr>
          <w:rFonts w:ascii="Calibri" w:hAnsi="Calibri" w:cs="Calibri"/>
          <w:lang w:val="en-US"/>
        </w:rPr>
        <w:t xml:space="preserve"> Abs, f</w:t>
      </w:r>
      <w:r w:rsidRPr="007A7490">
        <w:rPr>
          <w:rFonts w:ascii="Calibri" w:hAnsi="Calibri" w:cs="Calibri"/>
          <w:lang w:val="en-US"/>
        </w:rPr>
        <w:t>ragment</w:t>
      </w:r>
      <w:r>
        <w:rPr>
          <w:rFonts w:ascii="Calibri" w:hAnsi="Calibri" w:cs="Calibri"/>
          <w:lang w:val="en-US"/>
        </w:rPr>
        <w:t xml:space="preserve"> Abs, and others. While a high potential exists, the hurdles for biological drug approvals limit the number of products available thus far. “</w:t>
      </w:r>
      <w:r w:rsidRPr="007A7490">
        <w:rPr>
          <w:rFonts w:ascii="Calibri" w:hAnsi="Calibri" w:cs="Calibri"/>
          <w:lang w:val="en-US"/>
        </w:rPr>
        <w:t>Just ten targets</w:t>
      </w:r>
      <w:r>
        <w:rPr>
          <w:rFonts w:ascii="Calibri" w:hAnsi="Calibri" w:cs="Calibri"/>
          <w:lang w:val="en-US"/>
        </w:rPr>
        <w:t>…</w:t>
      </w:r>
      <w:r w:rsidRPr="007A7490">
        <w:rPr>
          <w:rFonts w:ascii="Calibri" w:hAnsi="Calibri" w:cs="Calibri"/>
          <w:lang w:val="en-US"/>
        </w:rPr>
        <w:t xml:space="preserve"> account for 42% of the approvals to date</w:t>
      </w:r>
      <w:r>
        <w:rPr>
          <w:rFonts w:ascii="Calibri" w:hAnsi="Calibri" w:cs="Calibri"/>
          <w:lang w:val="en-US"/>
        </w:rPr>
        <w:t xml:space="preserve">”: </w:t>
      </w:r>
      <w:r w:rsidRPr="007A7490">
        <w:rPr>
          <w:rFonts w:ascii="Calibri" w:hAnsi="Calibri" w:cs="Calibri"/>
          <w:lang w:val="en-US"/>
        </w:rPr>
        <w:t xml:space="preserve">PD1/PDL1, CD20, TNF, HER2, CGRP/CGRPR, VEGF/VEGFR, IL-6/IL-6R, IL-23 p19, EGFR, </w:t>
      </w:r>
      <w:r>
        <w:rPr>
          <w:rFonts w:ascii="Calibri" w:hAnsi="Calibri" w:cs="Calibri"/>
          <w:lang w:val="en-US"/>
        </w:rPr>
        <w:t xml:space="preserve">and </w:t>
      </w:r>
      <w:r w:rsidRPr="007A7490">
        <w:rPr>
          <w:rFonts w:ascii="Calibri" w:hAnsi="Calibri" w:cs="Calibri"/>
          <w:lang w:val="en-US"/>
        </w:rPr>
        <w:t>CD19</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{"citationID":"eA5WLgif","properties":{"formattedCitation":"[11]","plainCitation":"[11]","noteIndex":0},"citationItems":[{"id":860,"uris":["http://zotero.org/groups/4760334/items/4HPTIV3Z"],"itemData":{"id":860,"type":"article-journal","container-title":"Nature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 xml:space="preserve">. </w:t>
      </w:r>
    </w:p>
    <w:p w14:paraId="2CFA0C4F"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0FB6F683" w14:textId="4A0AA210"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The p</w:t>
      </w:r>
      <w:r w:rsidRPr="00C724F4">
        <w:rPr>
          <w:rFonts w:ascii="Calibri" w:hAnsi="Calibri" w:cs="Calibri"/>
          <w:lang w:val="en-US"/>
        </w:rPr>
        <w:t>harmacokinetics</w:t>
      </w:r>
      <w:r>
        <w:rPr>
          <w:rFonts w:ascii="Calibri" w:hAnsi="Calibri" w:cs="Calibri"/>
          <w:lang w:val="en-US"/>
        </w:rPr>
        <w:t xml:space="preserve"> (PK)</w:t>
      </w:r>
      <w:r w:rsidRPr="00C724F4">
        <w:rPr>
          <w:rFonts w:ascii="Calibri" w:hAnsi="Calibri" w:cs="Calibri"/>
          <w:lang w:val="en-US"/>
        </w:rPr>
        <w:t xml:space="preserve"> of </w:t>
      </w:r>
      <w:r>
        <w:rPr>
          <w:rFonts w:ascii="Calibri" w:hAnsi="Calibri" w:cs="Calibri"/>
          <w:lang w:val="en-US"/>
        </w:rPr>
        <w:t>m</w:t>
      </w:r>
      <w:r w:rsidRPr="00C724F4">
        <w:rPr>
          <w:rFonts w:ascii="Calibri" w:hAnsi="Calibri" w:cs="Calibri"/>
          <w:lang w:val="en-US"/>
        </w:rPr>
        <w:t xml:space="preserve">onoclonal </w:t>
      </w:r>
      <w:r>
        <w:rPr>
          <w:rFonts w:ascii="Calibri" w:hAnsi="Calibri" w:cs="Calibri"/>
          <w:lang w:val="en-US"/>
        </w:rPr>
        <w:t>a</w:t>
      </w:r>
      <w:r w:rsidRPr="00C724F4">
        <w:rPr>
          <w:rFonts w:ascii="Calibri" w:hAnsi="Calibri" w:cs="Calibri"/>
          <w:lang w:val="en-US"/>
        </w:rPr>
        <w:t>ntibodies</w:t>
      </w:r>
      <w:r>
        <w:rPr>
          <w:rFonts w:ascii="Calibri" w:hAnsi="Calibri" w:cs="Calibri"/>
          <w:lang w:val="en-US"/>
        </w:rPr>
        <w:t xml:space="preserve"> is generally well understood. The</w:t>
      </w:r>
      <w:r w:rsidRPr="00C724F4">
        <w:rPr>
          <w:rFonts w:ascii="Calibri" w:hAnsi="Calibri" w:cs="Calibri"/>
          <w:lang w:val="en-US"/>
        </w:rPr>
        <w:t xml:space="preserve"> major drug disposition processes relevant for </w:t>
      </w:r>
      <w:proofErr w:type="spellStart"/>
      <w:r w:rsidRPr="00C724F4">
        <w:rPr>
          <w:rFonts w:ascii="Calibri" w:hAnsi="Calibri" w:cs="Calibri"/>
          <w:lang w:val="en-US"/>
        </w:rPr>
        <w:t>mAbs</w:t>
      </w:r>
      <w:proofErr w:type="spellEnd"/>
      <w:r>
        <w:rPr>
          <w:rFonts w:ascii="Calibri" w:hAnsi="Calibri" w:cs="Calibri"/>
          <w:lang w:val="en-US"/>
        </w:rPr>
        <w:t xml:space="preserve"> can be estimated in preclinical development. The </w:t>
      </w:r>
      <w:r w:rsidRPr="00C724F4">
        <w:rPr>
          <w:rFonts w:ascii="Calibri" w:hAnsi="Calibri" w:cs="Calibri"/>
          <w:lang w:val="en-US"/>
        </w:rPr>
        <w:t xml:space="preserve">product-specific and patient-specific factors that </w:t>
      </w:r>
      <w:r>
        <w:rPr>
          <w:rFonts w:ascii="Calibri" w:hAnsi="Calibri" w:cs="Calibri"/>
          <w:lang w:val="en-US"/>
        </w:rPr>
        <w:t>can affect</w:t>
      </w:r>
      <w:r w:rsidRPr="00C724F4">
        <w:rPr>
          <w:rFonts w:ascii="Calibri" w:hAnsi="Calibri" w:cs="Calibri"/>
          <w:lang w:val="en-US"/>
        </w:rPr>
        <w:t xml:space="preserve"> PK behavior</w:t>
      </w:r>
      <w:r>
        <w:rPr>
          <w:rFonts w:ascii="Calibri" w:hAnsi="Calibri" w:cs="Calibri"/>
          <w:lang w:val="en-US"/>
        </w:rPr>
        <w:t xml:space="preserve"> can be </w:t>
      </w:r>
      <w:r w:rsidRPr="00C724F4">
        <w:rPr>
          <w:rFonts w:ascii="Calibri" w:hAnsi="Calibri" w:cs="Calibri"/>
          <w:lang w:val="en-US"/>
        </w:rPr>
        <w:t>considered for successful clinical therapy</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{"citationID":"kgo6zgdK","properties":{"formattedCitation":"[12]","plainCitation":"[12]","noteIndex":0},"citationItems":[{"id":857,"uris":["http://zotero.org/groups/4760334/items/S3VH9ZEP"],"itemData":{"id":857,"type":"article-journal","container-title":"CPT: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[12]</w:t>
      </w:r>
      <w:r>
        <w:rPr>
          <w:rFonts w:ascii="Calibri" w:hAnsi="Calibri" w:cs="Calibri"/>
          <w:lang w:val="en-US"/>
        </w:rPr>
        <w:fldChar w:fldCharType="end"/>
      </w:r>
      <w:r>
        <w:rPr>
          <w:rFonts w:ascii="Calibri" w:hAnsi="Calibri" w:cs="Calibri"/>
          <w:lang w:val="en-US"/>
        </w:rPr>
        <w:t>.</w:t>
      </w:r>
    </w:p>
    <w:p w14:paraId="791BC1D3"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38E7AB5F" w14:textId="1FE9AA32"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 xml:space="preserve">Each particular </w:t>
      </w:r>
      <w:proofErr w:type="spellStart"/>
      <w:r>
        <w:rPr>
          <w:rFonts w:ascii="Calibri" w:hAnsi="Calibri" w:cs="Calibri"/>
          <w:lang w:val="en-US"/>
        </w:rPr>
        <w:t>mAb</w:t>
      </w:r>
      <w:proofErr w:type="spellEnd"/>
      <w:r>
        <w:rPr>
          <w:rFonts w:ascii="Calibri" w:hAnsi="Calibri" w:cs="Calibri"/>
          <w:lang w:val="en-US"/>
        </w:rPr>
        <w:t xml:space="preserve"> has unique risks. The steps to </w:t>
      </w:r>
      <w:r w:rsidRPr="00F92875">
        <w:rPr>
          <w:rFonts w:ascii="Calibri" w:hAnsi="Calibri" w:cs="Calibri"/>
          <w:lang w:val="en-US"/>
        </w:rPr>
        <w:t>identify and minimize potential adverse effects</w:t>
      </w:r>
      <w:r>
        <w:rPr>
          <w:rFonts w:ascii="Calibri" w:hAnsi="Calibri" w:cs="Calibri"/>
          <w:lang w:val="en-US"/>
        </w:rPr>
        <w:t xml:space="preserve"> must be clear and accurate. </w:t>
      </w:r>
      <w:r w:rsidRPr="00F92875">
        <w:rPr>
          <w:rFonts w:ascii="Calibri" w:hAnsi="Calibri" w:cs="Calibri"/>
          <w:lang w:val="en-US"/>
        </w:rPr>
        <w:t>preclinical and clinical</w:t>
      </w:r>
      <w:r>
        <w:rPr>
          <w:rFonts w:ascii="Calibri" w:hAnsi="Calibri" w:cs="Calibri"/>
          <w:lang w:val="en-US"/>
        </w:rPr>
        <w:t xml:space="preserve"> protocols must be established to avoid i</w:t>
      </w:r>
      <w:r w:rsidRPr="00F92875">
        <w:rPr>
          <w:rFonts w:ascii="Calibri" w:hAnsi="Calibri" w:cs="Calibri"/>
          <w:lang w:val="en-US"/>
        </w:rPr>
        <w:t>nfusion reactions</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{"citationID":"iZpfXsUX","properties":{"formattedCitation":"[13]","plainCitation":"[13]","noteIndex":0},"citationItems":[{"id":859,"uris":["http://zotero.org/groups/4760334/items/TFCSS3PZ"],"itemData":{"id":859,"type":"article-journal","container-title":"Nature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 xml:space="preserve">. Preclinical </w:t>
      </w:r>
      <w:r w:rsidRPr="00F92875">
        <w:rPr>
          <w:rFonts w:ascii="Calibri" w:hAnsi="Calibri" w:cs="Calibri"/>
          <w:lang w:val="en-US"/>
        </w:rPr>
        <w:t>val</w:t>
      </w:r>
      <w:r>
        <w:rPr>
          <w:rFonts w:ascii="Calibri" w:hAnsi="Calibri" w:cs="Calibri"/>
          <w:lang w:val="en-US"/>
        </w:rPr>
        <w:t>i</w:t>
      </w:r>
      <w:r w:rsidRPr="00F92875">
        <w:rPr>
          <w:rFonts w:ascii="Calibri" w:hAnsi="Calibri" w:cs="Calibri"/>
          <w:lang w:val="en-US"/>
        </w:rPr>
        <w:t xml:space="preserve">dation of in vitro safety </w:t>
      </w:r>
      <w:r>
        <w:rPr>
          <w:rFonts w:ascii="Calibri" w:hAnsi="Calibri" w:cs="Calibri"/>
          <w:lang w:val="en-US"/>
        </w:rPr>
        <w:t xml:space="preserve">using </w:t>
      </w:r>
      <w:r w:rsidRPr="00F92875">
        <w:rPr>
          <w:rFonts w:ascii="Calibri" w:hAnsi="Calibri" w:cs="Calibri"/>
          <w:lang w:val="en-US"/>
        </w:rPr>
        <w:t>human tissues</w:t>
      </w:r>
      <w:r>
        <w:rPr>
          <w:rFonts w:ascii="Calibri" w:hAnsi="Calibri" w:cs="Calibri"/>
          <w:lang w:val="en-US"/>
        </w:rPr>
        <w:t xml:space="preserve"> is necessary to </w:t>
      </w:r>
      <w:r w:rsidRPr="00F92875">
        <w:rPr>
          <w:rFonts w:ascii="Calibri" w:hAnsi="Calibri" w:cs="Calibri"/>
          <w:lang w:val="en-US"/>
        </w:rPr>
        <w:t xml:space="preserve">predict </w:t>
      </w:r>
      <w:r>
        <w:rPr>
          <w:rFonts w:ascii="Calibri" w:hAnsi="Calibri" w:cs="Calibri"/>
          <w:lang w:val="en-US"/>
        </w:rPr>
        <w:t xml:space="preserve">potential outcome for </w:t>
      </w:r>
      <w:r w:rsidRPr="00F92875">
        <w:rPr>
          <w:rFonts w:ascii="Calibri" w:hAnsi="Calibri" w:cs="Calibri"/>
          <w:lang w:val="en-US"/>
        </w:rPr>
        <w:t>administration to humans.</w:t>
      </w:r>
      <w:r>
        <w:rPr>
          <w:rFonts w:ascii="Calibri" w:hAnsi="Calibri" w:cs="Calibri"/>
          <w:lang w:val="en-US"/>
        </w:rPr>
        <w:t xml:space="preserve"> For </w:t>
      </w:r>
      <w:r w:rsidRPr="00F92875">
        <w:rPr>
          <w:rFonts w:ascii="Calibri" w:hAnsi="Calibri" w:cs="Calibri"/>
          <w:lang w:val="en-US"/>
        </w:rPr>
        <w:t>clinical trial</w:t>
      </w:r>
      <w:r>
        <w:rPr>
          <w:rFonts w:ascii="Calibri" w:hAnsi="Calibri" w:cs="Calibri"/>
          <w:lang w:val="en-US"/>
        </w:rPr>
        <w:t xml:space="preserve"> </w:t>
      </w:r>
      <w:r w:rsidRPr="00F92875">
        <w:rPr>
          <w:rFonts w:ascii="Calibri" w:hAnsi="Calibri" w:cs="Calibri"/>
          <w:lang w:val="en-US"/>
        </w:rPr>
        <w:t>volunteer</w:t>
      </w:r>
      <w:r>
        <w:rPr>
          <w:rFonts w:ascii="Calibri" w:hAnsi="Calibri" w:cs="Calibri"/>
          <w:lang w:val="en-US"/>
        </w:rPr>
        <w:t xml:space="preserve"> </w:t>
      </w:r>
      <w:r w:rsidRPr="00F92875">
        <w:rPr>
          <w:rFonts w:ascii="Calibri" w:hAnsi="Calibri" w:cs="Calibri"/>
          <w:lang w:val="en-US"/>
        </w:rPr>
        <w:t>safety</w:t>
      </w:r>
      <w:r>
        <w:rPr>
          <w:rFonts w:ascii="Calibri" w:hAnsi="Calibri" w:cs="Calibri"/>
          <w:lang w:val="en-US"/>
        </w:rPr>
        <w:t xml:space="preserve">, </w:t>
      </w:r>
      <w:r w:rsidRPr="00F92875">
        <w:rPr>
          <w:rFonts w:ascii="Calibri" w:hAnsi="Calibri" w:cs="Calibri"/>
          <w:lang w:val="en-US"/>
        </w:rPr>
        <w:t xml:space="preserve">communication </w:t>
      </w:r>
      <w:r>
        <w:rPr>
          <w:rFonts w:ascii="Calibri" w:hAnsi="Calibri" w:cs="Calibri"/>
          <w:lang w:val="en-US"/>
        </w:rPr>
        <w:t>must be</w:t>
      </w:r>
      <w:r w:rsidRPr="00F92875">
        <w:rPr>
          <w:rFonts w:ascii="Calibri" w:hAnsi="Calibri" w:cs="Calibri"/>
          <w:lang w:val="en-US"/>
        </w:rPr>
        <w:t xml:space="preserve"> maintained between scientists and clinicians</w:t>
      </w:r>
      <w:r>
        <w:rPr>
          <w:rFonts w:ascii="Calibri" w:hAnsi="Calibri" w:cs="Calibri"/>
          <w:lang w:val="en-US"/>
        </w:rPr>
        <w:t xml:space="preserve"> both in </w:t>
      </w:r>
      <w:proofErr w:type="spellStart"/>
      <w:r>
        <w:rPr>
          <w:rFonts w:ascii="Calibri" w:hAnsi="Calibri" w:cs="Calibri"/>
          <w:lang w:val="en-US"/>
        </w:rPr>
        <w:t>phama</w:t>
      </w:r>
      <w:proofErr w:type="spellEnd"/>
      <w:r>
        <w:rPr>
          <w:rFonts w:ascii="Calibri" w:hAnsi="Calibri" w:cs="Calibri"/>
          <w:lang w:val="en-US"/>
        </w:rPr>
        <w:t>/biotech</w:t>
      </w:r>
      <w:r w:rsidRPr="00F92875">
        <w:rPr>
          <w:rFonts w:ascii="Calibri" w:hAnsi="Calibri" w:cs="Calibri"/>
          <w:lang w:val="en-US"/>
        </w:rPr>
        <w:t xml:space="preserve"> companies</w:t>
      </w:r>
      <w:r>
        <w:rPr>
          <w:rFonts w:ascii="Calibri" w:hAnsi="Calibri" w:cs="Calibri"/>
          <w:lang w:val="en-US"/>
        </w:rPr>
        <w:t xml:space="preserve"> and those performing clinical studies </w:t>
      </w:r>
      <w:r>
        <w:rPr>
          <w:rFonts w:ascii="Calibri" w:hAnsi="Calibri" w:cs="Calibri"/>
          <w:lang w:val="en-US"/>
        </w:rPr>
        <w:fldChar w:fldCharType="begin"/>
      </w:r>
      <w:r>
        <w:rPr>
          <w:rFonts w:ascii="Calibri" w:hAnsi="Calibri" w:cs="Calibri"/>
          <w:lang w:val="en-US"/>
        </w:rPr>
        <w:instrText xml:space="preserve"> ADDIN ZOTERO_ITEM CSL_CITATION {"citationID":"sw34sIRM","properties":{"formattedCitation":"[13]","plainCitation":"[13]","noteIndex":0},"citationItems":[{"id":859,"uris":["http://zotero.org/groups/4760334/items/TFCSS3PZ"],"itemData":{"id":859,"type":"article-journal","container-title":"Nature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w:t>
      </w:r>
    </w:p>
    <w:p w14:paraId="2AA62EC2"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445C9ABF" w14:textId="165DFDE3"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lastRenderedPageBreak/>
        <w:t xml:space="preserve">The serious risks of off-target antigen binding are well-known, particularly after the adverse outcome seen during the phase 1 trial of anti-CD28 </w:t>
      </w:r>
      <w:proofErr w:type="spellStart"/>
      <w:r>
        <w:rPr>
          <w:rFonts w:ascii="Calibri" w:hAnsi="Calibri" w:cs="Calibri"/>
          <w:lang w:val="en-US"/>
        </w:rPr>
        <w:t>mAb</w:t>
      </w:r>
      <w:proofErr w:type="spellEnd"/>
      <w:r>
        <w:rPr>
          <w:rFonts w:ascii="Calibri" w:hAnsi="Calibri" w:cs="Calibri"/>
          <w:lang w:val="en-US"/>
        </w:rPr>
        <w:t xml:space="preserve"> </w:t>
      </w:r>
      <w:r w:rsidRPr="00EC0C70">
        <w:rPr>
          <w:rFonts w:ascii="Calibri" w:hAnsi="Calibri" w:cs="Calibri"/>
          <w:lang w:val="en-US"/>
        </w:rPr>
        <w:t>TGN1412</w:t>
      </w:r>
      <w:r>
        <w:rPr>
          <w:rFonts w:ascii="Calibri" w:hAnsi="Calibri" w:cs="Calibri"/>
          <w:lang w:val="en-US"/>
        </w:rPr>
        <w:t xml:space="preserve"> resulting in </w:t>
      </w:r>
      <w:r w:rsidRPr="00EC0C70">
        <w:rPr>
          <w:rFonts w:ascii="Calibri" w:hAnsi="Calibri" w:cs="Calibri"/>
          <w:lang w:val="en-US"/>
        </w:rPr>
        <w:t>systemic inflammatory response</w:t>
      </w:r>
      <w:r>
        <w:rPr>
          <w:rFonts w:ascii="Calibri" w:hAnsi="Calibri" w:cs="Calibri"/>
          <w:lang w:val="en-US"/>
        </w:rPr>
        <w:t xml:space="preserve"> in all six volunteers </w:t>
      </w:r>
      <w:r>
        <w:rPr>
          <w:rFonts w:ascii="Calibri" w:hAnsi="Calibri" w:cs="Calibri"/>
          <w:lang w:val="en-US"/>
        </w:rPr>
        <w:fldChar w:fldCharType="begin"/>
      </w:r>
      <w:r>
        <w:rPr>
          <w:rFonts w:ascii="Calibri" w:hAnsi="Calibri" w:cs="Calibri"/>
          <w:lang w:val="en-US"/>
        </w:rPr>
        <w:instrText xml:space="preserve"> ADDIN ZOTERO_ITEM CSL_CITATION {"citationID":"IqH3mzNG","properties":{"formattedCitation":"[14]","plainCitation":"[14]","noteIndex":0},"citationItems":[{"id":865,"uris":["http://zotero.org/groups/4760334/items/EL3X2BD8"],"itemData":{"id":865,"type":"article-journal","abstract":"Six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[14]</w:t>
      </w:r>
      <w:r>
        <w:rPr>
          <w:rFonts w:ascii="Calibri" w:hAnsi="Calibri" w:cs="Calibri"/>
          <w:lang w:val="en-US"/>
        </w:rPr>
        <w:fldChar w:fldCharType="end"/>
      </w:r>
      <w:r>
        <w:rPr>
          <w:rFonts w:ascii="Calibri" w:hAnsi="Calibri" w:cs="Calibri"/>
          <w:lang w:val="en-US"/>
        </w:rPr>
        <w:t xml:space="preserve">. </w:t>
      </w:r>
    </w:p>
    <w:p w14:paraId="2FA97C29"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140D0484" w14:textId="77777777"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 xml:space="preserve">Despite the known potential for first-in-human studies there is no current robust way to ensure complete safety. Therefore, adherence to guidance and regulatory protocols are vital for safe and successful trials. </w:t>
      </w:r>
    </w:p>
    <w:p w14:paraId="52730AB4"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226E718F" w14:textId="475F6562" w:rsidR="00820322" w:rsidRDefault="00820322" w:rsidP="00820322">
      <w:pPr>
        <w:pStyle w:val="NormalWeb"/>
        <w:spacing w:before="120" w:beforeAutospacing="0" w:after="120" w:afterAutospacing="0" w:line="360" w:lineRule="auto"/>
        <w:rPr>
          <w:rFonts w:ascii="Calibri" w:hAnsi="Calibri" w:cs="Calibri"/>
          <w:lang w:val="en-US"/>
        </w:rPr>
      </w:pPr>
      <w:proofErr w:type="spellStart"/>
      <w:r>
        <w:rPr>
          <w:rFonts w:ascii="Calibri" w:hAnsi="Calibri" w:cs="Calibri"/>
          <w:lang w:val="en-US"/>
        </w:rPr>
        <w:t>mAb</w:t>
      </w:r>
      <w:proofErr w:type="spellEnd"/>
      <w:r>
        <w:rPr>
          <w:rFonts w:ascii="Calibri" w:hAnsi="Calibri" w:cs="Calibri"/>
          <w:lang w:val="en-US"/>
        </w:rPr>
        <w:t xml:space="preserve"> are recognized as </w:t>
      </w:r>
      <w:r w:rsidRPr="00455819">
        <w:rPr>
          <w:rFonts w:ascii="Calibri" w:hAnsi="Calibri" w:cs="Calibri"/>
          <w:lang w:val="en-US"/>
        </w:rPr>
        <w:t>versatile</w:t>
      </w:r>
      <w:r>
        <w:rPr>
          <w:rFonts w:ascii="Calibri" w:hAnsi="Calibri" w:cs="Calibri"/>
          <w:lang w:val="en-US"/>
        </w:rPr>
        <w:t xml:space="preserve"> </w:t>
      </w:r>
      <w:r w:rsidRPr="00455819">
        <w:rPr>
          <w:rFonts w:ascii="Calibri" w:hAnsi="Calibri" w:cs="Calibri"/>
          <w:lang w:val="en-US"/>
        </w:rPr>
        <w:t>platforms for cancer immunotherapy</w:t>
      </w:r>
      <w:r>
        <w:rPr>
          <w:rFonts w:ascii="Calibri" w:hAnsi="Calibri" w:cs="Calibri"/>
          <w:lang w:val="en-US"/>
        </w:rPr>
        <w:t xml:space="preserve"> </w:t>
      </w:r>
      <w:r w:rsidRPr="00455819">
        <w:rPr>
          <w:rFonts w:ascii="Calibri" w:hAnsi="Calibri" w:cs="Calibri"/>
          <w:lang w:val="en-US"/>
        </w:rPr>
        <w:t xml:space="preserve">by directly </w:t>
      </w:r>
      <w:r>
        <w:rPr>
          <w:rFonts w:ascii="Calibri" w:hAnsi="Calibri" w:cs="Calibri"/>
          <w:lang w:val="en-US"/>
        </w:rPr>
        <w:t>stimulating</w:t>
      </w:r>
      <w:r w:rsidRPr="00455819">
        <w:rPr>
          <w:rFonts w:ascii="Calibri" w:hAnsi="Calibri" w:cs="Calibri"/>
          <w:lang w:val="en-US"/>
        </w:rPr>
        <w:t xml:space="preserve"> or inhibiting </w:t>
      </w:r>
      <w:r>
        <w:rPr>
          <w:rFonts w:ascii="Calibri" w:hAnsi="Calibri" w:cs="Calibri"/>
          <w:lang w:val="en-US"/>
        </w:rPr>
        <w:t xml:space="preserve">immunological protein pathways </w:t>
      </w:r>
      <w:r>
        <w:rPr>
          <w:rFonts w:ascii="Calibri" w:hAnsi="Calibri" w:cs="Calibri"/>
          <w:lang w:val="en-US"/>
        </w:rPr>
        <w:fldChar w:fldCharType="begin"/>
      </w:r>
      <w:r>
        <w:rPr>
          <w:rFonts w:ascii="Calibri" w:hAnsi="Calibri" w:cs="Calibri"/>
          <w:lang w:val="en-US"/>
        </w:rPr>
        <w:instrText xml:space="preserve"> ADDIN ZOTERO_ITEM CSL_CITATION {"citationID":"RghT0zd1","properties":{"formattedCitation":"[15]","plainCitation":"[15]","noteIndex":0},"citationItems":[{"id":862,"uris":["http://zotero.org/groups/4760334/items/3EB5U7FI"],"itemData":{"id":862,"type":"article-journal","container-title":"Nature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Pr>
          <w:rFonts w:ascii="Calibri" w:hAnsi="Calibri" w:cs="Calibri"/>
          <w:lang w:val="en-US"/>
        </w:rPr>
        <w:t>. T</w:t>
      </w:r>
      <w:r w:rsidRPr="00455819">
        <w:rPr>
          <w:rFonts w:ascii="Calibri" w:hAnsi="Calibri" w:cs="Calibri"/>
          <w:lang w:val="en-US"/>
        </w:rPr>
        <w:t>he induction of antitumor immune responses</w:t>
      </w:r>
      <w:r>
        <w:rPr>
          <w:rFonts w:ascii="Calibri" w:hAnsi="Calibri" w:cs="Calibri"/>
          <w:lang w:val="en-US"/>
        </w:rPr>
        <w:t xml:space="preserve"> can be exploited to develop</w:t>
      </w:r>
      <w:r w:rsidRPr="00455819">
        <w:rPr>
          <w:rFonts w:ascii="Calibri" w:hAnsi="Calibri" w:cs="Calibri"/>
          <w:lang w:val="en-US"/>
        </w:rPr>
        <w:t xml:space="preserve"> new cancer treatment strategies</w:t>
      </w:r>
      <w:r>
        <w:rPr>
          <w:rFonts w:ascii="Calibri" w:hAnsi="Calibri" w:cs="Calibri"/>
          <w:lang w:val="en-US"/>
        </w:rPr>
        <w:t xml:space="preserve"> based on tumor-specific response of natural or engineered </w:t>
      </w:r>
      <w:proofErr w:type="spellStart"/>
      <w:r>
        <w:rPr>
          <w:rFonts w:ascii="Calibri" w:hAnsi="Calibri" w:cs="Calibri"/>
          <w:lang w:val="en-US"/>
        </w:rPr>
        <w:t>mAb</w:t>
      </w:r>
      <w:proofErr w:type="spellEnd"/>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{"citationID":"9VqqKj2p","properties":{"formattedCitation":"[15]","plainCitation":"[15]","noteIndex":0},"citationItems":[{"id":862,"uris":["http://zotero.org/groups/4760334/items/3EB5U7FI"],"itemData":{"id":862,"type":"article-journal","container-title":"Nature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Pr>
          <w:rFonts w:ascii="Calibri" w:hAnsi="Calibri" w:cs="Calibri"/>
          <w:lang w:val="en-US"/>
        </w:rPr>
        <w:t>.</w:t>
      </w:r>
    </w:p>
    <w:p w14:paraId="02075072"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0271AEF9" w14:textId="69D0A682" w:rsidR="000D2D86" w:rsidRDefault="00820322" w:rsidP="000D2D86">
      <w:pPr>
        <w:spacing w:before="120" w:line="360" w:lineRule="auto"/>
        <w:rPr>
          <w:rFonts w:ascii="Calibri" w:hAnsi="Calibri" w:cs="Calibri"/>
          <w:lang w:val="en-US"/>
        </w:rPr>
      </w:pPr>
      <w:r w:rsidRPr="00822AF5">
        <w:rPr>
          <w:rFonts w:ascii="Calibri" w:hAnsi="Calibri" w:cs="Calibri"/>
          <w:lang w:val="en-US"/>
        </w:rPr>
        <w:t>The nomenclature for our drug is defined according to the WHO International Nonproprietary Names (INN) (</w:t>
      </w:r>
      <w:proofErr w:type="spellStart"/>
      <w:r w:rsidRPr="00822AF5">
        <w:rPr>
          <w:rFonts w:ascii="Calibri" w:hAnsi="Calibri" w:cs="Calibri"/>
          <w:lang w:val="en-US"/>
        </w:rPr>
        <w:t>Programme</w:t>
      </w:r>
      <w:proofErr w:type="spellEnd"/>
      <w:r w:rsidRPr="00822AF5">
        <w:rPr>
          <w:rFonts w:ascii="Calibri" w:hAnsi="Calibri" w:cs="Calibri"/>
          <w:lang w:val="en-US"/>
        </w:rPr>
        <w:t xml:space="preserve"> and Classification of Medical Product) </w:t>
      </w:r>
      <w:r w:rsidRPr="00822AF5">
        <w:rPr>
          <w:rFonts w:ascii="Calibri" w:hAnsi="Calibri" w:cs="Calibri"/>
          <w:lang w:val="en-US"/>
        </w:rPr>
        <w:fldChar w:fldCharType="begin"/>
      </w:r>
      <w:r>
        <w:rPr>
          <w:rFonts w:ascii="Calibri" w:hAnsi="Calibri" w:cs="Calibri"/>
          <w:lang w:val="en-US"/>
        </w:rPr>
        <w:instrText xml:space="preserve"> ADDIN ZOTERO_ITEM CSL_CITATION {"citationID":"GKM4LLpF","properties":{"formattedCitation":"[16]","plainCitation":"[16]","noteIndex":0},"citationItems":[{"id":877,"uris":["http://zotero.org/groups/4760334/items/5R2S4RIC"],"itemData":{"id":877,"type":"article-journal","container-title":"The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Pr="00822AF5">
        <w:rPr>
          <w:rFonts w:ascii="Calibri" w:hAnsi="Calibri" w:cs="Calibri"/>
          <w:lang w:val="en-US"/>
        </w:rPr>
        <w:fldChar w:fldCharType="separate"/>
      </w:r>
      <w:r>
        <w:rPr>
          <w:rFonts w:ascii="Calibri" w:hAnsi="Calibri" w:cs="Calibri"/>
          <w:noProof/>
          <w:lang w:val="en-US"/>
        </w:rPr>
        <w:t>[16]</w:t>
      </w:r>
      <w:r w:rsidRPr="00822AF5">
        <w:rPr>
          <w:rFonts w:ascii="Calibri" w:hAnsi="Calibri" w:cs="Calibri"/>
          <w:lang w:val="en-US"/>
        </w:rPr>
        <w:fldChar w:fldCharType="end"/>
      </w:r>
      <w:r w:rsidRPr="00822AF5">
        <w:rPr>
          <w:rFonts w:ascii="Calibri" w:hAnsi="Calibri" w:cs="Calibri"/>
          <w:lang w:val="en-US"/>
        </w:rPr>
        <w:t>. The current state of the art in anti-cancer monoclonal antibodies (</w:t>
      </w:r>
      <w:proofErr w:type="spellStart"/>
      <w:r w:rsidRPr="00822AF5">
        <w:rPr>
          <w:rFonts w:ascii="Calibri" w:hAnsi="Calibri" w:cs="Calibri"/>
          <w:lang w:val="en-US"/>
        </w:rPr>
        <w:t>mAbs</w:t>
      </w:r>
      <w:proofErr w:type="spellEnd"/>
      <w:r w:rsidRPr="00822AF5">
        <w:rPr>
          <w:rFonts w:ascii="Calibri" w:hAnsi="Calibri" w:cs="Calibri"/>
          <w:lang w:val="en-US"/>
        </w:rPr>
        <w:t xml:space="preserve">) is overviewed by </w:t>
      </w:r>
      <w:hyperlink r:id="rId39" w:history="1">
        <w:proofErr w:type="spellStart"/>
        <w:r w:rsidRPr="00822AF5">
          <w:rPr>
            <w:rStyle w:val="Hyperlink"/>
            <w:rFonts w:ascii="Calibri" w:hAnsi="Calibri" w:cs="Calibri"/>
            <w:lang w:val="en-US"/>
          </w:rPr>
          <w:t>Chiavernna</w:t>
        </w:r>
        <w:proofErr w:type="spellEnd"/>
        <w:r w:rsidRPr="00822AF5">
          <w:rPr>
            <w:rStyle w:val="Hyperlink"/>
            <w:rFonts w:ascii="Calibri" w:hAnsi="Calibri" w:cs="Calibri"/>
            <w:lang w:val="en-US"/>
          </w:rPr>
          <w:t>, et al</w:t>
        </w:r>
      </w:hyperlink>
      <w:r w:rsidRPr="00822AF5">
        <w:rPr>
          <w:rFonts w:ascii="Calibri" w:hAnsi="Calibri" w:cs="Calibri"/>
          <w:lang w:val="en-US"/>
        </w:rPr>
        <w:t xml:space="preserve">. </w:t>
      </w:r>
      <w:r w:rsidRPr="00822AF5">
        <w:rPr>
          <w:rFonts w:ascii="Calibri" w:hAnsi="Calibri" w:cs="Calibri"/>
        </w:rPr>
        <w:fldChar w:fldCharType="begin"/>
      </w:r>
      <w:r>
        <w:rPr>
          <w:rFonts w:ascii="Calibri" w:hAnsi="Calibri" w:cs="Calibri"/>
        </w:rPr>
        <w:instrText xml:space="preserve"> ADDIN ZOTERO_ITEM CSL_CITATION {"citationID":"YsPXwEnc","properties":{"formattedCitation":"[17]","plainCitation":"[17]","noteIndex":0},"citationItems":[{"id":832,"uris":["http://zotero.org/users/9928140/items/6QMSBGXT"],"itemData":{"id":832,"type":"article-journal","abstract":"Following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Pr="00822AF5">
        <w:rPr>
          <w:rFonts w:ascii="Calibri" w:hAnsi="Calibri" w:cs="Calibri"/>
        </w:rPr>
        <w:fldChar w:fldCharType="separate"/>
      </w:r>
      <w:r>
        <w:rPr>
          <w:rFonts w:ascii="Calibri" w:hAnsi="Calibri" w:cs="Calibri"/>
          <w:noProof/>
        </w:rPr>
        <w:t>[17]</w:t>
      </w:r>
      <w:r w:rsidRPr="00822AF5">
        <w:rPr>
          <w:rFonts w:ascii="Calibri" w:hAnsi="Calibri" w:cs="Calibri"/>
        </w:rPr>
        <w:fldChar w:fldCharType="end"/>
      </w:r>
      <w:r w:rsidRPr="00822AF5">
        <w:rPr>
          <w:rFonts w:ascii="Calibri" w:hAnsi="Calibri" w:cs="Calibri"/>
          <w:lang w:val="en-US"/>
        </w:rPr>
        <w:t xml:space="preserve">. </w:t>
      </w:r>
    </w:p>
    <w:p w14:paraId="0490BF2B" w14:textId="4002845A" w:rsidR="004F6057" w:rsidRDefault="004F6057" w:rsidP="000D2D86">
      <w:pPr>
        <w:spacing w:before="120" w:line="360" w:lineRule="auto"/>
        <w:rPr>
          <w:rFonts w:ascii="Calibri" w:hAnsi="Calibri" w:cs="Calibri"/>
          <w:lang w:val="en-US"/>
        </w:rPr>
      </w:pPr>
    </w:p>
    <w:p w14:paraId="21CBFC7F" w14:textId="53E0098C" w:rsidR="004F6057" w:rsidRDefault="004F6057" w:rsidP="004F6057">
      <w:r>
        <w:lastRenderedPageBreak/>
        <w:fldChar w:fldCharType="begin"/>
      </w:r>
      <w:r>
        <w:instrText xml:space="preserve"> INCLUDEPICTURE "/var/folders/q1/dqlsvrz16hv3v1pqyr_5xx700000gp/T/com.microsoft.Word/WebArchiveCopyPasteTempFiles/onc0051108140001.jpg" \* MERGEFORMATINET </w:instrText>
      </w:r>
      <w:r>
        <w:fldChar w:fldCharType="separate"/>
      </w:r>
      <w:r>
        <w:rPr>
          <w:noProof/>
        </w:rPr>
        <w:drawing>
          <wp:inline distT="0" distB="0" distL="0" distR="0" wp14:anchorId="51B181C3" wp14:editId="480DC8E0">
            <wp:extent cx="5731510" cy="70065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7006590"/>
                    </a:xfrm>
                    <a:prstGeom prst="rect">
                      <a:avLst/>
                    </a:prstGeom>
                    <a:noFill/>
                    <a:ln>
                      <a:noFill/>
                    </a:ln>
                  </pic:spPr>
                </pic:pic>
              </a:graphicData>
            </a:graphic>
          </wp:inline>
        </w:drawing>
      </w:r>
      <w:r>
        <w:fldChar w:fldCharType="end"/>
      </w:r>
    </w:p>
    <w:p w14:paraId="4AE20883" w14:textId="2C517C9C" w:rsidR="004F6057" w:rsidRDefault="004F6057" w:rsidP="000D2D86">
      <w:pPr>
        <w:spacing w:before="120" w:line="360" w:lineRule="auto"/>
        <w:rPr>
          <w:rFonts w:ascii="Calibri" w:hAnsi="Calibri" w:cs="Calibri"/>
          <w:lang w:val="en-US"/>
        </w:rPr>
      </w:pPr>
      <w:r w:rsidRPr="004F6057">
        <w:rPr>
          <w:rFonts w:ascii="Calibri" w:hAnsi="Calibri" w:cs="Calibri"/>
          <w:lang w:val="en-US"/>
        </w:rPr>
        <w:t xml:space="preserve">Figure 1. Signal transduction by the HER family and potential mechanisms of action of trastuzumab. Abbreviations: EGFR, epidermal growth factor receptor; HER, human epidermal growth factor receptor; MAPK, mitogen-activated protein kinase; MEK, MAPK/extracellular signal–related kinase </w:t>
      </w:r>
      <w:proofErr w:type="spellStart"/>
      <w:r w:rsidRPr="004F6057">
        <w:rPr>
          <w:rFonts w:ascii="Calibri" w:hAnsi="Calibri" w:cs="Calibri"/>
          <w:lang w:val="en-US"/>
        </w:rPr>
        <w:t>kinase</w:t>
      </w:r>
      <w:proofErr w:type="spellEnd"/>
      <w:r w:rsidRPr="004F6057">
        <w:rPr>
          <w:rFonts w:ascii="Calibri" w:hAnsi="Calibri" w:cs="Calibri"/>
          <w:lang w:val="en-US"/>
        </w:rPr>
        <w:t xml:space="preserve">; PI3K, phosphoinositide 3-kinase; SOS, son of </w:t>
      </w:r>
      <w:proofErr w:type="spellStart"/>
      <w:r w:rsidRPr="004F6057">
        <w:rPr>
          <w:rFonts w:ascii="Calibri" w:hAnsi="Calibri" w:cs="Calibri"/>
          <w:lang w:val="en-US"/>
        </w:rPr>
        <w:t>sevenless</w:t>
      </w:r>
      <w:proofErr w:type="spellEnd"/>
      <w:r w:rsidRPr="004F6057">
        <w:rPr>
          <w:rFonts w:ascii="Calibri" w:hAnsi="Calibri" w:cs="Calibri"/>
          <w:lang w:val="en-US"/>
        </w:rPr>
        <w:t xml:space="preserve">; VEGF, vascular endothelial growth factor. Reprinted from </w:t>
      </w:r>
      <w:proofErr w:type="spellStart"/>
      <w:r w:rsidRPr="004F6057">
        <w:rPr>
          <w:rFonts w:ascii="Calibri" w:hAnsi="Calibri" w:cs="Calibri"/>
          <w:lang w:val="en-US"/>
        </w:rPr>
        <w:t>Hudis</w:t>
      </w:r>
      <w:proofErr w:type="spellEnd"/>
      <w:r w:rsidRPr="004F6057">
        <w:rPr>
          <w:rFonts w:ascii="Calibri" w:hAnsi="Calibri" w:cs="Calibri"/>
          <w:lang w:val="en-US"/>
        </w:rPr>
        <w:t xml:space="preserve"> CA. Trastuzumab—Mechanism of action and use in clinical practice. </w:t>
      </w:r>
    </w:p>
    <w:p w14:paraId="47FE3007" w14:textId="00BCCEDA" w:rsidR="004F6057" w:rsidRDefault="004F6057" w:rsidP="004F6057">
      <w:pPr>
        <w:pStyle w:val="Heading1"/>
        <w:spacing w:before="120" w:line="360" w:lineRule="auto"/>
        <w:rPr>
          <w:rFonts w:ascii="Calibri" w:eastAsia="Times New Roman" w:hAnsi="Calibri" w:cs="Calibri"/>
          <w:color w:val="auto"/>
          <w:sz w:val="24"/>
          <w:szCs w:val="24"/>
          <w:lang w:val="en-US"/>
        </w:rPr>
      </w:pPr>
      <w:bookmarkStart w:id="13" w:name="_Toc115280146"/>
      <w:r w:rsidRPr="004F6057">
        <w:rPr>
          <w:rFonts w:ascii="Calibri" w:eastAsia="Times New Roman" w:hAnsi="Calibri" w:cs="Calibri"/>
          <w:color w:val="auto"/>
          <w:sz w:val="24"/>
          <w:szCs w:val="24"/>
          <w:lang w:val="en-US"/>
        </w:rPr>
        <w:lastRenderedPageBreak/>
        <w:t xml:space="preserve">N </w:t>
      </w:r>
      <w:proofErr w:type="spellStart"/>
      <w:r w:rsidRPr="004F6057">
        <w:rPr>
          <w:rFonts w:ascii="Calibri" w:eastAsia="Times New Roman" w:hAnsi="Calibri" w:cs="Calibri"/>
          <w:color w:val="auto"/>
          <w:sz w:val="24"/>
          <w:szCs w:val="24"/>
          <w:lang w:val="en-US"/>
        </w:rPr>
        <w:t>Engl</w:t>
      </w:r>
      <w:proofErr w:type="spellEnd"/>
      <w:r w:rsidRPr="004F6057">
        <w:rPr>
          <w:rFonts w:ascii="Calibri" w:eastAsia="Times New Roman" w:hAnsi="Calibri" w:cs="Calibri"/>
          <w:color w:val="auto"/>
          <w:sz w:val="24"/>
          <w:szCs w:val="24"/>
          <w:lang w:val="en-US"/>
        </w:rPr>
        <w:t xml:space="preserve"> J Med 2007; 357:39-51</w:t>
      </w:r>
      <w:r>
        <w:rPr>
          <w:rFonts w:ascii="Calibri" w:eastAsia="Times New Roman" w:hAnsi="Calibri" w:cs="Calibri"/>
          <w:color w:val="auto"/>
          <w:sz w:val="24"/>
          <w:szCs w:val="24"/>
          <w:lang w:val="en-US"/>
        </w:rPr>
        <w:t xml:space="preserve"> </w:t>
      </w:r>
      <w:r w:rsidRPr="004F6057">
        <w:rPr>
          <w:rFonts w:ascii="Calibri" w:eastAsia="Times New Roman" w:hAnsi="Calibri" w:cs="Calibri"/>
          <w:color w:val="auto"/>
          <w:sz w:val="24"/>
          <w:szCs w:val="24"/>
          <w:lang w:val="en-US"/>
        </w:rPr>
        <w:t>DOI: 10.1056/NEJMra043186</w:t>
      </w:r>
    </w:p>
    <w:p w14:paraId="6780B786" w14:textId="15390840" w:rsidR="00822AF5" w:rsidRPr="00822AF5" w:rsidRDefault="00822AF5" w:rsidP="004F6057">
      <w:pPr>
        <w:pStyle w:val="Heading1"/>
        <w:spacing w:before="120" w:line="360" w:lineRule="auto"/>
        <w:rPr>
          <w:rFonts w:eastAsia="Times New Roman"/>
          <w:sz w:val="24"/>
          <w:szCs w:val="24"/>
          <w:lang w:val="en-US"/>
        </w:rPr>
      </w:pPr>
      <w:r w:rsidRPr="005C1B7D">
        <w:t>References</w:t>
      </w:r>
      <w:bookmarkEnd w:id="13"/>
    </w:p>
    <w:p w14:paraId="5562228C" w14:textId="77777777" w:rsidR="005836BF" w:rsidRPr="00822AF5" w:rsidRDefault="005836BF" w:rsidP="001E456A">
      <w:pPr>
        <w:spacing w:before="120" w:line="360" w:lineRule="auto"/>
        <w:rPr>
          <w:rFonts w:ascii="Calibri" w:hAnsi="Calibri" w:cs="Calibri"/>
        </w:rPr>
      </w:pPr>
    </w:p>
    <w:p w14:paraId="74DB791D" w14:textId="77777777" w:rsidR="000D2D86" w:rsidRPr="000D2D86" w:rsidRDefault="00DD3EB6" w:rsidP="000D2D86">
      <w:pPr>
        <w:pStyle w:val="Bibliography"/>
        <w:rPr>
          <w:rFonts w:ascii="Calibri" w:hAnsi="Calibri"/>
          <w:lang w:val="en-US"/>
        </w:rPr>
      </w:pPr>
      <w:r w:rsidRPr="00822AF5">
        <w:rPr>
          <w:rFonts w:ascii="Calibri" w:hAnsi="Calibri" w:cs="Calibri"/>
        </w:rPr>
        <w:fldChar w:fldCharType="begin"/>
      </w:r>
      <w:r w:rsidR="000D2D86">
        <w:rPr>
          <w:rFonts w:ascii="Calibri" w:hAnsi="Calibri" w:cs="Calibri"/>
        </w:rPr>
        <w:instrText xml:space="preserve"> ADDIN ZOTERO_BIBL {"uncited":[],"omitted":[],"custom":[]} CSL_BIBLIOGRAPHY </w:instrText>
      </w:r>
      <w:r w:rsidRPr="00822AF5">
        <w:rPr>
          <w:rFonts w:ascii="Calibri" w:hAnsi="Calibri" w:cs="Calibri"/>
        </w:rPr>
        <w:fldChar w:fldCharType="separate"/>
      </w:r>
      <w:r w:rsidR="000D2D86" w:rsidRPr="000D2D86">
        <w:rPr>
          <w:rFonts w:ascii="Calibri" w:hAnsi="Calibri"/>
          <w:lang w:val="en-US"/>
        </w:rPr>
        <w:t>[1]</w:t>
      </w:r>
      <w:r w:rsidR="000D2D86" w:rsidRPr="000D2D86">
        <w:rPr>
          <w:rFonts w:ascii="Calibri" w:hAnsi="Calibri"/>
          <w:lang w:val="en-US"/>
        </w:rPr>
        <w:tab/>
        <w:t xml:space="preserve">A. </w:t>
      </w:r>
      <w:proofErr w:type="spellStart"/>
      <w:r w:rsidR="000D2D86" w:rsidRPr="000D2D86">
        <w:rPr>
          <w:rFonts w:ascii="Calibri" w:hAnsi="Calibri"/>
          <w:lang w:val="en-US"/>
        </w:rPr>
        <w:t>Nürnberg</w:t>
      </w:r>
      <w:proofErr w:type="spellEnd"/>
      <w:r w:rsidR="000D2D86" w:rsidRPr="000D2D86">
        <w:rPr>
          <w:rFonts w:ascii="Calibri" w:hAnsi="Calibri"/>
          <w:lang w:val="en-US"/>
        </w:rPr>
        <w:t xml:space="preserve"> and H. Pierre, “An introduction to little-known aspects of nonclinical regulatory writing,” </w:t>
      </w:r>
      <w:r w:rsidR="000D2D86" w:rsidRPr="000D2D86">
        <w:rPr>
          <w:rFonts w:ascii="Calibri" w:hAnsi="Calibri"/>
          <w:i/>
          <w:iCs/>
          <w:lang w:val="en-US"/>
        </w:rPr>
        <w:t>Medical Writing</w:t>
      </w:r>
      <w:r w:rsidR="000D2D86" w:rsidRPr="000D2D86">
        <w:rPr>
          <w:rFonts w:ascii="Calibri" w:hAnsi="Calibri"/>
          <w:lang w:val="en-US"/>
        </w:rPr>
        <w:t>, vol. 26, pp. 9–19, 2017.</w:t>
      </w:r>
    </w:p>
    <w:p w14:paraId="22C23EE7" w14:textId="77777777" w:rsidR="000D2D86" w:rsidRPr="000D2D86" w:rsidRDefault="000D2D86" w:rsidP="000D2D86">
      <w:pPr>
        <w:pStyle w:val="Bibliography"/>
        <w:rPr>
          <w:rFonts w:ascii="Calibri" w:hAnsi="Calibri"/>
          <w:lang w:val="en-US"/>
        </w:rPr>
      </w:pPr>
      <w:r w:rsidRPr="000D2D86">
        <w:rPr>
          <w:rFonts w:ascii="Calibri" w:hAnsi="Calibri"/>
          <w:lang w:val="en-US"/>
        </w:rPr>
        <w:t>[2]</w:t>
      </w:r>
      <w:r w:rsidRPr="000D2D86">
        <w:rPr>
          <w:rFonts w:ascii="Calibri" w:hAnsi="Calibri"/>
          <w:lang w:val="en-US"/>
        </w:rPr>
        <w:tab/>
        <w:t>“EudraLex Volume 10 Clinical trials guidelines.” 2014. [Online]. Available: https://health.ec.europa.eu/medicinal-products/eudralex/eudralex-volume-10_en</w:t>
      </w:r>
    </w:p>
    <w:p w14:paraId="10F3F704" w14:textId="77777777" w:rsidR="000D2D86" w:rsidRPr="000D2D86" w:rsidRDefault="000D2D86" w:rsidP="000D2D86">
      <w:pPr>
        <w:pStyle w:val="Bibliography"/>
        <w:rPr>
          <w:rFonts w:ascii="Calibri" w:hAnsi="Calibri"/>
          <w:lang w:val="en-US"/>
        </w:rPr>
      </w:pPr>
      <w:r w:rsidRPr="000D2D86">
        <w:rPr>
          <w:rFonts w:ascii="Calibri" w:hAnsi="Calibri"/>
          <w:lang w:val="en-US"/>
        </w:rPr>
        <w:t>[3]</w:t>
      </w:r>
      <w:r w:rsidRPr="000D2D86">
        <w:rPr>
          <w:rFonts w:ascii="Calibri" w:hAnsi="Calibri"/>
          <w:lang w:val="en-US"/>
        </w:rPr>
        <w:tab/>
        <w:t>I. C. H. Guideline, “ICH: Guidance on nonclinical safety studies for the conduct of human clinical trials and marketing authorization for pharmaceuticals M3 (R2). Version step 4 2009.,” 2009. [Online]. Available: https://database.ich.org/sites/default/files/M3_R2__Guideline.pdf</w:t>
      </w:r>
    </w:p>
    <w:p w14:paraId="7A5818C9" w14:textId="77777777" w:rsidR="000D2D86" w:rsidRPr="000D2D86" w:rsidRDefault="000D2D86" w:rsidP="000D2D86">
      <w:pPr>
        <w:pStyle w:val="Bibliography"/>
        <w:rPr>
          <w:rFonts w:ascii="Calibri" w:hAnsi="Calibri"/>
          <w:lang w:val="en-US"/>
        </w:rPr>
      </w:pPr>
      <w:r w:rsidRPr="000D2D86">
        <w:rPr>
          <w:rFonts w:ascii="Calibri" w:hAnsi="Calibri"/>
          <w:lang w:val="en-US"/>
        </w:rPr>
        <w:t>[4]</w:t>
      </w:r>
      <w:r w:rsidRPr="000D2D86">
        <w:rPr>
          <w:rFonts w:ascii="Calibri" w:hAnsi="Calibri"/>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20BBCA09" w14:textId="77777777" w:rsidR="000D2D86" w:rsidRPr="000D2D86" w:rsidRDefault="000D2D86" w:rsidP="000D2D86">
      <w:pPr>
        <w:pStyle w:val="Bibliography"/>
        <w:rPr>
          <w:rFonts w:ascii="Calibri" w:hAnsi="Calibri"/>
          <w:lang w:val="en-US"/>
        </w:rPr>
      </w:pPr>
      <w:r w:rsidRPr="000D2D86">
        <w:rPr>
          <w:rFonts w:ascii="Calibri" w:hAnsi="Calibri"/>
          <w:lang w:val="en-US"/>
        </w:rPr>
        <w:t>[5]</w:t>
      </w:r>
      <w:r w:rsidRPr="000D2D86">
        <w:rPr>
          <w:rFonts w:ascii="Calibri" w:hAnsi="Calibri"/>
          <w:lang w:val="en-US"/>
        </w:rPr>
        <w:tab/>
        <w:t>I. C. H. Guideline, “ICH: E6(R2) Good Clinical Practice (GCP). ICH Efficacy Guidelines.,” 2016. [Online]. Available: https://database.ich.org/sites/default/files/E6_R2_Addendum.pdf</w:t>
      </w:r>
    </w:p>
    <w:p w14:paraId="5F428E37" w14:textId="77777777" w:rsidR="000D2D86" w:rsidRPr="000D2D86" w:rsidRDefault="000D2D86" w:rsidP="000D2D86">
      <w:pPr>
        <w:pStyle w:val="Bibliography"/>
        <w:rPr>
          <w:rFonts w:ascii="Calibri" w:hAnsi="Calibri"/>
          <w:lang w:val="fr-CH"/>
        </w:rPr>
      </w:pPr>
      <w:r w:rsidRPr="000D2D86">
        <w:rPr>
          <w:rFonts w:ascii="Calibri" w:hAnsi="Calibri"/>
          <w:lang w:val="en-US"/>
        </w:rPr>
        <w:t>[6]</w:t>
      </w:r>
      <w:r w:rsidRPr="000D2D86">
        <w:rPr>
          <w:rFonts w:ascii="Calibri" w:hAnsi="Calibri"/>
          <w:lang w:val="en-US"/>
        </w:rPr>
        <w:tab/>
        <w:t xml:space="preserve">“EMA: Guideline on the requirements to the chemical and pharmaceutical quality documentation concerning investigational medicinal products in clinical trials.” </w:t>
      </w:r>
      <w:r w:rsidRPr="000D2D86">
        <w:rPr>
          <w:rFonts w:ascii="Calibri" w:hAnsi="Calibri"/>
          <w:lang w:val="fr-CH"/>
        </w:rPr>
        <w:t xml:space="preserve">[Online]. </w:t>
      </w:r>
      <w:proofErr w:type="spellStart"/>
      <w:proofErr w:type="gramStart"/>
      <w:r w:rsidRPr="000D2D86">
        <w:rPr>
          <w:rFonts w:ascii="Calibri" w:hAnsi="Calibri"/>
          <w:lang w:val="fr-CH"/>
        </w:rPr>
        <w:t>Available</w:t>
      </w:r>
      <w:proofErr w:type="spellEnd"/>
      <w:r w:rsidRPr="000D2D86">
        <w:rPr>
          <w:rFonts w:ascii="Calibri" w:hAnsi="Calibri"/>
          <w:lang w:val="fr-CH"/>
        </w:rPr>
        <w:t>:</w:t>
      </w:r>
      <w:proofErr w:type="gramEnd"/>
      <w:r w:rsidRPr="000D2D86">
        <w:rPr>
          <w:rFonts w:ascii="Calibri" w:hAnsi="Calibri"/>
          <w:lang w:val="fr-CH"/>
        </w:rPr>
        <w:t xml:space="preserve"> https://www.ema.europa.eu/en/documents/scientific-guideline/guideline-requirements-chemical-pharmaceutical-quality-documentation-concerning-investigational_en-1.pdf</w:t>
      </w:r>
    </w:p>
    <w:p w14:paraId="1756B0BF" w14:textId="77777777" w:rsidR="000D2D86" w:rsidRPr="000D2D86" w:rsidRDefault="000D2D86" w:rsidP="000D2D86">
      <w:pPr>
        <w:pStyle w:val="Bibliography"/>
        <w:rPr>
          <w:rFonts w:ascii="Calibri" w:hAnsi="Calibri"/>
          <w:lang w:val="en-US"/>
        </w:rPr>
      </w:pPr>
      <w:r w:rsidRPr="000D2D86">
        <w:rPr>
          <w:rFonts w:ascii="Calibri" w:hAnsi="Calibri"/>
          <w:lang w:val="en-US"/>
        </w:rPr>
        <w:t>[7]</w:t>
      </w:r>
      <w:r w:rsidRPr="000D2D86">
        <w:rPr>
          <w:rFonts w:ascii="Calibri" w:hAnsi="Calibri"/>
          <w:lang w:val="en-US"/>
        </w:rPr>
        <w:tab/>
        <w:t xml:space="preserve">H. Ledford, “‘Master protocol’ aims to revamp cancer trials.,” </w:t>
      </w:r>
      <w:r w:rsidRPr="000D2D86">
        <w:rPr>
          <w:rFonts w:ascii="Calibri" w:hAnsi="Calibri"/>
          <w:i/>
          <w:iCs/>
          <w:lang w:val="en-US"/>
        </w:rPr>
        <w:t>Nature</w:t>
      </w:r>
      <w:r w:rsidRPr="000D2D86">
        <w:rPr>
          <w:rFonts w:ascii="Calibri" w:hAnsi="Calibri"/>
          <w:lang w:val="en-US"/>
        </w:rPr>
        <w:t xml:space="preserve">, vol. 498, no. 7453, pp. 146–147, Jun. 2013, </w:t>
      </w:r>
      <w:proofErr w:type="spellStart"/>
      <w:r w:rsidRPr="000D2D86">
        <w:rPr>
          <w:rFonts w:ascii="Calibri" w:hAnsi="Calibri"/>
          <w:lang w:val="en-US"/>
        </w:rPr>
        <w:t>doi</w:t>
      </w:r>
      <w:proofErr w:type="spellEnd"/>
      <w:r w:rsidRPr="000D2D86">
        <w:rPr>
          <w:rFonts w:ascii="Calibri" w:hAnsi="Calibri"/>
          <w:lang w:val="en-US"/>
        </w:rPr>
        <w:t>: 10.1038/498146a.</w:t>
      </w:r>
    </w:p>
    <w:p w14:paraId="73C73DEA" w14:textId="77777777" w:rsidR="000D2D86" w:rsidRPr="000D2D86" w:rsidRDefault="000D2D86" w:rsidP="000D2D86">
      <w:pPr>
        <w:pStyle w:val="Bibliography"/>
        <w:rPr>
          <w:rFonts w:ascii="Calibri" w:hAnsi="Calibri"/>
          <w:lang w:val="en-US"/>
        </w:rPr>
      </w:pPr>
      <w:r w:rsidRPr="000D2D86">
        <w:rPr>
          <w:rFonts w:ascii="Calibri" w:hAnsi="Calibri"/>
          <w:lang w:val="en-US"/>
        </w:rPr>
        <w:t>[8]</w:t>
      </w:r>
      <w:r w:rsidRPr="000D2D86">
        <w:rPr>
          <w:rFonts w:ascii="Calibri" w:hAnsi="Calibri"/>
          <w:lang w:val="en-US"/>
        </w:rPr>
        <w:tab/>
        <w:t xml:space="preserve">J. Woodcock and L. M. </w:t>
      </w:r>
      <w:proofErr w:type="spellStart"/>
      <w:r w:rsidRPr="000D2D86">
        <w:rPr>
          <w:rFonts w:ascii="Calibri" w:hAnsi="Calibri"/>
          <w:lang w:val="en-US"/>
        </w:rPr>
        <w:t>LaVange</w:t>
      </w:r>
      <w:proofErr w:type="spellEnd"/>
      <w:r w:rsidRPr="000D2D86">
        <w:rPr>
          <w:rFonts w:ascii="Calibri" w:hAnsi="Calibri"/>
          <w:lang w:val="en-US"/>
        </w:rPr>
        <w:t xml:space="preserve">, “Master Protocols to Study Multiple Therapies, Multiple Diseases, or Both.,” </w:t>
      </w:r>
      <w:r w:rsidRPr="000D2D86">
        <w:rPr>
          <w:rFonts w:ascii="Calibri" w:hAnsi="Calibri"/>
          <w:i/>
          <w:iCs/>
          <w:lang w:val="en-US"/>
        </w:rPr>
        <w:t xml:space="preserve">N </w:t>
      </w:r>
      <w:proofErr w:type="spellStart"/>
      <w:r w:rsidRPr="000D2D86">
        <w:rPr>
          <w:rFonts w:ascii="Calibri" w:hAnsi="Calibri"/>
          <w:i/>
          <w:iCs/>
          <w:lang w:val="en-US"/>
        </w:rPr>
        <w:t>Engl</w:t>
      </w:r>
      <w:proofErr w:type="spellEnd"/>
      <w:r w:rsidRPr="000D2D86">
        <w:rPr>
          <w:rFonts w:ascii="Calibri" w:hAnsi="Calibri"/>
          <w:i/>
          <w:iCs/>
          <w:lang w:val="en-US"/>
        </w:rPr>
        <w:t xml:space="preserve"> J Med</w:t>
      </w:r>
      <w:r w:rsidRPr="000D2D86">
        <w:rPr>
          <w:rFonts w:ascii="Calibri" w:hAnsi="Calibri"/>
          <w:lang w:val="en-US"/>
        </w:rPr>
        <w:t xml:space="preserve">, vol. 377, no. 1, pp. 62–70, Jul. 2017, </w:t>
      </w:r>
      <w:proofErr w:type="spellStart"/>
      <w:r w:rsidRPr="000D2D86">
        <w:rPr>
          <w:rFonts w:ascii="Calibri" w:hAnsi="Calibri"/>
          <w:lang w:val="en-US"/>
        </w:rPr>
        <w:t>doi</w:t>
      </w:r>
      <w:proofErr w:type="spellEnd"/>
      <w:r w:rsidRPr="000D2D86">
        <w:rPr>
          <w:rFonts w:ascii="Calibri" w:hAnsi="Calibri"/>
          <w:lang w:val="en-US"/>
        </w:rPr>
        <w:t>: 10.1056/NEJMra1510062.</w:t>
      </w:r>
    </w:p>
    <w:p w14:paraId="3D9F327E" w14:textId="77777777" w:rsidR="000D2D86" w:rsidRPr="000D2D86" w:rsidRDefault="000D2D86" w:rsidP="000D2D86">
      <w:pPr>
        <w:pStyle w:val="Bibliography"/>
        <w:rPr>
          <w:rFonts w:ascii="Calibri" w:hAnsi="Calibri"/>
          <w:lang w:val="en-US"/>
        </w:rPr>
      </w:pPr>
      <w:r w:rsidRPr="000D2D86">
        <w:rPr>
          <w:rFonts w:ascii="Calibri" w:hAnsi="Calibri"/>
          <w:lang w:val="en-US"/>
        </w:rPr>
        <w:t>[9]</w:t>
      </w:r>
      <w:r w:rsidRPr="000D2D86">
        <w:rPr>
          <w:rFonts w:ascii="Calibri" w:hAnsi="Calibri"/>
          <w:lang w:val="en-US"/>
        </w:rPr>
        <w:tab/>
        <w:t xml:space="preserve">D. </w:t>
      </w:r>
      <w:proofErr w:type="spellStart"/>
      <w:r w:rsidRPr="000D2D86">
        <w:rPr>
          <w:rFonts w:ascii="Calibri" w:hAnsi="Calibri"/>
          <w:lang w:val="en-US"/>
        </w:rPr>
        <w:t>Zahavi</w:t>
      </w:r>
      <w:proofErr w:type="spellEnd"/>
      <w:r w:rsidRPr="000D2D86">
        <w:rPr>
          <w:rFonts w:ascii="Calibri" w:hAnsi="Calibri"/>
          <w:lang w:val="en-US"/>
        </w:rPr>
        <w:t xml:space="preserve"> and L. Weiner, “Monoclonal antibodies in cancer therapy,” </w:t>
      </w:r>
      <w:r w:rsidRPr="000D2D86">
        <w:rPr>
          <w:rFonts w:ascii="Calibri" w:hAnsi="Calibri"/>
          <w:i/>
          <w:iCs/>
          <w:lang w:val="en-US"/>
        </w:rPr>
        <w:t>Antibodies</w:t>
      </w:r>
      <w:r w:rsidRPr="000D2D86">
        <w:rPr>
          <w:rFonts w:ascii="Calibri" w:hAnsi="Calibri"/>
          <w:lang w:val="en-US"/>
        </w:rPr>
        <w:t>, vol. 9, no. 3, p. 34, 2020.</w:t>
      </w:r>
    </w:p>
    <w:p w14:paraId="1F60E89D" w14:textId="77777777" w:rsidR="000D2D86" w:rsidRPr="000D2D86" w:rsidRDefault="000D2D86" w:rsidP="000D2D86">
      <w:pPr>
        <w:pStyle w:val="Bibliography"/>
        <w:rPr>
          <w:rFonts w:ascii="Calibri" w:hAnsi="Calibri"/>
          <w:lang w:val="en-US"/>
        </w:rPr>
      </w:pPr>
      <w:r w:rsidRPr="000D2D86">
        <w:rPr>
          <w:rFonts w:ascii="Calibri" w:hAnsi="Calibri"/>
          <w:lang w:val="en-US"/>
        </w:rPr>
        <w:t>[10]</w:t>
      </w:r>
      <w:r w:rsidRPr="000D2D86">
        <w:rPr>
          <w:rFonts w:ascii="Calibri" w:hAnsi="Calibri"/>
          <w:lang w:val="en-US"/>
        </w:rPr>
        <w:tab/>
        <w:t xml:space="preserve">K. </w:t>
      </w:r>
      <w:proofErr w:type="spellStart"/>
      <w:r w:rsidRPr="000D2D86">
        <w:rPr>
          <w:rFonts w:ascii="Calibri" w:hAnsi="Calibri"/>
          <w:lang w:val="en-US"/>
        </w:rPr>
        <w:t>Rajewsky</w:t>
      </w:r>
      <w:proofErr w:type="spellEnd"/>
      <w:r w:rsidRPr="000D2D86">
        <w:rPr>
          <w:rFonts w:ascii="Calibri" w:hAnsi="Calibri"/>
          <w:lang w:val="en-US"/>
        </w:rPr>
        <w:t xml:space="preserve">, </w:t>
      </w:r>
      <w:proofErr w:type="gramStart"/>
      <w:r w:rsidRPr="000D2D86">
        <w:rPr>
          <w:rFonts w:ascii="Calibri" w:hAnsi="Calibri"/>
          <w:i/>
          <w:iCs/>
          <w:lang w:val="en-US"/>
        </w:rPr>
        <w:t>The</w:t>
      </w:r>
      <w:proofErr w:type="gramEnd"/>
      <w:r w:rsidRPr="000D2D86">
        <w:rPr>
          <w:rFonts w:ascii="Calibri" w:hAnsi="Calibri"/>
          <w:i/>
          <w:iCs/>
          <w:lang w:val="en-US"/>
        </w:rPr>
        <w:t xml:space="preserve"> advent and rise of monoclonal antibodies</w:t>
      </w:r>
      <w:r w:rsidRPr="000D2D86">
        <w:rPr>
          <w:rFonts w:ascii="Calibri" w:hAnsi="Calibri"/>
          <w:lang w:val="en-US"/>
        </w:rPr>
        <w:t>. Nature Publishing Group, 2019.</w:t>
      </w:r>
    </w:p>
    <w:p w14:paraId="63C88488" w14:textId="77777777" w:rsidR="000D2D86" w:rsidRPr="000D2D86" w:rsidRDefault="000D2D86" w:rsidP="000D2D86">
      <w:pPr>
        <w:pStyle w:val="Bibliography"/>
        <w:rPr>
          <w:rFonts w:ascii="Calibri" w:hAnsi="Calibri"/>
          <w:lang w:val="en-US"/>
        </w:rPr>
      </w:pPr>
      <w:r w:rsidRPr="000D2D86">
        <w:rPr>
          <w:rFonts w:ascii="Calibri" w:hAnsi="Calibri"/>
          <w:lang w:val="en-US"/>
        </w:rPr>
        <w:t>[11]</w:t>
      </w:r>
      <w:r w:rsidRPr="000D2D86">
        <w:rPr>
          <w:rFonts w:ascii="Calibri" w:hAnsi="Calibri"/>
          <w:lang w:val="en-US"/>
        </w:rPr>
        <w:tab/>
        <w:t xml:space="preserve">A. </w:t>
      </w:r>
      <w:proofErr w:type="spellStart"/>
      <w:r w:rsidRPr="000D2D86">
        <w:rPr>
          <w:rFonts w:ascii="Calibri" w:hAnsi="Calibri"/>
          <w:lang w:val="en-US"/>
        </w:rPr>
        <w:t>Mullard</w:t>
      </w:r>
      <w:proofErr w:type="spellEnd"/>
      <w:r w:rsidRPr="000D2D86">
        <w:rPr>
          <w:rFonts w:ascii="Calibri" w:hAnsi="Calibri"/>
          <w:lang w:val="en-US"/>
        </w:rPr>
        <w:t xml:space="preserve">, “FDA approves 100th monoclonal antibody product.,” </w:t>
      </w:r>
      <w:r w:rsidRPr="000D2D86">
        <w:rPr>
          <w:rFonts w:ascii="Calibri" w:hAnsi="Calibri"/>
          <w:i/>
          <w:iCs/>
          <w:lang w:val="en-US"/>
        </w:rPr>
        <w:t>Nature reviews. Drug discovery</w:t>
      </w:r>
      <w:r w:rsidRPr="000D2D86">
        <w:rPr>
          <w:rFonts w:ascii="Calibri" w:hAnsi="Calibri"/>
          <w:lang w:val="en-US"/>
        </w:rPr>
        <w:t>, 2021.</w:t>
      </w:r>
    </w:p>
    <w:p w14:paraId="1E9149C6" w14:textId="77777777" w:rsidR="000D2D86" w:rsidRPr="000D2D86" w:rsidRDefault="000D2D86" w:rsidP="000D2D86">
      <w:pPr>
        <w:pStyle w:val="Bibliography"/>
        <w:rPr>
          <w:rFonts w:ascii="Calibri" w:hAnsi="Calibri"/>
          <w:lang w:val="en-US"/>
        </w:rPr>
      </w:pPr>
      <w:r w:rsidRPr="000D2D86">
        <w:rPr>
          <w:rFonts w:ascii="Calibri" w:hAnsi="Calibri"/>
          <w:lang w:val="en-US"/>
        </w:rPr>
        <w:t>[12]</w:t>
      </w:r>
      <w:r w:rsidRPr="000D2D86">
        <w:rPr>
          <w:rFonts w:ascii="Calibri" w:hAnsi="Calibri"/>
          <w:lang w:val="en-US"/>
        </w:rPr>
        <w:tab/>
        <w:t xml:space="preserve">J. T. Ryman and B. </w:t>
      </w:r>
      <w:proofErr w:type="spellStart"/>
      <w:r w:rsidRPr="000D2D86">
        <w:rPr>
          <w:rFonts w:ascii="Calibri" w:hAnsi="Calibri"/>
          <w:lang w:val="en-US"/>
        </w:rPr>
        <w:t>Meibohm</w:t>
      </w:r>
      <w:proofErr w:type="spellEnd"/>
      <w:r w:rsidRPr="000D2D86">
        <w:rPr>
          <w:rFonts w:ascii="Calibri" w:hAnsi="Calibri"/>
          <w:lang w:val="en-US"/>
        </w:rPr>
        <w:t xml:space="preserve">, “Pharmacokinetics of monoclonal antibodies,” </w:t>
      </w:r>
      <w:r w:rsidRPr="000D2D86">
        <w:rPr>
          <w:rFonts w:ascii="Calibri" w:hAnsi="Calibri"/>
          <w:i/>
          <w:iCs/>
          <w:lang w:val="en-US"/>
        </w:rPr>
        <w:t>CPT: pharmacometrics &amp; systems pharmacology</w:t>
      </w:r>
      <w:r w:rsidRPr="000D2D86">
        <w:rPr>
          <w:rFonts w:ascii="Calibri" w:hAnsi="Calibri"/>
          <w:lang w:val="en-US"/>
        </w:rPr>
        <w:t>, vol. 6, no. 9, pp. 576–588, 2017.</w:t>
      </w:r>
    </w:p>
    <w:p w14:paraId="46C7E7C7" w14:textId="77777777" w:rsidR="000D2D86" w:rsidRPr="000D2D86" w:rsidRDefault="000D2D86" w:rsidP="000D2D86">
      <w:pPr>
        <w:pStyle w:val="Bibliography"/>
        <w:rPr>
          <w:rFonts w:ascii="Calibri" w:hAnsi="Calibri"/>
          <w:lang w:val="en-US"/>
        </w:rPr>
      </w:pPr>
      <w:r w:rsidRPr="000D2D86">
        <w:rPr>
          <w:rFonts w:ascii="Calibri" w:hAnsi="Calibri"/>
          <w:lang w:val="en-US"/>
        </w:rPr>
        <w:t>[13]</w:t>
      </w:r>
      <w:r w:rsidRPr="000D2D86">
        <w:rPr>
          <w:rFonts w:ascii="Calibri" w:hAnsi="Calibri"/>
          <w:lang w:val="en-US"/>
        </w:rPr>
        <w:tab/>
        <w:t xml:space="preserve">T. T. Hansel, H. </w:t>
      </w:r>
      <w:proofErr w:type="spellStart"/>
      <w:r w:rsidRPr="000D2D86">
        <w:rPr>
          <w:rFonts w:ascii="Calibri" w:hAnsi="Calibri"/>
          <w:lang w:val="en-US"/>
        </w:rPr>
        <w:t>Kropshofer</w:t>
      </w:r>
      <w:proofErr w:type="spellEnd"/>
      <w:r w:rsidRPr="000D2D86">
        <w:rPr>
          <w:rFonts w:ascii="Calibri" w:hAnsi="Calibri"/>
          <w:lang w:val="en-US"/>
        </w:rPr>
        <w:t xml:space="preserve">, T. Singer, J. A. Mitchell, and A. J. George, “The safety and side effects of monoclonal antibodies,” </w:t>
      </w:r>
      <w:r w:rsidRPr="000D2D86">
        <w:rPr>
          <w:rFonts w:ascii="Calibri" w:hAnsi="Calibri"/>
          <w:i/>
          <w:iCs/>
          <w:lang w:val="en-US"/>
        </w:rPr>
        <w:t>Nature reviews Drug discovery</w:t>
      </w:r>
      <w:r w:rsidRPr="000D2D86">
        <w:rPr>
          <w:rFonts w:ascii="Calibri" w:hAnsi="Calibri"/>
          <w:lang w:val="en-US"/>
        </w:rPr>
        <w:t>, vol. 9, no. 4, pp. 325–338, 2010.</w:t>
      </w:r>
    </w:p>
    <w:p w14:paraId="7E1395A1" w14:textId="77777777" w:rsidR="000D2D86" w:rsidRPr="000D2D86" w:rsidRDefault="000D2D86" w:rsidP="000D2D86">
      <w:pPr>
        <w:pStyle w:val="Bibliography"/>
        <w:rPr>
          <w:rFonts w:ascii="Calibri" w:hAnsi="Calibri"/>
          <w:lang w:val="en-US"/>
        </w:rPr>
      </w:pPr>
      <w:r w:rsidRPr="000D2D86">
        <w:rPr>
          <w:rFonts w:ascii="Calibri" w:hAnsi="Calibri"/>
          <w:lang w:val="en-US"/>
        </w:rPr>
        <w:t>[14]</w:t>
      </w:r>
      <w:r w:rsidRPr="000D2D86">
        <w:rPr>
          <w:rFonts w:ascii="Calibri" w:hAnsi="Calibri"/>
          <w:lang w:val="en-US"/>
        </w:rPr>
        <w:tab/>
        <w:t xml:space="preserve">G. </w:t>
      </w:r>
      <w:proofErr w:type="spellStart"/>
      <w:r w:rsidRPr="000D2D86">
        <w:rPr>
          <w:rFonts w:ascii="Calibri" w:hAnsi="Calibri"/>
          <w:lang w:val="en-US"/>
        </w:rPr>
        <w:t>Suntharalingam</w:t>
      </w:r>
      <w:proofErr w:type="spellEnd"/>
      <w:r w:rsidRPr="000D2D86">
        <w:rPr>
          <w:rFonts w:ascii="Calibri" w:hAnsi="Calibri"/>
          <w:lang w:val="en-US"/>
        </w:rPr>
        <w:t xml:space="preserve"> </w:t>
      </w:r>
      <w:r w:rsidRPr="000D2D86">
        <w:rPr>
          <w:rFonts w:ascii="Calibri" w:hAnsi="Calibri"/>
          <w:i/>
          <w:iCs/>
          <w:lang w:val="en-US"/>
        </w:rPr>
        <w:t>et al.</w:t>
      </w:r>
      <w:r w:rsidRPr="000D2D86">
        <w:rPr>
          <w:rFonts w:ascii="Calibri" w:hAnsi="Calibri"/>
          <w:lang w:val="en-US"/>
        </w:rPr>
        <w:t xml:space="preserve">, “Cytokine storm in a phase 1 trial of the anti-CD28 monoclonal antibody TGN1412.,” </w:t>
      </w:r>
      <w:r w:rsidRPr="000D2D86">
        <w:rPr>
          <w:rFonts w:ascii="Calibri" w:hAnsi="Calibri"/>
          <w:i/>
          <w:iCs/>
          <w:lang w:val="en-US"/>
        </w:rPr>
        <w:t xml:space="preserve">N </w:t>
      </w:r>
      <w:proofErr w:type="spellStart"/>
      <w:r w:rsidRPr="000D2D86">
        <w:rPr>
          <w:rFonts w:ascii="Calibri" w:hAnsi="Calibri"/>
          <w:i/>
          <w:iCs/>
          <w:lang w:val="en-US"/>
        </w:rPr>
        <w:t>Engl</w:t>
      </w:r>
      <w:proofErr w:type="spellEnd"/>
      <w:r w:rsidRPr="000D2D86">
        <w:rPr>
          <w:rFonts w:ascii="Calibri" w:hAnsi="Calibri"/>
          <w:i/>
          <w:iCs/>
          <w:lang w:val="en-US"/>
        </w:rPr>
        <w:t xml:space="preserve"> J Med</w:t>
      </w:r>
      <w:r w:rsidRPr="000D2D86">
        <w:rPr>
          <w:rFonts w:ascii="Calibri" w:hAnsi="Calibri"/>
          <w:lang w:val="en-US"/>
        </w:rPr>
        <w:t xml:space="preserve">, vol. 355, no. 10, pp. 1018–1028, Sep. 2006, </w:t>
      </w:r>
      <w:proofErr w:type="spellStart"/>
      <w:r w:rsidRPr="000D2D86">
        <w:rPr>
          <w:rFonts w:ascii="Calibri" w:hAnsi="Calibri"/>
          <w:lang w:val="en-US"/>
        </w:rPr>
        <w:t>doi</w:t>
      </w:r>
      <w:proofErr w:type="spellEnd"/>
      <w:r w:rsidRPr="000D2D86">
        <w:rPr>
          <w:rFonts w:ascii="Calibri" w:hAnsi="Calibri"/>
          <w:lang w:val="en-US"/>
        </w:rPr>
        <w:t>: 10.1056/NEJMoa063842.</w:t>
      </w:r>
    </w:p>
    <w:p w14:paraId="5060479C" w14:textId="77777777" w:rsidR="000D2D86" w:rsidRPr="000D2D86" w:rsidRDefault="000D2D86" w:rsidP="000D2D86">
      <w:pPr>
        <w:pStyle w:val="Bibliography"/>
        <w:rPr>
          <w:rFonts w:ascii="Calibri" w:hAnsi="Calibri"/>
          <w:lang w:val="en-US"/>
        </w:rPr>
      </w:pPr>
      <w:r w:rsidRPr="000D2D86">
        <w:rPr>
          <w:rFonts w:ascii="Calibri" w:hAnsi="Calibri"/>
          <w:lang w:val="en-US"/>
        </w:rPr>
        <w:lastRenderedPageBreak/>
        <w:t>[15]</w:t>
      </w:r>
      <w:r w:rsidRPr="000D2D86">
        <w:rPr>
          <w:rFonts w:ascii="Calibri" w:hAnsi="Calibri"/>
          <w:lang w:val="en-US"/>
        </w:rPr>
        <w:tab/>
        <w:t xml:space="preserve">L. M. Weiner, R. Surana, and S. Wang, “Monoclonal antibodies: versatile platforms for cancer immunotherapy,” </w:t>
      </w:r>
      <w:r w:rsidRPr="000D2D86">
        <w:rPr>
          <w:rFonts w:ascii="Calibri" w:hAnsi="Calibri"/>
          <w:i/>
          <w:iCs/>
          <w:lang w:val="en-US"/>
        </w:rPr>
        <w:t>Nature Reviews Immunology</w:t>
      </w:r>
      <w:r w:rsidRPr="000D2D86">
        <w:rPr>
          <w:rFonts w:ascii="Calibri" w:hAnsi="Calibri"/>
          <w:lang w:val="en-US"/>
        </w:rPr>
        <w:t>, vol. 10, no. 5, pp. 317–327, 2010.</w:t>
      </w:r>
    </w:p>
    <w:p w14:paraId="18A80AE9" w14:textId="77777777" w:rsidR="000D2D86" w:rsidRPr="000D2D86" w:rsidRDefault="000D2D86" w:rsidP="000D2D86">
      <w:pPr>
        <w:pStyle w:val="Bibliography"/>
        <w:rPr>
          <w:rFonts w:ascii="Calibri" w:hAnsi="Calibri"/>
          <w:lang w:val="en-US"/>
        </w:rPr>
      </w:pPr>
      <w:r w:rsidRPr="000D2D86">
        <w:rPr>
          <w:rFonts w:ascii="Calibri" w:hAnsi="Calibri"/>
          <w:lang w:val="en-US"/>
        </w:rPr>
        <w:t>[16]</w:t>
      </w:r>
      <w:r w:rsidRPr="000D2D86">
        <w:rPr>
          <w:rFonts w:ascii="Calibri" w:hAnsi="Calibri"/>
          <w:lang w:val="en-US"/>
        </w:rPr>
        <w:tab/>
        <w:t xml:space="preserve">R. </w:t>
      </w:r>
      <w:proofErr w:type="spellStart"/>
      <w:r w:rsidRPr="000D2D86">
        <w:rPr>
          <w:rFonts w:ascii="Calibri" w:hAnsi="Calibri"/>
          <w:lang w:val="en-US"/>
        </w:rPr>
        <w:t>Balocco</w:t>
      </w:r>
      <w:proofErr w:type="spellEnd"/>
      <w:r w:rsidRPr="000D2D86">
        <w:rPr>
          <w:rFonts w:ascii="Calibri" w:hAnsi="Calibri"/>
          <w:lang w:val="en-US"/>
        </w:rPr>
        <w:t xml:space="preserve">, S. D. S. G. Koch, R. Thorpe, K. Weisser, and S. Malan, “New INN nomenclature for monoclonal antibodies,” </w:t>
      </w:r>
      <w:r w:rsidRPr="000D2D86">
        <w:rPr>
          <w:rFonts w:ascii="Calibri" w:hAnsi="Calibri"/>
          <w:i/>
          <w:iCs/>
          <w:lang w:val="en-US"/>
        </w:rPr>
        <w:t>The Lancet</w:t>
      </w:r>
      <w:r w:rsidRPr="000D2D86">
        <w:rPr>
          <w:rFonts w:ascii="Calibri" w:hAnsi="Calibri"/>
          <w:lang w:val="en-US"/>
        </w:rPr>
        <w:t>, vol. 399, no. 10319, p. 24, 2022.</w:t>
      </w:r>
    </w:p>
    <w:p w14:paraId="01B73AF4" w14:textId="77777777" w:rsidR="000D2D86" w:rsidRPr="000D2D86" w:rsidRDefault="000D2D86" w:rsidP="000D2D86">
      <w:pPr>
        <w:pStyle w:val="Bibliography"/>
        <w:rPr>
          <w:rFonts w:ascii="Calibri" w:hAnsi="Calibri"/>
          <w:lang w:val="en-US"/>
        </w:rPr>
      </w:pPr>
      <w:r w:rsidRPr="000D2D86">
        <w:rPr>
          <w:rFonts w:ascii="Calibri" w:hAnsi="Calibri"/>
          <w:lang w:val="en-US"/>
        </w:rPr>
        <w:t>[17]</w:t>
      </w:r>
      <w:r w:rsidRPr="000D2D86">
        <w:rPr>
          <w:rFonts w:ascii="Calibri" w:hAnsi="Calibri"/>
          <w:lang w:val="en-US"/>
        </w:rPr>
        <w:tab/>
        <w:t xml:space="preserve">S. M. </w:t>
      </w:r>
      <w:proofErr w:type="spellStart"/>
      <w:r w:rsidRPr="000D2D86">
        <w:rPr>
          <w:rFonts w:ascii="Calibri" w:hAnsi="Calibri"/>
          <w:lang w:val="en-US"/>
        </w:rPr>
        <w:t>Chiavenna</w:t>
      </w:r>
      <w:proofErr w:type="spellEnd"/>
      <w:r w:rsidRPr="000D2D86">
        <w:rPr>
          <w:rFonts w:ascii="Calibri" w:hAnsi="Calibri"/>
          <w:lang w:val="en-US"/>
        </w:rPr>
        <w:t xml:space="preserve">, J. P. Jaworski, and A. </w:t>
      </w:r>
      <w:proofErr w:type="spellStart"/>
      <w:r w:rsidRPr="000D2D86">
        <w:rPr>
          <w:rFonts w:ascii="Calibri" w:hAnsi="Calibri"/>
          <w:lang w:val="en-US"/>
        </w:rPr>
        <w:t>Vendrell</w:t>
      </w:r>
      <w:proofErr w:type="spellEnd"/>
      <w:r w:rsidRPr="000D2D86">
        <w:rPr>
          <w:rFonts w:ascii="Calibri" w:hAnsi="Calibri"/>
          <w:lang w:val="en-US"/>
        </w:rPr>
        <w:t xml:space="preserve">, “State of the art in anti-cancer </w:t>
      </w:r>
      <w:proofErr w:type="spellStart"/>
      <w:r w:rsidRPr="000D2D86">
        <w:rPr>
          <w:rFonts w:ascii="Calibri" w:hAnsi="Calibri"/>
          <w:lang w:val="en-US"/>
        </w:rPr>
        <w:t>mAbs</w:t>
      </w:r>
      <w:proofErr w:type="spellEnd"/>
      <w:r w:rsidRPr="000D2D86">
        <w:rPr>
          <w:rFonts w:ascii="Calibri" w:hAnsi="Calibri"/>
          <w:lang w:val="en-US"/>
        </w:rPr>
        <w:t xml:space="preserve">.,” </w:t>
      </w:r>
      <w:r w:rsidRPr="000D2D86">
        <w:rPr>
          <w:rFonts w:ascii="Calibri" w:hAnsi="Calibri"/>
          <w:i/>
          <w:iCs/>
          <w:lang w:val="en-US"/>
        </w:rPr>
        <w:t>J Biomed Sci</w:t>
      </w:r>
      <w:r w:rsidRPr="000D2D86">
        <w:rPr>
          <w:rFonts w:ascii="Calibri" w:hAnsi="Calibri"/>
          <w:lang w:val="en-US"/>
        </w:rPr>
        <w:t xml:space="preserve">, vol. 24, no. 1, p. 15, Feb. 2017, </w:t>
      </w:r>
      <w:proofErr w:type="spellStart"/>
      <w:r w:rsidRPr="000D2D86">
        <w:rPr>
          <w:rFonts w:ascii="Calibri" w:hAnsi="Calibri"/>
          <w:lang w:val="en-US"/>
        </w:rPr>
        <w:t>doi</w:t>
      </w:r>
      <w:proofErr w:type="spellEnd"/>
      <w:r w:rsidRPr="000D2D86">
        <w:rPr>
          <w:rFonts w:ascii="Calibri" w:hAnsi="Calibri"/>
          <w:lang w:val="en-US"/>
        </w:rPr>
        <w:t>: 10.1186/s12929-016-0311-y.</w:t>
      </w:r>
    </w:p>
    <w:p w14:paraId="2E40B580" w14:textId="0A2AEEE3" w:rsidR="005836BF" w:rsidRPr="00822AF5" w:rsidRDefault="00DD3EB6" w:rsidP="001E456A">
      <w:pPr>
        <w:spacing w:before="120" w:line="360" w:lineRule="auto"/>
        <w:rPr>
          <w:rFonts w:ascii="Calibri" w:hAnsi="Calibri" w:cs="Calibri"/>
        </w:rPr>
      </w:pPr>
      <w:r w:rsidRPr="00822AF5">
        <w:rPr>
          <w:rFonts w:ascii="Calibri" w:hAnsi="Calibri" w:cs="Calibri"/>
        </w:rPr>
        <w:fldChar w:fldCharType="end"/>
      </w:r>
    </w:p>
    <w:sectPr w:rsidR="005836BF" w:rsidRPr="00822AF5">
      <w:footerReference w:type="even" r:id="rId41"/>
      <w:footerReference w:type="default" r:id="rId4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39CD" w14:textId="77777777" w:rsidR="00A315B4" w:rsidRDefault="00A315B4" w:rsidP="001E456A">
      <w:r>
        <w:separator/>
      </w:r>
    </w:p>
  </w:endnote>
  <w:endnote w:type="continuationSeparator" w:id="0">
    <w:p w14:paraId="254F161D" w14:textId="77777777" w:rsidR="00A315B4" w:rsidRDefault="00A315B4" w:rsidP="001E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atoshi">
    <w:altName w:val="﷽﷽﷽﷽﷽﷽﷽﷽"/>
    <w:panose1 w:val="00000000000000000000"/>
    <w:charset w:val="4D"/>
    <w:family w:val="auto"/>
    <w:notTrueType/>
    <w:pitch w:val="variable"/>
    <w:sig w:usb0="8000004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0873271"/>
      <w:docPartObj>
        <w:docPartGallery w:val="Page Numbers (Bottom of Page)"/>
        <w:docPartUnique/>
      </w:docPartObj>
    </w:sdtPr>
    <w:sdtEndPr>
      <w:rPr>
        <w:rStyle w:val="PageNumber"/>
      </w:rPr>
    </w:sdtEndPr>
    <w:sdtContent>
      <w:p w14:paraId="5284B95B" w14:textId="315816D0" w:rsidR="001E456A" w:rsidRDefault="001E456A" w:rsidP="009B1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B7358" w14:textId="77777777" w:rsidR="001E456A" w:rsidRDefault="001E456A" w:rsidP="001E45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0635415"/>
      <w:docPartObj>
        <w:docPartGallery w:val="Page Numbers (Bottom of Page)"/>
        <w:docPartUnique/>
      </w:docPartObj>
    </w:sdtPr>
    <w:sdtEndPr>
      <w:rPr>
        <w:rStyle w:val="PageNumber"/>
      </w:rPr>
    </w:sdtEndPr>
    <w:sdtContent>
      <w:p w14:paraId="73887494" w14:textId="7F33DA5B" w:rsidR="001E456A" w:rsidRDefault="001E456A" w:rsidP="009B1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D4979" w14:textId="77777777" w:rsidR="001E456A" w:rsidRDefault="001E456A" w:rsidP="001E45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58DCA" w14:textId="77777777" w:rsidR="00A315B4" w:rsidRDefault="00A315B4" w:rsidP="001E456A">
      <w:r>
        <w:separator/>
      </w:r>
    </w:p>
  </w:footnote>
  <w:footnote w:type="continuationSeparator" w:id="0">
    <w:p w14:paraId="392F578A" w14:textId="77777777" w:rsidR="00A315B4" w:rsidRDefault="00A315B4" w:rsidP="001E4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4B72"/>
    <w:multiLevelType w:val="hybridMultilevel"/>
    <w:tmpl w:val="1CA43354"/>
    <w:lvl w:ilvl="0" w:tplc="9D924FB8">
      <w:start w:val="1"/>
      <w:numFmt w:val="decimal"/>
      <w:lvlText w:val="%1."/>
      <w:lvlJc w:val="left"/>
      <w:pPr>
        <w:tabs>
          <w:tab w:val="num" w:pos="720"/>
        </w:tabs>
        <w:ind w:left="720" w:hanging="360"/>
      </w:pPr>
    </w:lvl>
    <w:lvl w:ilvl="1" w:tplc="9A5067C4">
      <w:start w:val="1"/>
      <w:numFmt w:val="decimal"/>
      <w:lvlText w:val="%2."/>
      <w:lvlJc w:val="left"/>
      <w:pPr>
        <w:tabs>
          <w:tab w:val="num" w:pos="1440"/>
        </w:tabs>
        <w:ind w:left="1440" w:hanging="360"/>
      </w:pPr>
    </w:lvl>
    <w:lvl w:ilvl="2" w:tplc="5088DD0C">
      <w:start w:val="1"/>
      <w:numFmt w:val="decimal"/>
      <w:lvlText w:val="%3."/>
      <w:lvlJc w:val="left"/>
      <w:pPr>
        <w:tabs>
          <w:tab w:val="num" w:pos="2160"/>
        </w:tabs>
        <w:ind w:left="2160" w:hanging="360"/>
      </w:pPr>
    </w:lvl>
    <w:lvl w:ilvl="3" w:tplc="D49603C8" w:tentative="1">
      <w:start w:val="1"/>
      <w:numFmt w:val="decimal"/>
      <w:lvlText w:val="%4."/>
      <w:lvlJc w:val="left"/>
      <w:pPr>
        <w:tabs>
          <w:tab w:val="num" w:pos="2880"/>
        </w:tabs>
        <w:ind w:left="2880" w:hanging="360"/>
      </w:pPr>
    </w:lvl>
    <w:lvl w:ilvl="4" w:tplc="6EEEFCC4" w:tentative="1">
      <w:start w:val="1"/>
      <w:numFmt w:val="decimal"/>
      <w:lvlText w:val="%5."/>
      <w:lvlJc w:val="left"/>
      <w:pPr>
        <w:tabs>
          <w:tab w:val="num" w:pos="3600"/>
        </w:tabs>
        <w:ind w:left="3600" w:hanging="360"/>
      </w:pPr>
    </w:lvl>
    <w:lvl w:ilvl="5" w:tplc="B1C20F40" w:tentative="1">
      <w:start w:val="1"/>
      <w:numFmt w:val="decimal"/>
      <w:lvlText w:val="%6."/>
      <w:lvlJc w:val="left"/>
      <w:pPr>
        <w:tabs>
          <w:tab w:val="num" w:pos="4320"/>
        </w:tabs>
        <w:ind w:left="4320" w:hanging="360"/>
      </w:pPr>
    </w:lvl>
    <w:lvl w:ilvl="6" w:tplc="77CAED4E" w:tentative="1">
      <w:start w:val="1"/>
      <w:numFmt w:val="decimal"/>
      <w:lvlText w:val="%7."/>
      <w:lvlJc w:val="left"/>
      <w:pPr>
        <w:tabs>
          <w:tab w:val="num" w:pos="5040"/>
        </w:tabs>
        <w:ind w:left="5040" w:hanging="360"/>
      </w:pPr>
    </w:lvl>
    <w:lvl w:ilvl="7" w:tplc="6660DF98" w:tentative="1">
      <w:start w:val="1"/>
      <w:numFmt w:val="decimal"/>
      <w:lvlText w:val="%8."/>
      <w:lvlJc w:val="left"/>
      <w:pPr>
        <w:tabs>
          <w:tab w:val="num" w:pos="5760"/>
        </w:tabs>
        <w:ind w:left="5760" w:hanging="360"/>
      </w:pPr>
    </w:lvl>
    <w:lvl w:ilvl="8" w:tplc="4D06699C" w:tentative="1">
      <w:start w:val="1"/>
      <w:numFmt w:val="decimal"/>
      <w:lvlText w:val="%9."/>
      <w:lvlJc w:val="left"/>
      <w:pPr>
        <w:tabs>
          <w:tab w:val="num" w:pos="6480"/>
        </w:tabs>
        <w:ind w:left="6480" w:hanging="360"/>
      </w:pPr>
    </w:lvl>
  </w:abstractNum>
  <w:abstractNum w:abstractNumId="1"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D5319"/>
    <w:multiLevelType w:val="hybridMultilevel"/>
    <w:tmpl w:val="BA086F8A"/>
    <w:lvl w:ilvl="0" w:tplc="6BBA614A">
      <w:start w:val="5"/>
      <w:numFmt w:val="bullet"/>
      <w:lvlText w:val=""/>
      <w:lvlJc w:val="left"/>
      <w:pPr>
        <w:ind w:left="720" w:hanging="360"/>
      </w:pPr>
      <w:rPr>
        <w:rFonts w:ascii="Symbol" w:eastAsia="Times New Roman" w:hAnsi="Symbol" w:cs="Helvetica"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415A3"/>
    <w:multiLevelType w:val="hybridMultilevel"/>
    <w:tmpl w:val="9D8E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A1DDD"/>
    <w:multiLevelType w:val="hybridMultilevel"/>
    <w:tmpl w:val="A6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A458C"/>
    <w:multiLevelType w:val="hybridMultilevel"/>
    <w:tmpl w:val="942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01827"/>
    <w:rsid w:val="000430AA"/>
    <w:rsid w:val="0007227B"/>
    <w:rsid w:val="000C2469"/>
    <w:rsid w:val="000D2D86"/>
    <w:rsid w:val="00115CEE"/>
    <w:rsid w:val="001C68E0"/>
    <w:rsid w:val="001D28D2"/>
    <w:rsid w:val="001E456A"/>
    <w:rsid w:val="00223EDF"/>
    <w:rsid w:val="00231A35"/>
    <w:rsid w:val="0024086A"/>
    <w:rsid w:val="00251853"/>
    <w:rsid w:val="002E5DFB"/>
    <w:rsid w:val="003A0507"/>
    <w:rsid w:val="00417D7B"/>
    <w:rsid w:val="0042421F"/>
    <w:rsid w:val="00455819"/>
    <w:rsid w:val="004E78BC"/>
    <w:rsid w:val="004F6057"/>
    <w:rsid w:val="005836BF"/>
    <w:rsid w:val="00584166"/>
    <w:rsid w:val="00596C75"/>
    <w:rsid w:val="005C1B7D"/>
    <w:rsid w:val="005D6942"/>
    <w:rsid w:val="006436CC"/>
    <w:rsid w:val="00660E67"/>
    <w:rsid w:val="006C1C91"/>
    <w:rsid w:val="006F25EA"/>
    <w:rsid w:val="00716E1F"/>
    <w:rsid w:val="00730273"/>
    <w:rsid w:val="00761036"/>
    <w:rsid w:val="007A10A6"/>
    <w:rsid w:val="007A7490"/>
    <w:rsid w:val="007E1686"/>
    <w:rsid w:val="008110E1"/>
    <w:rsid w:val="00820322"/>
    <w:rsid w:val="00822AF5"/>
    <w:rsid w:val="008501DA"/>
    <w:rsid w:val="008925E8"/>
    <w:rsid w:val="008B3A1A"/>
    <w:rsid w:val="008D43E2"/>
    <w:rsid w:val="00910AC6"/>
    <w:rsid w:val="0094030F"/>
    <w:rsid w:val="009B237F"/>
    <w:rsid w:val="009B2E2A"/>
    <w:rsid w:val="009C7364"/>
    <w:rsid w:val="00A24B17"/>
    <w:rsid w:val="00A315B4"/>
    <w:rsid w:val="00A873D5"/>
    <w:rsid w:val="00AE1201"/>
    <w:rsid w:val="00B31AED"/>
    <w:rsid w:val="00BC28B3"/>
    <w:rsid w:val="00C03A15"/>
    <w:rsid w:val="00C2048C"/>
    <w:rsid w:val="00C32691"/>
    <w:rsid w:val="00C724F4"/>
    <w:rsid w:val="00C741A8"/>
    <w:rsid w:val="00C80EF7"/>
    <w:rsid w:val="00D303D4"/>
    <w:rsid w:val="00D51D74"/>
    <w:rsid w:val="00D971F5"/>
    <w:rsid w:val="00DB4DA1"/>
    <w:rsid w:val="00DD3EB6"/>
    <w:rsid w:val="00DF41F9"/>
    <w:rsid w:val="00E04BA6"/>
    <w:rsid w:val="00EC0C70"/>
    <w:rsid w:val="00EC3414"/>
    <w:rsid w:val="00EE09C0"/>
    <w:rsid w:val="00F236A3"/>
    <w:rsid w:val="00F3727D"/>
    <w:rsid w:val="00F5714C"/>
    <w:rsid w:val="00F854A6"/>
    <w:rsid w:val="00F928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057"/>
    <w:pPr>
      <w:spacing w:after="0" w:line="240" w:lineRule="auto"/>
    </w:pPr>
    <w:rPr>
      <w:rFonts w:ascii="Times New Roman" w:eastAsia="Times New Roman" w:hAnsi="Times New Roman"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F236A3"/>
    <w:pPr>
      <w:keepNext/>
      <w:keepLines/>
      <w:spacing w:before="360" w:after="80"/>
      <w:outlineLvl w:val="1"/>
    </w:pPr>
    <w:rPr>
      <w:rFonts w:asciiTheme="majorHAnsi" w:hAnsiTheme="majorHAnsi"/>
      <w:b/>
      <w:color w:val="2F5496" w:themeColor="accent1" w:themeShade="BF"/>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66"/>
    <w:pPr>
      <w:contextualSpacing/>
    </w:pPr>
    <w:rPr>
      <w:rFonts w:asciiTheme="majorHAnsi" w:eastAsiaTheme="majorEastAsia" w:hAnsiTheme="majorHAnsi" w:cstheme="majorBidi"/>
      <w:b/>
      <w:spacing w:val="-10"/>
      <w:kern w:val="28"/>
      <w:sz w:val="32"/>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584166"/>
    <w:rPr>
      <w:rFonts w:asciiTheme="majorHAnsi" w:eastAsiaTheme="majorEastAsia" w:hAnsiTheme="majorHAnsi" w:cstheme="majorBidi"/>
      <w:b/>
      <w:spacing w:val="-10"/>
      <w:kern w:val="28"/>
      <w:sz w:val="32"/>
      <w:szCs w:val="56"/>
      <w:lang w:val="en-CH"/>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ind w:left="720"/>
      <w:contextualSpacing/>
    </w:pPr>
    <w:rPr>
      <w:rFonts w:eastAsia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 w:type="paragraph" w:styleId="TOCHeading">
    <w:name w:val="TOC Heading"/>
    <w:basedOn w:val="Heading1"/>
    <w:next w:val="Normal"/>
    <w:uiPriority w:val="39"/>
    <w:unhideWhenUsed/>
    <w:qFormat/>
    <w:rsid w:val="00F236A3"/>
    <w:pPr>
      <w:spacing w:before="480"/>
      <w:outlineLvl w:val="9"/>
    </w:pPr>
    <w:rPr>
      <w:b/>
      <w:bCs/>
      <w:sz w:val="28"/>
      <w:szCs w:val="28"/>
      <w:lang w:val="en-US"/>
    </w:rPr>
  </w:style>
  <w:style w:type="paragraph" w:styleId="TOC1">
    <w:name w:val="toc 1"/>
    <w:basedOn w:val="Normal"/>
    <w:next w:val="Normal"/>
    <w:autoRedefine/>
    <w:uiPriority w:val="39"/>
    <w:unhideWhenUsed/>
    <w:rsid w:val="00F236A3"/>
    <w:pPr>
      <w:spacing w:before="120"/>
    </w:pPr>
    <w:rPr>
      <w:rFonts w:cstheme="minorHAnsi"/>
      <w:b/>
      <w:bCs/>
      <w:i/>
      <w:iCs/>
    </w:rPr>
  </w:style>
  <w:style w:type="paragraph" w:styleId="TOC2">
    <w:name w:val="toc 2"/>
    <w:basedOn w:val="Normal"/>
    <w:next w:val="Normal"/>
    <w:autoRedefine/>
    <w:uiPriority w:val="39"/>
    <w:unhideWhenUsed/>
    <w:rsid w:val="00F236A3"/>
    <w:pPr>
      <w:spacing w:before="120"/>
      <w:ind w:left="240"/>
    </w:pPr>
    <w:rPr>
      <w:rFonts w:cstheme="minorHAnsi"/>
      <w:b/>
      <w:bCs/>
      <w:sz w:val="22"/>
      <w:szCs w:val="22"/>
    </w:rPr>
  </w:style>
  <w:style w:type="paragraph" w:styleId="TOC3">
    <w:name w:val="toc 3"/>
    <w:basedOn w:val="Normal"/>
    <w:next w:val="Normal"/>
    <w:autoRedefine/>
    <w:uiPriority w:val="39"/>
    <w:unhideWhenUsed/>
    <w:rsid w:val="00F236A3"/>
    <w:pPr>
      <w:ind w:left="480"/>
    </w:pPr>
    <w:rPr>
      <w:rFonts w:cstheme="minorHAnsi"/>
      <w:sz w:val="20"/>
      <w:szCs w:val="20"/>
    </w:rPr>
  </w:style>
  <w:style w:type="paragraph" w:styleId="TOC4">
    <w:name w:val="toc 4"/>
    <w:basedOn w:val="Normal"/>
    <w:next w:val="Normal"/>
    <w:autoRedefine/>
    <w:uiPriority w:val="39"/>
    <w:semiHidden/>
    <w:unhideWhenUsed/>
    <w:rsid w:val="00F236A3"/>
    <w:pPr>
      <w:ind w:left="720"/>
    </w:pPr>
    <w:rPr>
      <w:rFonts w:cstheme="minorHAnsi"/>
      <w:sz w:val="20"/>
      <w:szCs w:val="20"/>
    </w:rPr>
  </w:style>
  <w:style w:type="paragraph" w:styleId="TOC5">
    <w:name w:val="toc 5"/>
    <w:basedOn w:val="Normal"/>
    <w:next w:val="Normal"/>
    <w:autoRedefine/>
    <w:uiPriority w:val="39"/>
    <w:semiHidden/>
    <w:unhideWhenUsed/>
    <w:rsid w:val="00F236A3"/>
    <w:pPr>
      <w:ind w:left="960"/>
    </w:pPr>
    <w:rPr>
      <w:rFonts w:cstheme="minorHAnsi"/>
      <w:sz w:val="20"/>
      <w:szCs w:val="20"/>
    </w:rPr>
  </w:style>
  <w:style w:type="paragraph" w:styleId="TOC6">
    <w:name w:val="toc 6"/>
    <w:basedOn w:val="Normal"/>
    <w:next w:val="Normal"/>
    <w:autoRedefine/>
    <w:uiPriority w:val="39"/>
    <w:semiHidden/>
    <w:unhideWhenUsed/>
    <w:rsid w:val="00F236A3"/>
    <w:pPr>
      <w:ind w:left="1200"/>
    </w:pPr>
    <w:rPr>
      <w:rFonts w:cstheme="minorHAnsi"/>
      <w:sz w:val="20"/>
      <w:szCs w:val="20"/>
    </w:rPr>
  </w:style>
  <w:style w:type="paragraph" w:styleId="TOC7">
    <w:name w:val="toc 7"/>
    <w:basedOn w:val="Normal"/>
    <w:next w:val="Normal"/>
    <w:autoRedefine/>
    <w:uiPriority w:val="39"/>
    <w:semiHidden/>
    <w:unhideWhenUsed/>
    <w:rsid w:val="00F236A3"/>
    <w:pPr>
      <w:ind w:left="1440"/>
    </w:pPr>
    <w:rPr>
      <w:rFonts w:cstheme="minorHAnsi"/>
      <w:sz w:val="20"/>
      <w:szCs w:val="20"/>
    </w:rPr>
  </w:style>
  <w:style w:type="paragraph" w:styleId="TOC8">
    <w:name w:val="toc 8"/>
    <w:basedOn w:val="Normal"/>
    <w:next w:val="Normal"/>
    <w:autoRedefine/>
    <w:uiPriority w:val="39"/>
    <w:semiHidden/>
    <w:unhideWhenUsed/>
    <w:rsid w:val="00F236A3"/>
    <w:pPr>
      <w:ind w:left="1680"/>
    </w:pPr>
    <w:rPr>
      <w:rFonts w:cstheme="minorHAnsi"/>
      <w:sz w:val="20"/>
      <w:szCs w:val="20"/>
    </w:rPr>
  </w:style>
  <w:style w:type="paragraph" w:styleId="TOC9">
    <w:name w:val="toc 9"/>
    <w:basedOn w:val="Normal"/>
    <w:next w:val="Normal"/>
    <w:autoRedefine/>
    <w:uiPriority w:val="39"/>
    <w:semiHidden/>
    <w:unhideWhenUsed/>
    <w:rsid w:val="00F236A3"/>
    <w:pPr>
      <w:ind w:left="1920"/>
    </w:pPr>
    <w:rPr>
      <w:rFonts w:cstheme="minorHAnsi"/>
      <w:sz w:val="20"/>
      <w:szCs w:val="20"/>
    </w:rPr>
  </w:style>
  <w:style w:type="paragraph" w:styleId="Footer">
    <w:name w:val="footer"/>
    <w:basedOn w:val="Normal"/>
    <w:link w:val="FooterChar"/>
    <w:uiPriority w:val="99"/>
    <w:unhideWhenUsed/>
    <w:rsid w:val="001E456A"/>
    <w:pPr>
      <w:tabs>
        <w:tab w:val="center" w:pos="4513"/>
        <w:tab w:val="right" w:pos="9026"/>
      </w:tabs>
    </w:pPr>
  </w:style>
  <w:style w:type="character" w:customStyle="1" w:styleId="FooterChar">
    <w:name w:val="Footer Char"/>
    <w:basedOn w:val="DefaultParagraphFont"/>
    <w:link w:val="Footer"/>
    <w:uiPriority w:val="99"/>
    <w:rsid w:val="001E456A"/>
    <w:rPr>
      <w:rFonts w:asciiTheme="minorHAnsi" w:eastAsia="Times New Roman" w:hAnsiTheme="minorHAnsi" w:cs="Times New Roman"/>
      <w:lang w:val="en-CH"/>
    </w:rPr>
  </w:style>
  <w:style w:type="character" w:styleId="PageNumber">
    <w:name w:val="page number"/>
    <w:basedOn w:val="DefaultParagraphFont"/>
    <w:uiPriority w:val="99"/>
    <w:semiHidden/>
    <w:unhideWhenUsed/>
    <w:rsid w:val="001E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36228012">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113596733">
      <w:bodyDiv w:val="1"/>
      <w:marLeft w:val="0"/>
      <w:marRight w:val="0"/>
      <w:marTop w:val="0"/>
      <w:marBottom w:val="0"/>
      <w:divBdr>
        <w:top w:val="none" w:sz="0" w:space="0" w:color="auto"/>
        <w:left w:val="none" w:sz="0" w:space="0" w:color="auto"/>
        <w:bottom w:val="none" w:sz="0" w:space="0" w:color="auto"/>
        <w:right w:val="none" w:sz="0" w:space="0" w:color="auto"/>
      </w:divBdr>
    </w:div>
    <w:div w:id="1116558381">
      <w:bodyDiv w:val="1"/>
      <w:marLeft w:val="0"/>
      <w:marRight w:val="0"/>
      <w:marTop w:val="0"/>
      <w:marBottom w:val="0"/>
      <w:divBdr>
        <w:top w:val="none" w:sz="0" w:space="0" w:color="auto"/>
        <w:left w:val="none" w:sz="0" w:space="0" w:color="auto"/>
        <w:bottom w:val="none" w:sz="0" w:space="0" w:color="auto"/>
        <w:right w:val="none" w:sz="0" w:space="0" w:color="auto"/>
      </w:divBdr>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319533185">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449277980">
      <w:bodyDiv w:val="1"/>
      <w:marLeft w:val="0"/>
      <w:marRight w:val="0"/>
      <w:marTop w:val="0"/>
      <w:marBottom w:val="0"/>
      <w:divBdr>
        <w:top w:val="none" w:sz="0" w:space="0" w:color="auto"/>
        <w:left w:val="none" w:sz="0" w:space="0" w:color="auto"/>
        <w:bottom w:val="none" w:sz="0" w:space="0" w:color="auto"/>
        <w:right w:val="none" w:sz="0" w:space="0" w:color="auto"/>
      </w:divBdr>
    </w:div>
    <w:div w:id="1513644390">
      <w:bodyDiv w:val="1"/>
      <w:marLeft w:val="0"/>
      <w:marRight w:val="0"/>
      <w:marTop w:val="0"/>
      <w:marBottom w:val="0"/>
      <w:divBdr>
        <w:top w:val="none" w:sz="0" w:space="0" w:color="auto"/>
        <w:left w:val="none" w:sz="0" w:space="0" w:color="auto"/>
        <w:bottom w:val="none" w:sz="0" w:space="0" w:color="auto"/>
        <w:right w:val="none" w:sz="0" w:space="0" w:color="auto"/>
      </w:divBdr>
      <w:divsChild>
        <w:div w:id="121065393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613785512">
      <w:bodyDiv w:val="1"/>
      <w:marLeft w:val="0"/>
      <w:marRight w:val="0"/>
      <w:marTop w:val="0"/>
      <w:marBottom w:val="0"/>
      <w:divBdr>
        <w:top w:val="none" w:sz="0" w:space="0" w:color="auto"/>
        <w:left w:val="none" w:sz="0" w:space="0" w:color="auto"/>
        <w:bottom w:val="none" w:sz="0" w:space="0" w:color="auto"/>
        <w:right w:val="none" w:sz="0" w:space="0" w:color="auto"/>
      </w:divBdr>
      <w:divsChild>
        <w:div w:id="2082755869">
          <w:marLeft w:val="0"/>
          <w:marRight w:val="0"/>
          <w:marTop w:val="0"/>
          <w:marBottom w:val="0"/>
          <w:divBdr>
            <w:top w:val="none" w:sz="0" w:space="0" w:color="auto"/>
            <w:left w:val="none" w:sz="0" w:space="0" w:color="auto"/>
            <w:bottom w:val="none" w:sz="0" w:space="0" w:color="auto"/>
            <w:right w:val="none" w:sz="0" w:space="0" w:color="auto"/>
          </w:divBdr>
        </w:div>
      </w:divsChild>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37783607">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47741742">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0422208">
      <w:bodyDiv w:val="1"/>
      <w:marLeft w:val="0"/>
      <w:marRight w:val="0"/>
      <w:marTop w:val="0"/>
      <w:marBottom w:val="0"/>
      <w:divBdr>
        <w:top w:val="none" w:sz="0" w:space="0" w:color="auto"/>
        <w:left w:val="none" w:sz="0" w:space="0" w:color="auto"/>
        <w:bottom w:val="none" w:sz="0" w:space="0" w:color="auto"/>
        <w:right w:val="none" w:sz="0" w:space="0" w:color="auto"/>
      </w:divBdr>
      <w:divsChild>
        <w:div w:id="1759592771">
          <w:marLeft w:val="547"/>
          <w:marRight w:val="0"/>
          <w:marTop w:val="0"/>
          <w:marBottom w:val="0"/>
          <w:divBdr>
            <w:top w:val="none" w:sz="0" w:space="0" w:color="auto"/>
            <w:left w:val="none" w:sz="0" w:space="0" w:color="auto"/>
            <w:bottom w:val="none" w:sz="0" w:space="0" w:color="auto"/>
            <w:right w:val="none" w:sz="0" w:space="0" w:color="auto"/>
          </w:divBdr>
        </w:div>
        <w:div w:id="272398915">
          <w:marLeft w:val="547"/>
          <w:marRight w:val="0"/>
          <w:marTop w:val="0"/>
          <w:marBottom w:val="0"/>
          <w:divBdr>
            <w:top w:val="none" w:sz="0" w:space="0" w:color="auto"/>
            <w:left w:val="none" w:sz="0" w:space="0" w:color="auto"/>
            <w:bottom w:val="none" w:sz="0" w:space="0" w:color="auto"/>
            <w:right w:val="none" w:sz="0" w:space="0" w:color="auto"/>
          </w:divBdr>
        </w:div>
      </w:divsChild>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stuzumab" TargetMode="External"/><Relationship Id="rId18" Type="http://schemas.openxmlformats.org/officeDocument/2006/relationships/hyperlink" Target="https://health.ec.europa.eu/medicinal-products/eudralex/eudralex-volume-10_en" TargetMode="External"/><Relationship Id="rId26" Type="http://schemas.openxmlformats.org/officeDocument/2006/relationships/hyperlink" Target="demo" TargetMode="External"/><Relationship Id="rId39" Type="http://schemas.openxmlformats.org/officeDocument/2006/relationships/hyperlink" Target="https://www.ncbi.nlm.nih.gov/pmc/articles/PMC5319201/" TargetMode="External"/><Relationship Id="rId21" Type="http://schemas.openxmlformats.org/officeDocument/2006/relationships/hyperlink" Target="https://www.ich.org/page/safety-guidelines" TargetMode="External"/><Relationship Id="rId34" Type="http://schemas.openxmlformats.org/officeDocument/2006/relationships/hyperlink" Target="https://health.ec.europa.eu/system/files/2016-11/18540104en_en_0.pdf"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journal.emwa.org/preclinical-studies/an-introduction-to-little-known-aspects-of-nonclinical-regulatory-writing/" TargetMode="External"/><Relationship Id="rId20" Type="http://schemas.openxmlformats.org/officeDocument/2006/relationships/hyperlink" Target="https://database.ich.org/sites/default/files/M3_R2__Guideline.pdf" TargetMode="External"/><Relationship Id="rId29" Type="http://schemas.openxmlformats.org/officeDocument/2006/relationships/hyperlink" Target="https://www.ema.europa.eu/en/human-regulatory/research-development/prime-priority-medicine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ertuzumab" TargetMode="External"/><Relationship Id="rId24" Type="http://schemas.openxmlformats.org/officeDocument/2006/relationships/hyperlink" Target="https://www.nature.com/articles/s41598-020-59818-2#Sec11" TargetMode="External"/><Relationship Id="rId32" Type="http://schemas.openxmlformats.org/officeDocument/2006/relationships/hyperlink" Target="https://ec.europa.eu/health/documents/eudralex/vol-10_en" TargetMode="External"/><Relationship Id="rId37" Type="http://schemas.openxmlformats.org/officeDocument/2006/relationships/hyperlink" Target="https://health.ec.europa.eu/medicinal-products/eudralex/eudralex-volume-10_en" TargetMode="External"/><Relationship Id="rId40"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oi.org/10.1371/journal.pone.0216095" TargetMode="External"/><Relationship Id="rId23" Type="http://schemas.openxmlformats.org/officeDocument/2006/relationships/image" Target="media/image2.png"/><Relationship Id="rId28" Type="http://schemas.openxmlformats.org/officeDocument/2006/relationships/hyperlink" Target="http://www.nejm.org/doi/full/10.1056/NEJMra1510062" TargetMode="External"/><Relationship Id="rId36" Type="http://schemas.openxmlformats.org/officeDocument/2006/relationships/hyperlink" Target="https://www.ema.europa.eu/en/human-regulatory/research-development/scientific-advice-protocol-assistance" TargetMode="External"/><Relationship Id="rId10" Type="http://schemas.openxmlformats.org/officeDocument/2006/relationships/hyperlink" Target="https://en.wikipedia.org/wiki/HER2/neu" TargetMode="External"/><Relationship Id="rId19" Type="http://schemas.openxmlformats.org/officeDocument/2006/relationships/hyperlink" Target="https://health.ec.europa.eu/system/files/2016-11/18540104en_en_0.pdf" TargetMode="External"/><Relationship Id="rId31" Type="http://schemas.openxmlformats.org/officeDocument/2006/relationships/hyperlink" Target="https://www.fda.gov/regulatory-information/food-and-drug-administration-safety-and-innovation-act-fdasia/frequently-asked-questions-breakthrough-therapies"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Protein_dimer" TargetMode="External"/><Relationship Id="rId14" Type="http://schemas.openxmlformats.org/officeDocument/2006/relationships/image" Target="media/image1.jpeg"/><Relationship Id="rId22" Type="http://schemas.openxmlformats.org/officeDocument/2006/relationships/hyperlink" Target="https://www.ema.europa.eu/en/requirements-chemical-pharmaceutical-quality-documentation-concerning-investigational-medicinal" TargetMode="External"/><Relationship Id="rId27" Type="http://schemas.openxmlformats.org/officeDocument/2006/relationships/hyperlink" Target="http://www.nature.com/news/master-protocol-aims-to-revamp-cancer-trials-1.13176" TargetMode="External"/><Relationship Id="rId30" Type="http://schemas.openxmlformats.org/officeDocument/2006/relationships/hyperlink" Target="https://www.fda.gov/regulatory-information/food-and-drug-administration-safety-and-innovation-act-fdasia/fact-sheet-breakthrough-therapies" TargetMode="External"/><Relationship Id="rId35" Type="http://schemas.openxmlformats.org/officeDocument/2006/relationships/hyperlink" Target="https://www.pei.de/EN/information/license-applicants/advice/scientific-advice/scientific-advice-node.html"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Genentech" TargetMode="External"/><Relationship Id="rId17" Type="http://schemas.openxmlformats.org/officeDocument/2006/relationships/hyperlink" Target="https://ec.europa.eu/health/documents/eudralex/vol-10_en" TargetMode="External"/><Relationship Id="rId25" Type="http://schemas.openxmlformats.org/officeDocument/2006/relationships/hyperlink" Target="demo" TargetMode="External"/><Relationship Id="rId33" Type="http://schemas.openxmlformats.org/officeDocument/2006/relationships/hyperlink" Target="https://health.ec.europa.eu/medicinal-products/eudralex/eudralex-volume-10_en" TargetMode="External"/><Relationship Id="rId38" Type="http://schemas.openxmlformats.org/officeDocument/2006/relationships/hyperlink" Target="https://ec.europa.eu/health/sites/health/files/files/eudralex/vol-10/2008_11/vpl10_an5_10-2008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Props1.xml><?xml version="1.0" encoding="utf-8"?>
<ds:datastoreItem xmlns:ds="http://schemas.openxmlformats.org/officeDocument/2006/customXml" ds:itemID="{5EFD8C4F-8C94-5640-93EE-1EA3313C3F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14</Pages>
  <Words>7300</Words>
  <Characters>41612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49</cp:revision>
  <dcterms:created xsi:type="dcterms:W3CDTF">2022-08-25T11:28:00Z</dcterms:created>
  <dcterms:modified xsi:type="dcterms:W3CDTF">2022-10-04T15:37:00Z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id="KEK7CN8P"/&gt;&lt;style id="http://www.zotero.org/styles/ieee" locale="en-US" hasBibliography="1" bibliographyStyleHasBeenSet="1"/&gt;&lt;prefs&gt;&lt;pref name="fieldType" value="Field"/&gt;&lt;/prefs&gt;&lt;/data&gt;</vt:lpwstr>
  </property>
</Properties>
</file>