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249FB" w14:textId="63D2AE93" w:rsidR="005C1B7D" w:rsidRPr="00073727" w:rsidRDefault="00113D05" w:rsidP="00942ED4">
      <w:pPr>
        <w:pStyle w:val="Title"/>
        <w:spacing w:line="360" w:lineRule="auto"/>
        <w:rPr>
          <w:rFonts w:ascii="Times New Roman" w:hAnsi="Times New Roman" w:cs="Times New Roman"/>
          <w:b w:val="0"/>
          <w:lang w:val="en-US"/>
        </w:rPr>
      </w:pPr>
      <w:r w:rsidRPr="00073727">
        <w:rPr>
          <w:rFonts w:ascii="Times New Roman" w:hAnsi="Times New Roman" w:cs="Times New Roman"/>
          <w:lang w:val="en-US"/>
        </w:rPr>
        <w:t xml:space="preserve">  </w:t>
      </w:r>
      <w:r w:rsidR="001E456A" w:rsidRPr="00073727">
        <w:rPr>
          <w:rFonts w:ascii="Times New Roman" w:hAnsi="Times New Roman" w:cs="Times New Roman"/>
          <w:lang w:val="en-US"/>
        </w:rPr>
        <w:t>Individual Case Study Report</w:t>
      </w:r>
    </w:p>
    <w:sdt>
      <w:sdtPr>
        <w:rPr>
          <w:rFonts w:ascii="Times New Roman" w:eastAsia="Times New Roman" w:hAnsi="Times New Roman" w:cs="Times New Roman"/>
          <w:b w:val="0"/>
          <w:bCs w:val="0"/>
          <w:color w:val="auto"/>
          <w:sz w:val="24"/>
          <w:szCs w:val="24"/>
          <w:lang w:val="en-CH"/>
        </w:rPr>
        <w:id w:val="-245882655"/>
        <w:docPartObj>
          <w:docPartGallery w:val="Table of Contents"/>
          <w:docPartUnique/>
        </w:docPartObj>
      </w:sdtPr>
      <w:sdtEndPr>
        <w:rPr>
          <w:noProof/>
        </w:rPr>
      </w:sdtEndPr>
      <w:sdtContent>
        <w:p w14:paraId="3F4E48BC" w14:textId="57C788A8" w:rsidR="00F236A3" w:rsidRPr="00073727" w:rsidRDefault="00F236A3" w:rsidP="00942ED4">
          <w:pPr>
            <w:pStyle w:val="TOCHeading"/>
            <w:spacing w:before="0" w:line="360" w:lineRule="auto"/>
            <w:rPr>
              <w:rFonts w:ascii="Times New Roman" w:hAnsi="Times New Roman" w:cs="Times New Roman"/>
            </w:rPr>
          </w:pPr>
          <w:r w:rsidRPr="00073727">
            <w:rPr>
              <w:rFonts w:ascii="Times New Roman" w:hAnsi="Times New Roman" w:cs="Times New Roman"/>
            </w:rPr>
            <w:t>Table of Contents</w:t>
          </w:r>
        </w:p>
        <w:p w14:paraId="68F2618D" w14:textId="261A994D" w:rsidR="00942ED4" w:rsidRDefault="00F236A3" w:rsidP="00942ED4">
          <w:pPr>
            <w:pStyle w:val="TOC1"/>
            <w:tabs>
              <w:tab w:val="right" w:leader="dot" w:pos="9016"/>
            </w:tabs>
            <w:spacing w:before="0" w:line="360" w:lineRule="auto"/>
            <w:rPr>
              <w:rFonts w:asciiTheme="minorHAnsi" w:eastAsiaTheme="minorEastAsia" w:hAnsiTheme="minorHAnsi" w:cstheme="minorBidi"/>
              <w:b w:val="0"/>
              <w:bCs w:val="0"/>
              <w:i w:val="0"/>
              <w:iCs w:val="0"/>
              <w:noProof/>
            </w:rPr>
          </w:pPr>
          <w:r w:rsidRPr="00073727">
            <w:rPr>
              <w:rFonts w:cs="Times New Roman"/>
              <w:b w:val="0"/>
              <w:bCs w:val="0"/>
            </w:rPr>
            <w:fldChar w:fldCharType="begin"/>
          </w:r>
          <w:r w:rsidRPr="00073727">
            <w:rPr>
              <w:rFonts w:cs="Times New Roman"/>
            </w:rPr>
            <w:instrText xml:space="preserve"> TOC \o "1-3" \h \z \u </w:instrText>
          </w:r>
          <w:r w:rsidRPr="00073727">
            <w:rPr>
              <w:rFonts w:cs="Times New Roman"/>
              <w:b w:val="0"/>
              <w:bCs w:val="0"/>
            </w:rPr>
            <w:fldChar w:fldCharType="separate"/>
          </w:r>
          <w:hyperlink w:anchor="_Toc116316409" w:history="1">
            <w:r w:rsidR="00942ED4" w:rsidRPr="004370B8">
              <w:rPr>
                <w:rStyle w:val="Hyperlink"/>
                <w:rFonts w:cs="Times New Roman"/>
                <w:noProof/>
                <w:lang w:val="en-US"/>
              </w:rPr>
              <w:t>Table of tables</w:t>
            </w:r>
            <w:r w:rsidR="00942ED4">
              <w:rPr>
                <w:noProof/>
                <w:webHidden/>
              </w:rPr>
              <w:tab/>
            </w:r>
            <w:r w:rsidR="00942ED4">
              <w:rPr>
                <w:noProof/>
                <w:webHidden/>
              </w:rPr>
              <w:fldChar w:fldCharType="begin"/>
            </w:r>
            <w:r w:rsidR="00942ED4">
              <w:rPr>
                <w:noProof/>
                <w:webHidden/>
              </w:rPr>
              <w:instrText xml:space="preserve"> PAGEREF _Toc116316409 \h </w:instrText>
            </w:r>
            <w:r w:rsidR="00942ED4">
              <w:rPr>
                <w:noProof/>
                <w:webHidden/>
              </w:rPr>
            </w:r>
            <w:r w:rsidR="00942ED4">
              <w:rPr>
                <w:noProof/>
                <w:webHidden/>
              </w:rPr>
              <w:fldChar w:fldCharType="separate"/>
            </w:r>
            <w:r w:rsidR="00942ED4">
              <w:rPr>
                <w:noProof/>
                <w:webHidden/>
              </w:rPr>
              <w:t>1</w:t>
            </w:r>
            <w:r w:rsidR="00942ED4">
              <w:rPr>
                <w:noProof/>
                <w:webHidden/>
              </w:rPr>
              <w:fldChar w:fldCharType="end"/>
            </w:r>
          </w:hyperlink>
        </w:p>
        <w:p w14:paraId="35954433" w14:textId="385AF5E8" w:rsidR="00942ED4" w:rsidRDefault="00942ED4" w:rsidP="00942ED4">
          <w:pPr>
            <w:pStyle w:val="TOC1"/>
            <w:tabs>
              <w:tab w:val="right" w:leader="dot" w:pos="9016"/>
            </w:tabs>
            <w:spacing w:before="0" w:line="360" w:lineRule="auto"/>
            <w:rPr>
              <w:rFonts w:asciiTheme="minorHAnsi" w:eastAsiaTheme="minorEastAsia" w:hAnsiTheme="minorHAnsi" w:cstheme="minorBidi"/>
              <w:b w:val="0"/>
              <w:bCs w:val="0"/>
              <w:i w:val="0"/>
              <w:iCs w:val="0"/>
              <w:noProof/>
            </w:rPr>
          </w:pPr>
          <w:hyperlink w:anchor="_Toc116316410" w:history="1">
            <w:r w:rsidRPr="004370B8">
              <w:rPr>
                <w:rStyle w:val="Hyperlink"/>
                <w:rFonts w:cs="Times New Roman"/>
                <w:noProof/>
                <w:lang w:val="en-US"/>
              </w:rPr>
              <w:t>Table of figures</w:t>
            </w:r>
            <w:r>
              <w:rPr>
                <w:noProof/>
                <w:webHidden/>
              </w:rPr>
              <w:tab/>
            </w:r>
            <w:r>
              <w:rPr>
                <w:noProof/>
                <w:webHidden/>
              </w:rPr>
              <w:fldChar w:fldCharType="begin"/>
            </w:r>
            <w:r>
              <w:rPr>
                <w:noProof/>
                <w:webHidden/>
              </w:rPr>
              <w:instrText xml:space="preserve"> PAGEREF _Toc116316410 \h </w:instrText>
            </w:r>
            <w:r>
              <w:rPr>
                <w:noProof/>
                <w:webHidden/>
              </w:rPr>
            </w:r>
            <w:r>
              <w:rPr>
                <w:noProof/>
                <w:webHidden/>
              </w:rPr>
              <w:fldChar w:fldCharType="separate"/>
            </w:r>
            <w:r>
              <w:rPr>
                <w:noProof/>
                <w:webHidden/>
              </w:rPr>
              <w:t>1</w:t>
            </w:r>
            <w:r>
              <w:rPr>
                <w:noProof/>
                <w:webHidden/>
              </w:rPr>
              <w:fldChar w:fldCharType="end"/>
            </w:r>
          </w:hyperlink>
        </w:p>
        <w:p w14:paraId="3A663A89" w14:textId="1D7F8F1C" w:rsidR="00942ED4" w:rsidRDefault="00942ED4" w:rsidP="00942ED4">
          <w:pPr>
            <w:pStyle w:val="TOC1"/>
            <w:tabs>
              <w:tab w:val="right" w:leader="dot" w:pos="9016"/>
            </w:tabs>
            <w:spacing w:before="0" w:line="360" w:lineRule="auto"/>
            <w:rPr>
              <w:rFonts w:asciiTheme="minorHAnsi" w:eastAsiaTheme="minorEastAsia" w:hAnsiTheme="minorHAnsi" w:cstheme="minorBidi"/>
              <w:b w:val="0"/>
              <w:bCs w:val="0"/>
              <w:i w:val="0"/>
              <w:iCs w:val="0"/>
              <w:noProof/>
            </w:rPr>
          </w:pPr>
          <w:hyperlink w:anchor="_Toc116316411" w:history="1">
            <w:r w:rsidRPr="004370B8">
              <w:rPr>
                <w:rStyle w:val="Hyperlink"/>
                <w:rFonts w:cs="Times New Roman"/>
                <w:noProof/>
                <w:lang w:val="en-US"/>
              </w:rPr>
              <w:t>Abbreviations</w:t>
            </w:r>
            <w:r>
              <w:rPr>
                <w:noProof/>
                <w:webHidden/>
              </w:rPr>
              <w:tab/>
            </w:r>
            <w:r>
              <w:rPr>
                <w:noProof/>
                <w:webHidden/>
              </w:rPr>
              <w:fldChar w:fldCharType="begin"/>
            </w:r>
            <w:r>
              <w:rPr>
                <w:noProof/>
                <w:webHidden/>
              </w:rPr>
              <w:instrText xml:space="preserve"> PAGEREF _Toc116316411 \h </w:instrText>
            </w:r>
            <w:r>
              <w:rPr>
                <w:noProof/>
                <w:webHidden/>
              </w:rPr>
            </w:r>
            <w:r>
              <w:rPr>
                <w:noProof/>
                <w:webHidden/>
              </w:rPr>
              <w:fldChar w:fldCharType="separate"/>
            </w:r>
            <w:r>
              <w:rPr>
                <w:noProof/>
                <w:webHidden/>
              </w:rPr>
              <w:t>1</w:t>
            </w:r>
            <w:r>
              <w:rPr>
                <w:noProof/>
                <w:webHidden/>
              </w:rPr>
              <w:fldChar w:fldCharType="end"/>
            </w:r>
          </w:hyperlink>
        </w:p>
        <w:p w14:paraId="7EE063B8" w14:textId="6DD78F45" w:rsidR="00942ED4" w:rsidRDefault="00942ED4" w:rsidP="00942ED4">
          <w:pPr>
            <w:pStyle w:val="TOC1"/>
            <w:tabs>
              <w:tab w:val="right" w:leader="dot" w:pos="9016"/>
            </w:tabs>
            <w:spacing w:before="0" w:line="360" w:lineRule="auto"/>
            <w:rPr>
              <w:rFonts w:asciiTheme="minorHAnsi" w:eastAsiaTheme="minorEastAsia" w:hAnsiTheme="minorHAnsi" w:cstheme="minorBidi"/>
              <w:b w:val="0"/>
              <w:bCs w:val="0"/>
              <w:i w:val="0"/>
              <w:iCs w:val="0"/>
              <w:noProof/>
            </w:rPr>
          </w:pPr>
          <w:hyperlink w:anchor="_Toc116316412" w:history="1">
            <w:r w:rsidRPr="004370B8">
              <w:rPr>
                <w:rStyle w:val="Hyperlink"/>
                <w:rFonts w:cs="Times New Roman"/>
                <w:noProof/>
                <w:lang w:val="en-US"/>
              </w:rPr>
              <w:t>Overview</w:t>
            </w:r>
            <w:r>
              <w:rPr>
                <w:noProof/>
                <w:webHidden/>
              </w:rPr>
              <w:tab/>
            </w:r>
            <w:r>
              <w:rPr>
                <w:noProof/>
                <w:webHidden/>
              </w:rPr>
              <w:fldChar w:fldCharType="begin"/>
            </w:r>
            <w:r>
              <w:rPr>
                <w:noProof/>
                <w:webHidden/>
              </w:rPr>
              <w:instrText xml:space="preserve"> PAGEREF _Toc116316412 \h </w:instrText>
            </w:r>
            <w:r>
              <w:rPr>
                <w:noProof/>
                <w:webHidden/>
              </w:rPr>
            </w:r>
            <w:r>
              <w:rPr>
                <w:noProof/>
                <w:webHidden/>
              </w:rPr>
              <w:fldChar w:fldCharType="separate"/>
            </w:r>
            <w:r>
              <w:rPr>
                <w:noProof/>
                <w:webHidden/>
              </w:rPr>
              <w:t>2</w:t>
            </w:r>
            <w:r>
              <w:rPr>
                <w:noProof/>
                <w:webHidden/>
              </w:rPr>
              <w:fldChar w:fldCharType="end"/>
            </w:r>
          </w:hyperlink>
        </w:p>
        <w:p w14:paraId="015E94C4" w14:textId="2C20A31E" w:rsidR="00942ED4" w:rsidRDefault="00942ED4" w:rsidP="00942ED4">
          <w:pPr>
            <w:pStyle w:val="TOC2"/>
            <w:tabs>
              <w:tab w:val="right" w:leader="dot" w:pos="9016"/>
            </w:tabs>
            <w:spacing w:before="0" w:line="360" w:lineRule="auto"/>
            <w:rPr>
              <w:rFonts w:asciiTheme="minorHAnsi" w:eastAsiaTheme="minorEastAsia" w:hAnsiTheme="minorHAnsi" w:cstheme="minorBidi"/>
              <w:b w:val="0"/>
              <w:bCs w:val="0"/>
              <w:noProof/>
              <w:sz w:val="24"/>
              <w:szCs w:val="24"/>
            </w:rPr>
          </w:pPr>
          <w:hyperlink w:anchor="_Toc116316413" w:history="1">
            <w:r w:rsidRPr="004370B8">
              <w:rPr>
                <w:rStyle w:val="Hyperlink"/>
                <w:noProof/>
                <w:lang w:val="en-US"/>
              </w:rPr>
              <w:t>Product details</w:t>
            </w:r>
            <w:r>
              <w:rPr>
                <w:noProof/>
                <w:webHidden/>
              </w:rPr>
              <w:tab/>
            </w:r>
            <w:r>
              <w:rPr>
                <w:noProof/>
                <w:webHidden/>
              </w:rPr>
              <w:fldChar w:fldCharType="begin"/>
            </w:r>
            <w:r>
              <w:rPr>
                <w:noProof/>
                <w:webHidden/>
              </w:rPr>
              <w:instrText xml:space="preserve"> PAGEREF _Toc116316413 \h </w:instrText>
            </w:r>
            <w:r>
              <w:rPr>
                <w:noProof/>
                <w:webHidden/>
              </w:rPr>
            </w:r>
            <w:r>
              <w:rPr>
                <w:noProof/>
                <w:webHidden/>
              </w:rPr>
              <w:fldChar w:fldCharType="separate"/>
            </w:r>
            <w:r>
              <w:rPr>
                <w:noProof/>
                <w:webHidden/>
              </w:rPr>
              <w:t>3</w:t>
            </w:r>
            <w:r>
              <w:rPr>
                <w:noProof/>
                <w:webHidden/>
              </w:rPr>
              <w:fldChar w:fldCharType="end"/>
            </w:r>
          </w:hyperlink>
        </w:p>
        <w:p w14:paraId="247DCDB1" w14:textId="4313CF3A" w:rsidR="00942ED4" w:rsidRDefault="00942ED4" w:rsidP="00942ED4">
          <w:pPr>
            <w:pStyle w:val="TOC2"/>
            <w:tabs>
              <w:tab w:val="right" w:leader="dot" w:pos="9016"/>
            </w:tabs>
            <w:spacing w:before="0" w:line="360" w:lineRule="auto"/>
            <w:rPr>
              <w:rFonts w:asciiTheme="minorHAnsi" w:eastAsiaTheme="minorEastAsia" w:hAnsiTheme="minorHAnsi" w:cstheme="minorBidi"/>
              <w:b w:val="0"/>
              <w:bCs w:val="0"/>
              <w:noProof/>
              <w:sz w:val="24"/>
              <w:szCs w:val="24"/>
            </w:rPr>
          </w:pPr>
          <w:hyperlink w:anchor="_Toc116316414" w:history="1">
            <w:r w:rsidRPr="004370B8">
              <w:rPr>
                <w:rStyle w:val="Hyperlink"/>
                <w:noProof/>
                <w:lang w:val="en-US"/>
              </w:rPr>
              <w:t>Production</w:t>
            </w:r>
            <w:r>
              <w:rPr>
                <w:noProof/>
                <w:webHidden/>
              </w:rPr>
              <w:tab/>
            </w:r>
            <w:r>
              <w:rPr>
                <w:noProof/>
                <w:webHidden/>
              </w:rPr>
              <w:fldChar w:fldCharType="begin"/>
            </w:r>
            <w:r>
              <w:rPr>
                <w:noProof/>
                <w:webHidden/>
              </w:rPr>
              <w:instrText xml:space="preserve"> PAGEREF _Toc116316414 \h </w:instrText>
            </w:r>
            <w:r>
              <w:rPr>
                <w:noProof/>
                <w:webHidden/>
              </w:rPr>
            </w:r>
            <w:r>
              <w:rPr>
                <w:noProof/>
                <w:webHidden/>
              </w:rPr>
              <w:fldChar w:fldCharType="separate"/>
            </w:r>
            <w:r>
              <w:rPr>
                <w:noProof/>
                <w:webHidden/>
              </w:rPr>
              <w:t>3</w:t>
            </w:r>
            <w:r>
              <w:rPr>
                <w:noProof/>
                <w:webHidden/>
              </w:rPr>
              <w:fldChar w:fldCharType="end"/>
            </w:r>
          </w:hyperlink>
        </w:p>
        <w:p w14:paraId="0948B268" w14:textId="66B914EE" w:rsidR="00942ED4" w:rsidRDefault="00942ED4" w:rsidP="00942ED4">
          <w:pPr>
            <w:pStyle w:val="TOC1"/>
            <w:tabs>
              <w:tab w:val="right" w:leader="dot" w:pos="9016"/>
            </w:tabs>
            <w:spacing w:before="0" w:line="360" w:lineRule="auto"/>
            <w:rPr>
              <w:rFonts w:asciiTheme="minorHAnsi" w:eastAsiaTheme="minorEastAsia" w:hAnsiTheme="minorHAnsi" w:cstheme="minorBidi"/>
              <w:b w:val="0"/>
              <w:bCs w:val="0"/>
              <w:i w:val="0"/>
              <w:iCs w:val="0"/>
              <w:noProof/>
            </w:rPr>
          </w:pPr>
          <w:hyperlink w:anchor="_Toc116316415" w:history="1">
            <w:r w:rsidRPr="004370B8">
              <w:rPr>
                <w:rStyle w:val="Hyperlink"/>
                <w:noProof/>
              </w:rPr>
              <w:t>Part A: Preclinical Plan</w:t>
            </w:r>
            <w:r>
              <w:rPr>
                <w:noProof/>
                <w:webHidden/>
              </w:rPr>
              <w:tab/>
            </w:r>
            <w:r>
              <w:rPr>
                <w:noProof/>
                <w:webHidden/>
              </w:rPr>
              <w:fldChar w:fldCharType="begin"/>
            </w:r>
            <w:r>
              <w:rPr>
                <w:noProof/>
                <w:webHidden/>
              </w:rPr>
              <w:instrText xml:space="preserve"> PAGEREF _Toc116316415 \h </w:instrText>
            </w:r>
            <w:r>
              <w:rPr>
                <w:noProof/>
                <w:webHidden/>
              </w:rPr>
            </w:r>
            <w:r>
              <w:rPr>
                <w:noProof/>
                <w:webHidden/>
              </w:rPr>
              <w:fldChar w:fldCharType="separate"/>
            </w:r>
            <w:r>
              <w:rPr>
                <w:noProof/>
                <w:webHidden/>
              </w:rPr>
              <w:t>4</w:t>
            </w:r>
            <w:r>
              <w:rPr>
                <w:noProof/>
                <w:webHidden/>
              </w:rPr>
              <w:fldChar w:fldCharType="end"/>
            </w:r>
          </w:hyperlink>
        </w:p>
        <w:p w14:paraId="44F0FA1D" w14:textId="290F4338" w:rsidR="00942ED4" w:rsidRDefault="00942ED4" w:rsidP="00942ED4">
          <w:pPr>
            <w:pStyle w:val="TOC2"/>
            <w:tabs>
              <w:tab w:val="right" w:leader="dot" w:pos="9016"/>
            </w:tabs>
            <w:spacing w:before="0" w:line="360" w:lineRule="auto"/>
            <w:rPr>
              <w:rFonts w:asciiTheme="minorHAnsi" w:eastAsiaTheme="minorEastAsia" w:hAnsiTheme="minorHAnsi" w:cstheme="minorBidi"/>
              <w:b w:val="0"/>
              <w:bCs w:val="0"/>
              <w:noProof/>
              <w:sz w:val="24"/>
              <w:szCs w:val="24"/>
            </w:rPr>
          </w:pPr>
          <w:hyperlink w:anchor="_Toc116316416" w:history="1">
            <w:r w:rsidRPr="004370B8">
              <w:rPr>
                <w:rStyle w:val="Hyperlink"/>
                <w:noProof/>
                <w:lang w:val="en-US"/>
              </w:rPr>
              <w:t>Acute toxicity</w:t>
            </w:r>
            <w:r>
              <w:rPr>
                <w:noProof/>
                <w:webHidden/>
              </w:rPr>
              <w:tab/>
            </w:r>
            <w:r>
              <w:rPr>
                <w:noProof/>
                <w:webHidden/>
              </w:rPr>
              <w:fldChar w:fldCharType="begin"/>
            </w:r>
            <w:r>
              <w:rPr>
                <w:noProof/>
                <w:webHidden/>
              </w:rPr>
              <w:instrText xml:space="preserve"> PAGEREF _Toc116316416 \h </w:instrText>
            </w:r>
            <w:r>
              <w:rPr>
                <w:noProof/>
                <w:webHidden/>
              </w:rPr>
            </w:r>
            <w:r>
              <w:rPr>
                <w:noProof/>
                <w:webHidden/>
              </w:rPr>
              <w:fldChar w:fldCharType="separate"/>
            </w:r>
            <w:r>
              <w:rPr>
                <w:noProof/>
                <w:webHidden/>
              </w:rPr>
              <w:t>4</w:t>
            </w:r>
            <w:r>
              <w:rPr>
                <w:noProof/>
                <w:webHidden/>
              </w:rPr>
              <w:fldChar w:fldCharType="end"/>
            </w:r>
          </w:hyperlink>
        </w:p>
        <w:p w14:paraId="6BB800D0" w14:textId="61A3C4D7" w:rsidR="00942ED4" w:rsidRDefault="00942ED4" w:rsidP="00942ED4">
          <w:pPr>
            <w:pStyle w:val="TOC2"/>
            <w:tabs>
              <w:tab w:val="right" w:leader="dot" w:pos="9016"/>
            </w:tabs>
            <w:spacing w:before="0" w:line="360" w:lineRule="auto"/>
            <w:rPr>
              <w:rFonts w:asciiTheme="minorHAnsi" w:eastAsiaTheme="minorEastAsia" w:hAnsiTheme="minorHAnsi" w:cstheme="minorBidi"/>
              <w:b w:val="0"/>
              <w:bCs w:val="0"/>
              <w:noProof/>
              <w:sz w:val="24"/>
              <w:szCs w:val="24"/>
            </w:rPr>
          </w:pPr>
          <w:hyperlink w:anchor="_Toc116316417" w:history="1">
            <w:r w:rsidRPr="004370B8">
              <w:rPr>
                <w:rStyle w:val="Hyperlink"/>
                <w:noProof/>
                <w:lang w:val="en-US"/>
              </w:rPr>
              <w:t>Dosage</w:t>
            </w:r>
            <w:r>
              <w:rPr>
                <w:noProof/>
                <w:webHidden/>
              </w:rPr>
              <w:tab/>
            </w:r>
            <w:r>
              <w:rPr>
                <w:noProof/>
                <w:webHidden/>
              </w:rPr>
              <w:fldChar w:fldCharType="begin"/>
            </w:r>
            <w:r>
              <w:rPr>
                <w:noProof/>
                <w:webHidden/>
              </w:rPr>
              <w:instrText xml:space="preserve"> PAGEREF _Toc116316417 \h </w:instrText>
            </w:r>
            <w:r>
              <w:rPr>
                <w:noProof/>
                <w:webHidden/>
              </w:rPr>
            </w:r>
            <w:r>
              <w:rPr>
                <w:noProof/>
                <w:webHidden/>
              </w:rPr>
              <w:fldChar w:fldCharType="separate"/>
            </w:r>
            <w:r>
              <w:rPr>
                <w:noProof/>
                <w:webHidden/>
              </w:rPr>
              <w:t>5</w:t>
            </w:r>
            <w:r>
              <w:rPr>
                <w:noProof/>
                <w:webHidden/>
              </w:rPr>
              <w:fldChar w:fldCharType="end"/>
            </w:r>
          </w:hyperlink>
        </w:p>
        <w:p w14:paraId="0D041EA8" w14:textId="5040D5A2" w:rsidR="00942ED4" w:rsidRDefault="00942ED4" w:rsidP="00942ED4">
          <w:pPr>
            <w:pStyle w:val="TOC2"/>
            <w:tabs>
              <w:tab w:val="right" w:leader="dot" w:pos="9016"/>
            </w:tabs>
            <w:spacing w:before="0" w:line="360" w:lineRule="auto"/>
            <w:rPr>
              <w:rFonts w:asciiTheme="minorHAnsi" w:eastAsiaTheme="minorEastAsia" w:hAnsiTheme="minorHAnsi" w:cstheme="minorBidi"/>
              <w:b w:val="0"/>
              <w:bCs w:val="0"/>
              <w:noProof/>
              <w:sz w:val="24"/>
              <w:szCs w:val="24"/>
            </w:rPr>
          </w:pPr>
          <w:hyperlink w:anchor="_Toc116316418" w:history="1">
            <w:r w:rsidRPr="004370B8">
              <w:rPr>
                <w:rStyle w:val="Hyperlink"/>
                <w:noProof/>
                <w:lang w:val="en-US"/>
              </w:rPr>
              <w:t>Guidance documents used</w:t>
            </w:r>
            <w:r>
              <w:rPr>
                <w:noProof/>
                <w:webHidden/>
              </w:rPr>
              <w:tab/>
            </w:r>
            <w:r>
              <w:rPr>
                <w:noProof/>
                <w:webHidden/>
              </w:rPr>
              <w:fldChar w:fldCharType="begin"/>
            </w:r>
            <w:r>
              <w:rPr>
                <w:noProof/>
                <w:webHidden/>
              </w:rPr>
              <w:instrText xml:space="preserve"> PAGEREF _Toc116316418 \h </w:instrText>
            </w:r>
            <w:r>
              <w:rPr>
                <w:noProof/>
                <w:webHidden/>
              </w:rPr>
            </w:r>
            <w:r>
              <w:rPr>
                <w:noProof/>
                <w:webHidden/>
              </w:rPr>
              <w:fldChar w:fldCharType="separate"/>
            </w:r>
            <w:r>
              <w:rPr>
                <w:noProof/>
                <w:webHidden/>
              </w:rPr>
              <w:t>6</w:t>
            </w:r>
            <w:r>
              <w:rPr>
                <w:noProof/>
                <w:webHidden/>
              </w:rPr>
              <w:fldChar w:fldCharType="end"/>
            </w:r>
          </w:hyperlink>
        </w:p>
        <w:p w14:paraId="7218C681" w14:textId="3778D1E1" w:rsidR="00942ED4" w:rsidRDefault="00942ED4" w:rsidP="00942ED4">
          <w:pPr>
            <w:pStyle w:val="TOC1"/>
            <w:tabs>
              <w:tab w:val="right" w:leader="dot" w:pos="9016"/>
            </w:tabs>
            <w:spacing w:before="0" w:line="360" w:lineRule="auto"/>
            <w:rPr>
              <w:rFonts w:asciiTheme="minorHAnsi" w:eastAsiaTheme="minorEastAsia" w:hAnsiTheme="minorHAnsi" w:cstheme="minorBidi"/>
              <w:b w:val="0"/>
              <w:bCs w:val="0"/>
              <w:i w:val="0"/>
              <w:iCs w:val="0"/>
              <w:noProof/>
            </w:rPr>
          </w:pPr>
          <w:hyperlink w:anchor="_Toc116316419" w:history="1">
            <w:r w:rsidRPr="004370B8">
              <w:rPr>
                <w:rStyle w:val="Hyperlink"/>
                <w:noProof/>
              </w:rPr>
              <w:t>Part B: Clinical Plan</w:t>
            </w:r>
            <w:r>
              <w:rPr>
                <w:noProof/>
                <w:webHidden/>
              </w:rPr>
              <w:tab/>
            </w:r>
            <w:r>
              <w:rPr>
                <w:noProof/>
                <w:webHidden/>
              </w:rPr>
              <w:fldChar w:fldCharType="begin"/>
            </w:r>
            <w:r>
              <w:rPr>
                <w:noProof/>
                <w:webHidden/>
              </w:rPr>
              <w:instrText xml:space="preserve"> PAGEREF _Toc116316419 \h </w:instrText>
            </w:r>
            <w:r>
              <w:rPr>
                <w:noProof/>
                <w:webHidden/>
              </w:rPr>
            </w:r>
            <w:r>
              <w:rPr>
                <w:noProof/>
                <w:webHidden/>
              </w:rPr>
              <w:fldChar w:fldCharType="separate"/>
            </w:r>
            <w:r>
              <w:rPr>
                <w:noProof/>
                <w:webHidden/>
              </w:rPr>
              <w:t>7</w:t>
            </w:r>
            <w:r>
              <w:rPr>
                <w:noProof/>
                <w:webHidden/>
              </w:rPr>
              <w:fldChar w:fldCharType="end"/>
            </w:r>
          </w:hyperlink>
        </w:p>
        <w:p w14:paraId="3B843AE6" w14:textId="6FBD04A8" w:rsidR="00942ED4" w:rsidRDefault="00942ED4" w:rsidP="00942ED4">
          <w:pPr>
            <w:pStyle w:val="TOC1"/>
            <w:tabs>
              <w:tab w:val="right" w:leader="dot" w:pos="9016"/>
            </w:tabs>
            <w:spacing w:before="0" w:line="360" w:lineRule="auto"/>
            <w:rPr>
              <w:rFonts w:asciiTheme="minorHAnsi" w:eastAsiaTheme="minorEastAsia" w:hAnsiTheme="minorHAnsi" w:cstheme="minorBidi"/>
              <w:b w:val="0"/>
              <w:bCs w:val="0"/>
              <w:i w:val="0"/>
              <w:iCs w:val="0"/>
              <w:noProof/>
            </w:rPr>
          </w:pPr>
          <w:hyperlink w:anchor="_Toc116316420" w:history="1">
            <w:r w:rsidRPr="004370B8">
              <w:rPr>
                <w:rStyle w:val="Hyperlink"/>
                <w:noProof/>
              </w:rPr>
              <w:t>Part C: Chemistry, Manufacturing and Controls, CMC</w:t>
            </w:r>
            <w:r>
              <w:rPr>
                <w:noProof/>
                <w:webHidden/>
              </w:rPr>
              <w:tab/>
            </w:r>
            <w:r>
              <w:rPr>
                <w:noProof/>
                <w:webHidden/>
              </w:rPr>
              <w:fldChar w:fldCharType="begin"/>
            </w:r>
            <w:r>
              <w:rPr>
                <w:noProof/>
                <w:webHidden/>
              </w:rPr>
              <w:instrText xml:space="preserve"> PAGEREF _Toc116316420 \h </w:instrText>
            </w:r>
            <w:r>
              <w:rPr>
                <w:noProof/>
                <w:webHidden/>
              </w:rPr>
            </w:r>
            <w:r>
              <w:rPr>
                <w:noProof/>
                <w:webHidden/>
              </w:rPr>
              <w:fldChar w:fldCharType="separate"/>
            </w:r>
            <w:r>
              <w:rPr>
                <w:noProof/>
                <w:webHidden/>
              </w:rPr>
              <w:t>7</w:t>
            </w:r>
            <w:r>
              <w:rPr>
                <w:noProof/>
                <w:webHidden/>
              </w:rPr>
              <w:fldChar w:fldCharType="end"/>
            </w:r>
          </w:hyperlink>
        </w:p>
        <w:p w14:paraId="5AD46318" w14:textId="02F8FAB5" w:rsidR="00942ED4" w:rsidRDefault="00942ED4" w:rsidP="00942ED4">
          <w:pPr>
            <w:pStyle w:val="TOC1"/>
            <w:tabs>
              <w:tab w:val="right" w:leader="dot" w:pos="9016"/>
            </w:tabs>
            <w:spacing w:before="0" w:line="360" w:lineRule="auto"/>
            <w:rPr>
              <w:rFonts w:asciiTheme="minorHAnsi" w:eastAsiaTheme="minorEastAsia" w:hAnsiTheme="minorHAnsi" w:cstheme="minorBidi"/>
              <w:b w:val="0"/>
              <w:bCs w:val="0"/>
              <w:i w:val="0"/>
              <w:iCs w:val="0"/>
              <w:noProof/>
            </w:rPr>
          </w:pPr>
          <w:hyperlink w:anchor="_Toc116316421" w:history="1">
            <w:r w:rsidRPr="004370B8">
              <w:rPr>
                <w:rStyle w:val="Hyperlink"/>
                <w:noProof/>
              </w:rPr>
              <w:t>Part D: Pre-IND Meeting / Scientific Advice</w:t>
            </w:r>
            <w:r>
              <w:rPr>
                <w:noProof/>
                <w:webHidden/>
              </w:rPr>
              <w:tab/>
            </w:r>
            <w:r>
              <w:rPr>
                <w:noProof/>
                <w:webHidden/>
              </w:rPr>
              <w:fldChar w:fldCharType="begin"/>
            </w:r>
            <w:r>
              <w:rPr>
                <w:noProof/>
                <w:webHidden/>
              </w:rPr>
              <w:instrText xml:space="preserve"> PAGEREF _Toc116316421 \h </w:instrText>
            </w:r>
            <w:r>
              <w:rPr>
                <w:noProof/>
                <w:webHidden/>
              </w:rPr>
            </w:r>
            <w:r>
              <w:rPr>
                <w:noProof/>
                <w:webHidden/>
              </w:rPr>
              <w:fldChar w:fldCharType="separate"/>
            </w:r>
            <w:r>
              <w:rPr>
                <w:noProof/>
                <w:webHidden/>
              </w:rPr>
              <w:t>7</w:t>
            </w:r>
            <w:r>
              <w:rPr>
                <w:noProof/>
                <w:webHidden/>
              </w:rPr>
              <w:fldChar w:fldCharType="end"/>
            </w:r>
          </w:hyperlink>
        </w:p>
        <w:p w14:paraId="20EA6BE2" w14:textId="3E8DF08C" w:rsidR="00942ED4" w:rsidRDefault="00942ED4" w:rsidP="00942ED4">
          <w:pPr>
            <w:pStyle w:val="TOC1"/>
            <w:tabs>
              <w:tab w:val="right" w:leader="dot" w:pos="9016"/>
            </w:tabs>
            <w:spacing w:before="0" w:line="360" w:lineRule="auto"/>
            <w:rPr>
              <w:rFonts w:asciiTheme="minorHAnsi" w:eastAsiaTheme="minorEastAsia" w:hAnsiTheme="minorHAnsi" w:cstheme="minorBidi"/>
              <w:b w:val="0"/>
              <w:bCs w:val="0"/>
              <w:i w:val="0"/>
              <w:iCs w:val="0"/>
              <w:noProof/>
            </w:rPr>
          </w:pPr>
          <w:hyperlink w:anchor="_Toc116316422" w:history="1">
            <w:r w:rsidRPr="004370B8">
              <w:rPr>
                <w:rStyle w:val="Hyperlink"/>
                <w:noProof/>
              </w:rPr>
              <w:t>Part E: Inspection Readiness</w:t>
            </w:r>
            <w:r>
              <w:rPr>
                <w:noProof/>
                <w:webHidden/>
              </w:rPr>
              <w:tab/>
            </w:r>
            <w:r>
              <w:rPr>
                <w:noProof/>
                <w:webHidden/>
              </w:rPr>
              <w:fldChar w:fldCharType="begin"/>
            </w:r>
            <w:r>
              <w:rPr>
                <w:noProof/>
                <w:webHidden/>
              </w:rPr>
              <w:instrText xml:space="preserve"> PAGEREF _Toc116316422 \h </w:instrText>
            </w:r>
            <w:r>
              <w:rPr>
                <w:noProof/>
                <w:webHidden/>
              </w:rPr>
            </w:r>
            <w:r>
              <w:rPr>
                <w:noProof/>
                <w:webHidden/>
              </w:rPr>
              <w:fldChar w:fldCharType="separate"/>
            </w:r>
            <w:r>
              <w:rPr>
                <w:noProof/>
                <w:webHidden/>
              </w:rPr>
              <w:t>8</w:t>
            </w:r>
            <w:r>
              <w:rPr>
                <w:noProof/>
                <w:webHidden/>
              </w:rPr>
              <w:fldChar w:fldCharType="end"/>
            </w:r>
          </w:hyperlink>
        </w:p>
        <w:p w14:paraId="5C39809C" w14:textId="176A26DD" w:rsidR="00942ED4" w:rsidRDefault="00942ED4" w:rsidP="00942ED4">
          <w:pPr>
            <w:pStyle w:val="TOC1"/>
            <w:tabs>
              <w:tab w:val="right" w:leader="dot" w:pos="9016"/>
            </w:tabs>
            <w:spacing w:before="0" w:line="360" w:lineRule="auto"/>
            <w:rPr>
              <w:rFonts w:asciiTheme="minorHAnsi" w:eastAsiaTheme="minorEastAsia" w:hAnsiTheme="minorHAnsi" w:cstheme="minorBidi"/>
              <w:b w:val="0"/>
              <w:bCs w:val="0"/>
              <w:i w:val="0"/>
              <w:iCs w:val="0"/>
              <w:noProof/>
            </w:rPr>
          </w:pPr>
          <w:hyperlink w:anchor="_Toc116316423" w:history="1">
            <w:r w:rsidRPr="004370B8">
              <w:rPr>
                <w:rStyle w:val="Hyperlink"/>
                <w:noProof/>
              </w:rPr>
              <w:t>Overall strategy</w:t>
            </w:r>
            <w:r>
              <w:rPr>
                <w:noProof/>
                <w:webHidden/>
              </w:rPr>
              <w:tab/>
            </w:r>
            <w:r>
              <w:rPr>
                <w:noProof/>
                <w:webHidden/>
              </w:rPr>
              <w:fldChar w:fldCharType="begin"/>
            </w:r>
            <w:r>
              <w:rPr>
                <w:noProof/>
                <w:webHidden/>
              </w:rPr>
              <w:instrText xml:space="preserve"> PAGEREF _Toc116316423 \h </w:instrText>
            </w:r>
            <w:r>
              <w:rPr>
                <w:noProof/>
                <w:webHidden/>
              </w:rPr>
            </w:r>
            <w:r>
              <w:rPr>
                <w:noProof/>
                <w:webHidden/>
              </w:rPr>
              <w:fldChar w:fldCharType="separate"/>
            </w:r>
            <w:r>
              <w:rPr>
                <w:noProof/>
                <w:webHidden/>
              </w:rPr>
              <w:t>8</w:t>
            </w:r>
            <w:r>
              <w:rPr>
                <w:noProof/>
                <w:webHidden/>
              </w:rPr>
              <w:fldChar w:fldCharType="end"/>
            </w:r>
          </w:hyperlink>
        </w:p>
        <w:p w14:paraId="2507D3C4" w14:textId="653E06E8" w:rsidR="00942ED4" w:rsidRDefault="00942ED4" w:rsidP="00942ED4">
          <w:pPr>
            <w:pStyle w:val="TOC1"/>
            <w:tabs>
              <w:tab w:val="right" w:leader="dot" w:pos="9016"/>
            </w:tabs>
            <w:spacing w:before="0" w:line="360" w:lineRule="auto"/>
            <w:rPr>
              <w:rFonts w:asciiTheme="minorHAnsi" w:eastAsiaTheme="minorEastAsia" w:hAnsiTheme="minorHAnsi" w:cstheme="minorBidi"/>
              <w:b w:val="0"/>
              <w:bCs w:val="0"/>
              <w:i w:val="0"/>
              <w:iCs w:val="0"/>
              <w:noProof/>
            </w:rPr>
          </w:pPr>
          <w:hyperlink w:anchor="_Toc116316424" w:history="1">
            <w:r w:rsidRPr="004370B8">
              <w:rPr>
                <w:rStyle w:val="Hyperlink"/>
                <w:noProof/>
              </w:rPr>
              <w:t>Advice to Management</w:t>
            </w:r>
            <w:r>
              <w:rPr>
                <w:noProof/>
                <w:webHidden/>
              </w:rPr>
              <w:tab/>
            </w:r>
            <w:r>
              <w:rPr>
                <w:noProof/>
                <w:webHidden/>
              </w:rPr>
              <w:fldChar w:fldCharType="begin"/>
            </w:r>
            <w:r>
              <w:rPr>
                <w:noProof/>
                <w:webHidden/>
              </w:rPr>
              <w:instrText xml:space="preserve"> PAGEREF _Toc116316424 \h </w:instrText>
            </w:r>
            <w:r>
              <w:rPr>
                <w:noProof/>
                <w:webHidden/>
              </w:rPr>
            </w:r>
            <w:r>
              <w:rPr>
                <w:noProof/>
                <w:webHidden/>
              </w:rPr>
              <w:fldChar w:fldCharType="separate"/>
            </w:r>
            <w:r>
              <w:rPr>
                <w:noProof/>
                <w:webHidden/>
              </w:rPr>
              <w:t>8</w:t>
            </w:r>
            <w:r>
              <w:rPr>
                <w:noProof/>
                <w:webHidden/>
              </w:rPr>
              <w:fldChar w:fldCharType="end"/>
            </w:r>
          </w:hyperlink>
        </w:p>
        <w:p w14:paraId="3853B9AE" w14:textId="25CA89EB" w:rsidR="00942ED4" w:rsidRDefault="00942ED4" w:rsidP="00942ED4">
          <w:pPr>
            <w:pStyle w:val="TOC1"/>
            <w:tabs>
              <w:tab w:val="right" w:leader="dot" w:pos="9016"/>
            </w:tabs>
            <w:spacing w:before="0" w:line="360" w:lineRule="auto"/>
            <w:rPr>
              <w:rFonts w:asciiTheme="minorHAnsi" w:eastAsiaTheme="minorEastAsia" w:hAnsiTheme="minorHAnsi" w:cstheme="minorBidi"/>
              <w:b w:val="0"/>
              <w:bCs w:val="0"/>
              <w:i w:val="0"/>
              <w:iCs w:val="0"/>
              <w:noProof/>
            </w:rPr>
          </w:pPr>
          <w:hyperlink w:anchor="_Toc116316425" w:history="1">
            <w:r w:rsidRPr="004370B8">
              <w:rPr>
                <w:rStyle w:val="Hyperlink"/>
                <w:noProof/>
              </w:rPr>
              <w:t>Conclusion</w:t>
            </w:r>
            <w:r>
              <w:rPr>
                <w:noProof/>
                <w:webHidden/>
              </w:rPr>
              <w:tab/>
            </w:r>
            <w:r>
              <w:rPr>
                <w:noProof/>
                <w:webHidden/>
              </w:rPr>
              <w:fldChar w:fldCharType="begin"/>
            </w:r>
            <w:r>
              <w:rPr>
                <w:noProof/>
                <w:webHidden/>
              </w:rPr>
              <w:instrText xml:space="preserve"> PAGEREF _Toc116316425 \h </w:instrText>
            </w:r>
            <w:r>
              <w:rPr>
                <w:noProof/>
                <w:webHidden/>
              </w:rPr>
            </w:r>
            <w:r>
              <w:rPr>
                <w:noProof/>
                <w:webHidden/>
              </w:rPr>
              <w:fldChar w:fldCharType="separate"/>
            </w:r>
            <w:r>
              <w:rPr>
                <w:noProof/>
                <w:webHidden/>
              </w:rPr>
              <w:t>8</w:t>
            </w:r>
            <w:r>
              <w:rPr>
                <w:noProof/>
                <w:webHidden/>
              </w:rPr>
              <w:fldChar w:fldCharType="end"/>
            </w:r>
          </w:hyperlink>
        </w:p>
        <w:p w14:paraId="7F0719E1" w14:textId="25247463" w:rsidR="00942ED4" w:rsidRDefault="00942ED4" w:rsidP="00942ED4">
          <w:pPr>
            <w:pStyle w:val="TOC1"/>
            <w:tabs>
              <w:tab w:val="right" w:leader="dot" w:pos="9016"/>
            </w:tabs>
            <w:spacing w:before="0" w:line="360" w:lineRule="auto"/>
            <w:rPr>
              <w:rFonts w:asciiTheme="minorHAnsi" w:eastAsiaTheme="minorEastAsia" w:hAnsiTheme="minorHAnsi" w:cstheme="minorBidi"/>
              <w:b w:val="0"/>
              <w:bCs w:val="0"/>
              <w:i w:val="0"/>
              <w:iCs w:val="0"/>
              <w:noProof/>
            </w:rPr>
          </w:pPr>
          <w:hyperlink w:anchor="_Toc116316426" w:history="1">
            <w:r w:rsidRPr="004370B8">
              <w:rPr>
                <w:rStyle w:val="Hyperlink"/>
                <w:rFonts w:cs="Times New Roman"/>
                <w:noProof/>
                <w:lang w:val="en-US"/>
              </w:rPr>
              <w:t>Supplemental</w:t>
            </w:r>
            <w:r>
              <w:rPr>
                <w:noProof/>
                <w:webHidden/>
              </w:rPr>
              <w:tab/>
            </w:r>
            <w:r>
              <w:rPr>
                <w:noProof/>
                <w:webHidden/>
              </w:rPr>
              <w:fldChar w:fldCharType="begin"/>
            </w:r>
            <w:r>
              <w:rPr>
                <w:noProof/>
                <w:webHidden/>
              </w:rPr>
              <w:instrText xml:space="preserve"> PAGEREF _Toc116316426 \h </w:instrText>
            </w:r>
            <w:r>
              <w:rPr>
                <w:noProof/>
                <w:webHidden/>
              </w:rPr>
            </w:r>
            <w:r>
              <w:rPr>
                <w:noProof/>
                <w:webHidden/>
              </w:rPr>
              <w:fldChar w:fldCharType="separate"/>
            </w:r>
            <w:r>
              <w:rPr>
                <w:noProof/>
                <w:webHidden/>
              </w:rPr>
              <w:t>9</w:t>
            </w:r>
            <w:r>
              <w:rPr>
                <w:noProof/>
                <w:webHidden/>
              </w:rPr>
              <w:fldChar w:fldCharType="end"/>
            </w:r>
          </w:hyperlink>
        </w:p>
        <w:p w14:paraId="4E78CC7E" w14:textId="624509D4" w:rsidR="00942ED4" w:rsidRDefault="00942ED4" w:rsidP="00942ED4">
          <w:pPr>
            <w:pStyle w:val="TOC2"/>
            <w:tabs>
              <w:tab w:val="right" w:leader="dot" w:pos="9016"/>
            </w:tabs>
            <w:spacing w:before="0" w:line="360" w:lineRule="auto"/>
            <w:rPr>
              <w:rFonts w:asciiTheme="minorHAnsi" w:eastAsiaTheme="minorEastAsia" w:hAnsiTheme="minorHAnsi" w:cstheme="minorBidi"/>
              <w:b w:val="0"/>
              <w:bCs w:val="0"/>
              <w:noProof/>
              <w:sz w:val="24"/>
              <w:szCs w:val="24"/>
            </w:rPr>
          </w:pPr>
          <w:hyperlink w:anchor="_Toc116316427" w:history="1">
            <w:r w:rsidRPr="004370B8">
              <w:rPr>
                <w:rStyle w:val="Hyperlink"/>
                <w:noProof/>
                <w:lang w:val="en-US"/>
              </w:rPr>
              <w:t>Introduction on therapeutic mAb</w:t>
            </w:r>
            <w:r>
              <w:rPr>
                <w:noProof/>
                <w:webHidden/>
              </w:rPr>
              <w:tab/>
            </w:r>
            <w:r>
              <w:rPr>
                <w:noProof/>
                <w:webHidden/>
              </w:rPr>
              <w:fldChar w:fldCharType="begin"/>
            </w:r>
            <w:r>
              <w:rPr>
                <w:noProof/>
                <w:webHidden/>
              </w:rPr>
              <w:instrText xml:space="preserve"> PAGEREF _Toc116316427 \h </w:instrText>
            </w:r>
            <w:r>
              <w:rPr>
                <w:noProof/>
                <w:webHidden/>
              </w:rPr>
            </w:r>
            <w:r>
              <w:rPr>
                <w:noProof/>
                <w:webHidden/>
              </w:rPr>
              <w:fldChar w:fldCharType="separate"/>
            </w:r>
            <w:r>
              <w:rPr>
                <w:noProof/>
                <w:webHidden/>
              </w:rPr>
              <w:t>9</w:t>
            </w:r>
            <w:r>
              <w:rPr>
                <w:noProof/>
                <w:webHidden/>
              </w:rPr>
              <w:fldChar w:fldCharType="end"/>
            </w:r>
          </w:hyperlink>
        </w:p>
        <w:p w14:paraId="0B49CC14" w14:textId="629AAC93" w:rsidR="00942ED4" w:rsidRDefault="00942ED4" w:rsidP="00942ED4">
          <w:pPr>
            <w:pStyle w:val="TOC2"/>
            <w:tabs>
              <w:tab w:val="right" w:leader="dot" w:pos="9016"/>
            </w:tabs>
            <w:spacing w:before="0" w:line="360" w:lineRule="auto"/>
            <w:rPr>
              <w:rFonts w:asciiTheme="minorHAnsi" w:eastAsiaTheme="minorEastAsia" w:hAnsiTheme="minorHAnsi" w:cstheme="minorBidi"/>
              <w:b w:val="0"/>
              <w:bCs w:val="0"/>
              <w:noProof/>
              <w:sz w:val="24"/>
              <w:szCs w:val="24"/>
            </w:rPr>
          </w:pPr>
          <w:hyperlink w:anchor="_Toc116316428" w:history="1">
            <w:r w:rsidRPr="004370B8">
              <w:rPr>
                <w:rStyle w:val="Hyperlink"/>
                <w:noProof/>
                <w:lang w:val="en-US"/>
              </w:rPr>
              <w:t>Open access</w:t>
            </w:r>
            <w:r>
              <w:rPr>
                <w:noProof/>
                <w:webHidden/>
              </w:rPr>
              <w:tab/>
            </w:r>
            <w:r>
              <w:rPr>
                <w:noProof/>
                <w:webHidden/>
              </w:rPr>
              <w:fldChar w:fldCharType="begin"/>
            </w:r>
            <w:r>
              <w:rPr>
                <w:noProof/>
                <w:webHidden/>
              </w:rPr>
              <w:instrText xml:space="preserve"> PAGEREF _Toc116316428 \h </w:instrText>
            </w:r>
            <w:r>
              <w:rPr>
                <w:noProof/>
                <w:webHidden/>
              </w:rPr>
            </w:r>
            <w:r>
              <w:rPr>
                <w:noProof/>
                <w:webHidden/>
              </w:rPr>
              <w:fldChar w:fldCharType="separate"/>
            </w:r>
            <w:r>
              <w:rPr>
                <w:noProof/>
                <w:webHidden/>
              </w:rPr>
              <w:t>11</w:t>
            </w:r>
            <w:r>
              <w:rPr>
                <w:noProof/>
                <w:webHidden/>
              </w:rPr>
              <w:fldChar w:fldCharType="end"/>
            </w:r>
          </w:hyperlink>
        </w:p>
        <w:p w14:paraId="2926C7A0" w14:textId="5335FB5A" w:rsidR="00942ED4" w:rsidRDefault="00942ED4" w:rsidP="00942ED4">
          <w:pPr>
            <w:pStyle w:val="TOC2"/>
            <w:tabs>
              <w:tab w:val="right" w:leader="dot" w:pos="9016"/>
            </w:tabs>
            <w:spacing w:before="0" w:line="360" w:lineRule="auto"/>
            <w:rPr>
              <w:rFonts w:asciiTheme="minorHAnsi" w:eastAsiaTheme="minorEastAsia" w:hAnsiTheme="minorHAnsi" w:cstheme="minorBidi"/>
              <w:b w:val="0"/>
              <w:bCs w:val="0"/>
              <w:noProof/>
              <w:sz w:val="24"/>
              <w:szCs w:val="24"/>
            </w:rPr>
          </w:pPr>
          <w:hyperlink w:anchor="_Toc116316429" w:history="1">
            <w:r w:rsidRPr="004370B8">
              <w:rPr>
                <w:rStyle w:val="Hyperlink"/>
                <w:noProof/>
              </w:rPr>
              <w:t>Guidelines (remove in final version)</w:t>
            </w:r>
            <w:r>
              <w:rPr>
                <w:noProof/>
                <w:webHidden/>
              </w:rPr>
              <w:tab/>
            </w:r>
            <w:r>
              <w:rPr>
                <w:noProof/>
                <w:webHidden/>
              </w:rPr>
              <w:fldChar w:fldCharType="begin"/>
            </w:r>
            <w:r>
              <w:rPr>
                <w:noProof/>
                <w:webHidden/>
              </w:rPr>
              <w:instrText xml:space="preserve"> PAGEREF _Toc116316429 \h </w:instrText>
            </w:r>
            <w:r>
              <w:rPr>
                <w:noProof/>
                <w:webHidden/>
              </w:rPr>
            </w:r>
            <w:r>
              <w:rPr>
                <w:noProof/>
                <w:webHidden/>
              </w:rPr>
              <w:fldChar w:fldCharType="separate"/>
            </w:r>
            <w:r>
              <w:rPr>
                <w:noProof/>
                <w:webHidden/>
              </w:rPr>
              <w:t>11</w:t>
            </w:r>
            <w:r>
              <w:rPr>
                <w:noProof/>
                <w:webHidden/>
              </w:rPr>
              <w:fldChar w:fldCharType="end"/>
            </w:r>
          </w:hyperlink>
        </w:p>
        <w:p w14:paraId="4FC50CFB" w14:textId="60C24F62" w:rsidR="00942ED4" w:rsidRDefault="00942ED4" w:rsidP="00942ED4">
          <w:pPr>
            <w:pStyle w:val="TOC1"/>
            <w:tabs>
              <w:tab w:val="right" w:leader="dot" w:pos="9016"/>
            </w:tabs>
            <w:spacing w:before="0" w:line="360" w:lineRule="auto"/>
            <w:rPr>
              <w:rFonts w:asciiTheme="minorHAnsi" w:eastAsiaTheme="minorEastAsia" w:hAnsiTheme="minorHAnsi" w:cstheme="minorBidi"/>
              <w:b w:val="0"/>
              <w:bCs w:val="0"/>
              <w:i w:val="0"/>
              <w:iCs w:val="0"/>
              <w:noProof/>
            </w:rPr>
          </w:pPr>
          <w:hyperlink w:anchor="_Toc116316430" w:history="1">
            <w:r w:rsidRPr="004370B8">
              <w:rPr>
                <w:rStyle w:val="Hyperlink"/>
                <w:rFonts w:cs="Times New Roman"/>
                <w:noProof/>
              </w:rPr>
              <w:t>References</w:t>
            </w:r>
            <w:r>
              <w:rPr>
                <w:noProof/>
                <w:webHidden/>
              </w:rPr>
              <w:tab/>
            </w:r>
            <w:r>
              <w:rPr>
                <w:noProof/>
                <w:webHidden/>
              </w:rPr>
              <w:fldChar w:fldCharType="begin"/>
            </w:r>
            <w:r>
              <w:rPr>
                <w:noProof/>
                <w:webHidden/>
              </w:rPr>
              <w:instrText xml:space="preserve"> PAGEREF _Toc116316430 \h </w:instrText>
            </w:r>
            <w:r>
              <w:rPr>
                <w:noProof/>
                <w:webHidden/>
              </w:rPr>
            </w:r>
            <w:r>
              <w:rPr>
                <w:noProof/>
                <w:webHidden/>
              </w:rPr>
              <w:fldChar w:fldCharType="separate"/>
            </w:r>
            <w:r>
              <w:rPr>
                <w:noProof/>
                <w:webHidden/>
              </w:rPr>
              <w:t>11</w:t>
            </w:r>
            <w:r>
              <w:rPr>
                <w:noProof/>
                <w:webHidden/>
              </w:rPr>
              <w:fldChar w:fldCharType="end"/>
            </w:r>
          </w:hyperlink>
        </w:p>
        <w:p w14:paraId="2575A747" w14:textId="558FDA71" w:rsidR="00F236A3" w:rsidRPr="00073727" w:rsidRDefault="00F236A3" w:rsidP="00942ED4">
          <w:pPr>
            <w:spacing w:line="360" w:lineRule="auto"/>
            <w:rPr>
              <w:noProof/>
            </w:rPr>
          </w:pPr>
          <w:r w:rsidRPr="00073727">
            <w:rPr>
              <w:b/>
              <w:bCs/>
              <w:noProof/>
            </w:rPr>
            <w:fldChar w:fldCharType="end"/>
          </w:r>
        </w:p>
      </w:sdtContent>
    </w:sdt>
    <w:p w14:paraId="252C9266" w14:textId="4CDA4BEB" w:rsidR="005B2D24" w:rsidRPr="00073727" w:rsidRDefault="005B2D24" w:rsidP="00942ED4">
      <w:pPr>
        <w:pStyle w:val="Heading1"/>
        <w:spacing w:before="0" w:line="360" w:lineRule="auto"/>
        <w:rPr>
          <w:rFonts w:ascii="Times New Roman" w:hAnsi="Times New Roman" w:cs="Times New Roman"/>
          <w:noProof/>
          <w:lang w:val="en-US"/>
        </w:rPr>
      </w:pPr>
      <w:bookmarkStart w:id="0" w:name="_Toc116316409"/>
      <w:r w:rsidRPr="00073727">
        <w:rPr>
          <w:rFonts w:ascii="Times New Roman" w:hAnsi="Times New Roman" w:cs="Times New Roman"/>
          <w:noProof/>
          <w:lang w:val="en-US"/>
        </w:rPr>
        <w:t>Table of tables</w:t>
      </w:r>
      <w:bookmarkEnd w:id="0"/>
    </w:p>
    <w:p w14:paraId="420839CE" w14:textId="15B9A52F" w:rsidR="002215A5" w:rsidRDefault="005B2D24" w:rsidP="00942ED4">
      <w:pPr>
        <w:pStyle w:val="TableofFigures"/>
        <w:tabs>
          <w:tab w:val="right" w:leader="dot" w:pos="9016"/>
        </w:tabs>
        <w:spacing w:line="360" w:lineRule="auto"/>
        <w:rPr>
          <w:noProof/>
        </w:rPr>
      </w:pPr>
      <w:r w:rsidRPr="00073727">
        <w:fldChar w:fldCharType="begin"/>
      </w:r>
      <w:r w:rsidRPr="00073727">
        <w:instrText xml:space="preserve"> TOC \h \z \c "Table" </w:instrText>
      </w:r>
      <w:r w:rsidRPr="00073727">
        <w:fldChar w:fldCharType="separate"/>
      </w:r>
      <w:hyperlink w:anchor="_Toc115971161" w:history="1">
        <w:r w:rsidR="002215A5" w:rsidRPr="00073727">
          <w:rPr>
            <w:rStyle w:val="Hyperlink"/>
            <w:noProof/>
          </w:rPr>
          <w:t>Table 1</w:t>
        </w:r>
        <w:r w:rsidR="002215A5" w:rsidRPr="00073727">
          <w:rPr>
            <w:rStyle w:val="Hyperlink"/>
            <w:b/>
            <w:bCs/>
            <w:noProof/>
          </w:rPr>
          <w:t xml:space="preserve"> </w:t>
        </w:r>
        <w:r w:rsidR="002215A5" w:rsidRPr="00073727">
          <w:rPr>
            <w:rStyle w:val="Hyperlink"/>
            <w:noProof/>
          </w:rPr>
          <w:t xml:space="preserve">Treatment </w:t>
        </w:r>
        <w:r w:rsidR="002215A5" w:rsidRPr="00073727">
          <w:rPr>
            <w:rStyle w:val="Hyperlink"/>
            <w:noProof/>
          </w:rPr>
          <w:t>S</w:t>
        </w:r>
        <w:r w:rsidR="002215A5" w:rsidRPr="00073727">
          <w:rPr>
            <w:rStyle w:val="Hyperlink"/>
            <w:noProof/>
          </w:rPr>
          <w:t>chedules for Hertu</w:t>
        </w:r>
        <w:r w:rsidR="002215A5" w:rsidRPr="00073727">
          <w:rPr>
            <w:rStyle w:val="Hyperlink"/>
            <w:noProof/>
            <w:lang w:val="en-US"/>
          </w:rPr>
          <w:t>mig preclinical trials</w:t>
        </w:r>
        <w:r w:rsidR="002215A5" w:rsidRPr="00073727">
          <w:rPr>
            <w:noProof/>
            <w:webHidden/>
          </w:rPr>
          <w:tab/>
        </w:r>
        <w:r w:rsidR="002215A5" w:rsidRPr="00073727">
          <w:rPr>
            <w:noProof/>
            <w:webHidden/>
          </w:rPr>
          <w:fldChar w:fldCharType="begin"/>
        </w:r>
        <w:r w:rsidR="002215A5" w:rsidRPr="00073727">
          <w:rPr>
            <w:noProof/>
            <w:webHidden/>
          </w:rPr>
          <w:instrText xml:space="preserve"> PAGEREF _Toc115971161 \h </w:instrText>
        </w:r>
        <w:r w:rsidR="002215A5" w:rsidRPr="00073727">
          <w:rPr>
            <w:noProof/>
            <w:webHidden/>
          </w:rPr>
        </w:r>
        <w:r w:rsidR="002215A5" w:rsidRPr="00073727">
          <w:rPr>
            <w:noProof/>
            <w:webHidden/>
          </w:rPr>
          <w:fldChar w:fldCharType="separate"/>
        </w:r>
        <w:r w:rsidR="002215A5" w:rsidRPr="00073727">
          <w:rPr>
            <w:noProof/>
            <w:webHidden/>
          </w:rPr>
          <w:t>4</w:t>
        </w:r>
        <w:r w:rsidR="002215A5" w:rsidRPr="00073727">
          <w:rPr>
            <w:noProof/>
            <w:webHidden/>
          </w:rPr>
          <w:fldChar w:fldCharType="end"/>
        </w:r>
      </w:hyperlink>
    </w:p>
    <w:p w14:paraId="0E02B8C5" w14:textId="77777777" w:rsidR="00942ED4" w:rsidRPr="00942ED4" w:rsidRDefault="00942ED4" w:rsidP="00942ED4">
      <w:pPr>
        <w:spacing w:line="360" w:lineRule="auto"/>
        <w:rPr>
          <w:rFonts w:eastAsiaTheme="minorEastAsia"/>
        </w:rPr>
      </w:pPr>
    </w:p>
    <w:p w14:paraId="2EA4825C" w14:textId="509E5CD1" w:rsidR="005B2D24" w:rsidRPr="00073727" w:rsidRDefault="005B2D24" w:rsidP="00942ED4">
      <w:pPr>
        <w:pStyle w:val="Heading1"/>
        <w:spacing w:before="0" w:line="360" w:lineRule="auto"/>
        <w:rPr>
          <w:rFonts w:ascii="Times New Roman" w:hAnsi="Times New Roman" w:cs="Times New Roman"/>
          <w:noProof/>
          <w:lang w:val="en-US"/>
        </w:rPr>
      </w:pPr>
      <w:r w:rsidRPr="00073727">
        <w:rPr>
          <w:rFonts w:ascii="Times New Roman" w:hAnsi="Times New Roman" w:cs="Times New Roman"/>
        </w:rPr>
        <w:fldChar w:fldCharType="end"/>
      </w:r>
      <w:r w:rsidRPr="00073727">
        <w:rPr>
          <w:rFonts w:ascii="Times New Roman" w:hAnsi="Times New Roman" w:cs="Times New Roman"/>
          <w:noProof/>
          <w:lang w:val="en-US"/>
        </w:rPr>
        <w:t xml:space="preserve"> </w:t>
      </w:r>
      <w:bookmarkStart w:id="1" w:name="_Toc116316410"/>
      <w:r w:rsidRPr="00073727">
        <w:rPr>
          <w:rFonts w:ascii="Times New Roman" w:hAnsi="Times New Roman" w:cs="Times New Roman"/>
          <w:noProof/>
          <w:lang w:val="en-US"/>
        </w:rPr>
        <w:t>Table of figures</w:t>
      </w:r>
      <w:bookmarkEnd w:id="1"/>
    </w:p>
    <w:p w14:paraId="1026629C" w14:textId="4EA84813" w:rsidR="00073727" w:rsidRPr="00073727" w:rsidRDefault="001714AF" w:rsidP="00942ED4">
      <w:pPr>
        <w:pStyle w:val="TableofFigures"/>
        <w:tabs>
          <w:tab w:val="right" w:leader="dot" w:pos="9016"/>
        </w:tabs>
        <w:spacing w:line="360" w:lineRule="auto"/>
        <w:rPr>
          <w:rFonts w:eastAsiaTheme="minorEastAsia"/>
          <w:noProof/>
        </w:rPr>
      </w:pPr>
      <w:r w:rsidRPr="00073727">
        <w:rPr>
          <w:lang w:val="en-US"/>
        </w:rPr>
        <w:fldChar w:fldCharType="begin"/>
      </w:r>
      <w:r w:rsidRPr="00073727">
        <w:rPr>
          <w:lang w:val="en-US"/>
        </w:rPr>
        <w:instrText xml:space="preserve"> TOC \h \z \c "Figure" </w:instrText>
      </w:r>
      <w:r w:rsidRPr="00073727">
        <w:rPr>
          <w:lang w:val="en-US"/>
        </w:rPr>
        <w:fldChar w:fldCharType="separate"/>
      </w:r>
      <w:hyperlink w:anchor="_Toc116315312" w:history="1">
        <w:r w:rsidR="00073727" w:rsidRPr="00073727">
          <w:rPr>
            <w:rStyle w:val="Hyperlink"/>
            <w:noProof/>
          </w:rPr>
          <w:t>Figure 1</w:t>
        </w:r>
        <w:r w:rsidR="00073727" w:rsidRPr="00073727">
          <w:rPr>
            <w:rStyle w:val="Hyperlink"/>
            <w:noProof/>
            <w:lang w:val="en-US"/>
          </w:rPr>
          <w:t xml:space="preserve"> Cryo-EM structure of HER2 bound by mAb</w:t>
        </w:r>
        <w:r w:rsidR="00073727" w:rsidRPr="00073727">
          <w:rPr>
            <w:noProof/>
            <w:webHidden/>
          </w:rPr>
          <w:tab/>
        </w:r>
        <w:r w:rsidR="00073727" w:rsidRPr="00073727">
          <w:rPr>
            <w:noProof/>
            <w:webHidden/>
          </w:rPr>
          <w:fldChar w:fldCharType="begin"/>
        </w:r>
        <w:r w:rsidR="00073727" w:rsidRPr="00073727">
          <w:rPr>
            <w:noProof/>
            <w:webHidden/>
          </w:rPr>
          <w:instrText xml:space="preserve"> PAGEREF _Toc116315312 \h </w:instrText>
        </w:r>
        <w:r w:rsidR="00073727" w:rsidRPr="00073727">
          <w:rPr>
            <w:noProof/>
            <w:webHidden/>
          </w:rPr>
        </w:r>
        <w:r w:rsidR="00073727" w:rsidRPr="00073727">
          <w:rPr>
            <w:noProof/>
            <w:webHidden/>
          </w:rPr>
          <w:fldChar w:fldCharType="separate"/>
        </w:r>
        <w:r w:rsidR="00073727" w:rsidRPr="00073727">
          <w:rPr>
            <w:noProof/>
            <w:webHidden/>
          </w:rPr>
          <w:t>2</w:t>
        </w:r>
        <w:r w:rsidR="00073727" w:rsidRPr="00073727">
          <w:rPr>
            <w:noProof/>
            <w:webHidden/>
          </w:rPr>
          <w:fldChar w:fldCharType="end"/>
        </w:r>
      </w:hyperlink>
    </w:p>
    <w:p w14:paraId="2BA1BCC3" w14:textId="2A180195" w:rsidR="00073727" w:rsidRPr="00073727" w:rsidRDefault="00073727" w:rsidP="00942ED4">
      <w:pPr>
        <w:pStyle w:val="TableofFigures"/>
        <w:tabs>
          <w:tab w:val="right" w:leader="dot" w:pos="9016"/>
        </w:tabs>
        <w:spacing w:line="360" w:lineRule="auto"/>
        <w:rPr>
          <w:rFonts w:eastAsiaTheme="minorEastAsia"/>
          <w:noProof/>
        </w:rPr>
      </w:pPr>
      <w:hyperlink w:anchor="_Toc116315313" w:history="1">
        <w:r w:rsidRPr="00073727">
          <w:rPr>
            <w:rStyle w:val="Hyperlink"/>
            <w:noProof/>
          </w:rPr>
          <w:t>Figure 2</w:t>
        </w:r>
        <w:r w:rsidRPr="00073727">
          <w:rPr>
            <w:rStyle w:val="Hyperlink"/>
            <w:noProof/>
            <w:lang w:val="en-US"/>
          </w:rPr>
          <w:t xml:space="preserve"> Nonclinical evaluation for small molecules.</w:t>
        </w:r>
        <w:r w:rsidRPr="00073727">
          <w:rPr>
            <w:noProof/>
            <w:webHidden/>
          </w:rPr>
          <w:tab/>
        </w:r>
        <w:r w:rsidRPr="00073727">
          <w:rPr>
            <w:noProof/>
            <w:webHidden/>
          </w:rPr>
          <w:fldChar w:fldCharType="begin"/>
        </w:r>
        <w:r w:rsidRPr="00073727">
          <w:rPr>
            <w:noProof/>
            <w:webHidden/>
          </w:rPr>
          <w:instrText xml:space="preserve"> PAGEREF _Toc116315313 \h </w:instrText>
        </w:r>
        <w:r w:rsidRPr="00073727">
          <w:rPr>
            <w:noProof/>
            <w:webHidden/>
          </w:rPr>
        </w:r>
        <w:r w:rsidRPr="00073727">
          <w:rPr>
            <w:noProof/>
            <w:webHidden/>
          </w:rPr>
          <w:fldChar w:fldCharType="separate"/>
        </w:r>
        <w:r w:rsidRPr="00073727">
          <w:rPr>
            <w:noProof/>
            <w:webHidden/>
          </w:rPr>
          <w:t>5</w:t>
        </w:r>
        <w:r w:rsidRPr="00073727">
          <w:rPr>
            <w:noProof/>
            <w:webHidden/>
          </w:rPr>
          <w:fldChar w:fldCharType="end"/>
        </w:r>
      </w:hyperlink>
    </w:p>
    <w:p w14:paraId="6DB70B27" w14:textId="4BCD155E" w:rsidR="00E72A1E" w:rsidRPr="00942ED4" w:rsidRDefault="001714AF" w:rsidP="00942ED4">
      <w:pPr>
        <w:spacing w:line="360" w:lineRule="auto"/>
        <w:rPr>
          <w:lang w:val="en-US"/>
        </w:rPr>
      </w:pPr>
      <w:r w:rsidRPr="00073727">
        <w:rPr>
          <w:lang w:val="en-US"/>
        </w:rPr>
        <w:fldChar w:fldCharType="end"/>
      </w:r>
    </w:p>
    <w:p w14:paraId="520D6723" w14:textId="77777777" w:rsidR="00E72A1E" w:rsidRPr="00073727" w:rsidRDefault="00E72A1E" w:rsidP="00942ED4">
      <w:pPr>
        <w:pStyle w:val="Heading1"/>
        <w:spacing w:before="0" w:line="360" w:lineRule="auto"/>
        <w:rPr>
          <w:rFonts w:ascii="Times New Roman" w:hAnsi="Times New Roman" w:cs="Times New Roman"/>
          <w:lang w:val="en-US"/>
        </w:rPr>
      </w:pPr>
      <w:bookmarkStart w:id="2" w:name="_Toc116316411"/>
      <w:r w:rsidRPr="00073727">
        <w:rPr>
          <w:rFonts w:ascii="Times New Roman" w:hAnsi="Times New Roman" w:cs="Times New Roman"/>
          <w:lang w:val="en-US"/>
        </w:rPr>
        <w:lastRenderedPageBreak/>
        <w:t>Abbreviations</w:t>
      </w:r>
      <w:bookmarkEnd w:id="2"/>
    </w:p>
    <w:p w14:paraId="4AD2D063" w14:textId="088DDC5D" w:rsidR="00E72A1E" w:rsidRPr="00073727" w:rsidRDefault="00E72A1E" w:rsidP="00942ED4">
      <w:pPr>
        <w:spacing w:line="360" w:lineRule="auto"/>
        <w:rPr>
          <w:lang w:val="en-US"/>
        </w:rPr>
      </w:pPr>
      <w:r w:rsidRPr="00073727">
        <w:rPr>
          <w:lang w:val="en-US"/>
        </w:rPr>
        <w:t xml:space="preserve">EGFR, epidermal growth factor </w:t>
      </w:r>
      <w:proofErr w:type="gramStart"/>
      <w:r w:rsidRPr="00073727">
        <w:rPr>
          <w:lang w:val="en-US"/>
        </w:rPr>
        <w:t>receptor;</w:t>
      </w:r>
      <w:proofErr w:type="gramEnd"/>
      <w:r w:rsidRPr="00073727">
        <w:rPr>
          <w:lang w:val="en-US"/>
        </w:rPr>
        <w:t xml:space="preserve"> </w:t>
      </w:r>
    </w:p>
    <w:p w14:paraId="454B981A" w14:textId="17C871B9" w:rsidR="005A0CE8" w:rsidRPr="00073727" w:rsidRDefault="005A0CE8" w:rsidP="00942ED4">
      <w:pPr>
        <w:spacing w:line="360" w:lineRule="auto"/>
        <w:rPr>
          <w:lang w:val="en-US"/>
        </w:rPr>
      </w:pPr>
      <w:r w:rsidRPr="00073727">
        <w:rPr>
          <w:lang w:val="en-US"/>
        </w:rPr>
        <w:t xml:space="preserve">FIH, first in </w:t>
      </w:r>
      <w:proofErr w:type="gramStart"/>
      <w:r w:rsidRPr="00073727">
        <w:rPr>
          <w:lang w:val="en-US"/>
        </w:rPr>
        <w:t>human;</w:t>
      </w:r>
      <w:proofErr w:type="gramEnd"/>
      <w:r w:rsidR="00BA3009" w:rsidRPr="00073727">
        <w:rPr>
          <w:lang w:val="en-US"/>
        </w:rPr>
        <w:t xml:space="preserve"> </w:t>
      </w:r>
    </w:p>
    <w:p w14:paraId="76F3B3E7" w14:textId="77777777" w:rsidR="00942ED4" w:rsidRDefault="00E72A1E" w:rsidP="00942ED4">
      <w:pPr>
        <w:spacing w:line="360" w:lineRule="auto"/>
        <w:rPr>
          <w:lang w:val="en-US"/>
        </w:rPr>
      </w:pPr>
      <w:r w:rsidRPr="00073727">
        <w:rPr>
          <w:lang w:val="en-US"/>
        </w:rPr>
        <w:t xml:space="preserve">HER, human epidermal growth factor </w:t>
      </w:r>
      <w:proofErr w:type="gramStart"/>
      <w:r w:rsidRPr="00073727">
        <w:rPr>
          <w:lang w:val="en-US"/>
        </w:rPr>
        <w:t>receptor;</w:t>
      </w:r>
      <w:proofErr w:type="gramEnd"/>
      <w:r w:rsidRPr="00073727">
        <w:rPr>
          <w:lang w:val="en-US"/>
        </w:rPr>
        <w:t xml:space="preserve"> </w:t>
      </w:r>
    </w:p>
    <w:p w14:paraId="6A5907B1" w14:textId="77777777" w:rsidR="00942ED4" w:rsidRDefault="00942ED4" w:rsidP="00942ED4">
      <w:pPr>
        <w:spacing w:line="360" w:lineRule="auto"/>
      </w:pPr>
      <w:r w:rsidRPr="00073727">
        <w:rPr>
          <w:lang w:val="en-US"/>
        </w:rPr>
        <w:t xml:space="preserve">IV, </w:t>
      </w:r>
      <w:proofErr w:type="gramStart"/>
      <w:r w:rsidRPr="00073727">
        <w:rPr>
          <w:lang w:val="en-US"/>
        </w:rPr>
        <w:t>Intravenous;</w:t>
      </w:r>
      <w:proofErr w:type="gramEnd"/>
      <w:r w:rsidRPr="00073727">
        <w:t xml:space="preserve"> </w:t>
      </w:r>
    </w:p>
    <w:p w14:paraId="1BF621C2" w14:textId="7E49A557" w:rsidR="00942ED4" w:rsidRDefault="00E72A1E" w:rsidP="00942ED4">
      <w:pPr>
        <w:spacing w:line="360" w:lineRule="auto"/>
        <w:rPr>
          <w:lang w:val="en-US"/>
        </w:rPr>
      </w:pPr>
      <w:r w:rsidRPr="00073727">
        <w:rPr>
          <w:lang w:val="en-US"/>
        </w:rPr>
        <w:t xml:space="preserve">MAPK, mitogen-activated protein </w:t>
      </w:r>
      <w:proofErr w:type="gramStart"/>
      <w:r w:rsidRPr="00073727">
        <w:rPr>
          <w:lang w:val="en-US"/>
        </w:rPr>
        <w:t>kinase;</w:t>
      </w:r>
      <w:proofErr w:type="gramEnd"/>
      <w:r w:rsidR="00942ED4">
        <w:rPr>
          <w:lang w:val="en-US"/>
        </w:rPr>
        <w:t xml:space="preserve"> </w:t>
      </w:r>
    </w:p>
    <w:p w14:paraId="1A48FD01" w14:textId="3B829760" w:rsidR="00E72A1E" w:rsidRDefault="00E72A1E" w:rsidP="00942ED4">
      <w:pPr>
        <w:spacing w:line="360" w:lineRule="auto"/>
        <w:rPr>
          <w:lang w:val="en-US"/>
        </w:rPr>
      </w:pPr>
      <w:r w:rsidRPr="00073727">
        <w:rPr>
          <w:lang w:val="en-US"/>
        </w:rPr>
        <w:t xml:space="preserve">MEK, MAPK/extracellular signal–related kinase </w:t>
      </w:r>
      <w:proofErr w:type="spellStart"/>
      <w:proofErr w:type="gramStart"/>
      <w:r w:rsidRPr="00073727">
        <w:rPr>
          <w:lang w:val="en-US"/>
        </w:rPr>
        <w:t>kinase</w:t>
      </w:r>
      <w:proofErr w:type="spellEnd"/>
      <w:r w:rsidRPr="00073727">
        <w:rPr>
          <w:lang w:val="en-US"/>
        </w:rPr>
        <w:t>;</w:t>
      </w:r>
      <w:proofErr w:type="gramEnd"/>
      <w:r w:rsidRPr="00073727">
        <w:rPr>
          <w:lang w:val="en-US"/>
        </w:rPr>
        <w:t xml:space="preserve"> </w:t>
      </w:r>
    </w:p>
    <w:p w14:paraId="2BA89CE9" w14:textId="77777777" w:rsidR="00942ED4" w:rsidRDefault="00942ED4" w:rsidP="00942ED4">
      <w:pPr>
        <w:spacing w:line="360" w:lineRule="auto"/>
        <w:rPr>
          <w:color w:val="000000"/>
          <w:lang w:val="en-US"/>
        </w:rPr>
      </w:pPr>
      <w:r w:rsidRPr="00942ED4">
        <w:rPr>
          <w:color w:val="000000"/>
        </w:rPr>
        <w:t>MFD maximal feasible dose</w:t>
      </w:r>
      <w:r>
        <w:rPr>
          <w:color w:val="000000"/>
          <w:lang w:val="en-US"/>
        </w:rPr>
        <w:t>;</w:t>
      </w:r>
      <w:r>
        <w:rPr>
          <w:color w:val="000000"/>
          <w:lang w:val="en-US"/>
        </w:rPr>
        <w:t xml:space="preserve"> </w:t>
      </w:r>
    </w:p>
    <w:p w14:paraId="7EA0558E" w14:textId="0392A3F5" w:rsidR="00942ED4" w:rsidRPr="00942ED4" w:rsidRDefault="00942ED4" w:rsidP="00942ED4">
      <w:pPr>
        <w:spacing w:line="360" w:lineRule="auto"/>
        <w:rPr>
          <w:color w:val="000000"/>
          <w:lang w:val="en-US"/>
        </w:rPr>
      </w:pPr>
      <w:r w:rsidRPr="00073727">
        <w:rPr>
          <w:lang w:val="en-US"/>
        </w:rPr>
        <w:t xml:space="preserve">MSRD, maximum recommended starting </w:t>
      </w:r>
      <w:proofErr w:type="gramStart"/>
      <w:r w:rsidRPr="00073727">
        <w:rPr>
          <w:lang w:val="en-US"/>
        </w:rPr>
        <w:t>dose;</w:t>
      </w:r>
      <w:proofErr w:type="gramEnd"/>
    </w:p>
    <w:p w14:paraId="0CF0C049" w14:textId="1D4EAD77" w:rsidR="00942ED4" w:rsidRPr="00942ED4" w:rsidRDefault="00942ED4" w:rsidP="00942ED4">
      <w:pPr>
        <w:spacing w:line="360" w:lineRule="auto"/>
        <w:rPr>
          <w:color w:val="000000"/>
          <w:lang w:val="en-US"/>
        </w:rPr>
      </w:pPr>
      <w:r w:rsidRPr="00942ED4">
        <w:rPr>
          <w:color w:val="000000"/>
        </w:rPr>
        <w:t>MTD</w:t>
      </w:r>
      <w:r>
        <w:rPr>
          <w:color w:val="000000"/>
          <w:lang w:val="en-US"/>
        </w:rPr>
        <w:t xml:space="preserve">, </w:t>
      </w:r>
      <w:r w:rsidRPr="00942ED4">
        <w:rPr>
          <w:color w:val="000000"/>
        </w:rPr>
        <w:t>maximum tolerated dose</w:t>
      </w:r>
      <w:r>
        <w:rPr>
          <w:color w:val="000000"/>
          <w:lang w:val="en-US"/>
        </w:rPr>
        <w:t>;</w:t>
      </w:r>
    </w:p>
    <w:p w14:paraId="07740AD8" w14:textId="77777777" w:rsidR="00942ED4" w:rsidRDefault="00942ED4" w:rsidP="00942ED4">
      <w:pPr>
        <w:spacing w:line="360" w:lineRule="auto"/>
        <w:rPr>
          <w:color w:val="000000"/>
          <w:lang w:val="en-US"/>
        </w:rPr>
      </w:pPr>
      <w:r w:rsidRPr="00942ED4">
        <w:rPr>
          <w:rFonts w:eastAsia="Calibri"/>
          <w:color w:val="141413"/>
        </w:rPr>
        <w:t>NOAEL</w:t>
      </w:r>
      <w:r>
        <w:rPr>
          <w:rFonts w:eastAsia="Calibri"/>
          <w:color w:val="141413"/>
          <w:lang w:val="en-US"/>
        </w:rPr>
        <w:t xml:space="preserve">, </w:t>
      </w:r>
      <w:r w:rsidRPr="00942ED4">
        <w:rPr>
          <w:rFonts w:eastAsia="Calibri"/>
          <w:color w:val="141413"/>
        </w:rPr>
        <w:t>no-observed-adverse-effect level</w:t>
      </w:r>
      <w:r>
        <w:rPr>
          <w:rFonts w:eastAsia="Calibri"/>
          <w:color w:val="141413"/>
          <w:lang w:val="en-US"/>
        </w:rPr>
        <w:t>;</w:t>
      </w:r>
    </w:p>
    <w:p w14:paraId="7157F37E" w14:textId="77777777" w:rsidR="00942ED4" w:rsidRDefault="00E72A1E" w:rsidP="00942ED4">
      <w:pPr>
        <w:spacing w:line="360" w:lineRule="auto"/>
        <w:rPr>
          <w:lang w:val="en-US"/>
        </w:rPr>
      </w:pPr>
      <w:r w:rsidRPr="00073727">
        <w:rPr>
          <w:lang w:val="en-US"/>
        </w:rPr>
        <w:t>PI3K, phosphoinositide 3-</w:t>
      </w:r>
      <w:proofErr w:type="gramStart"/>
      <w:r w:rsidRPr="00073727">
        <w:rPr>
          <w:lang w:val="en-US"/>
        </w:rPr>
        <w:t>kinase;</w:t>
      </w:r>
      <w:proofErr w:type="gramEnd"/>
      <w:r w:rsidR="00942ED4">
        <w:rPr>
          <w:lang w:val="en-US"/>
        </w:rPr>
        <w:t xml:space="preserve"> </w:t>
      </w:r>
    </w:p>
    <w:p w14:paraId="31064F3E" w14:textId="77777777" w:rsidR="00942ED4" w:rsidRDefault="00E72A1E" w:rsidP="00942ED4">
      <w:pPr>
        <w:spacing w:line="360" w:lineRule="auto"/>
        <w:rPr>
          <w:lang w:val="en-US"/>
        </w:rPr>
      </w:pPr>
      <w:r w:rsidRPr="00073727">
        <w:rPr>
          <w:lang w:val="en-US"/>
        </w:rPr>
        <w:t xml:space="preserve">SOS, son of </w:t>
      </w:r>
      <w:proofErr w:type="spellStart"/>
      <w:proofErr w:type="gramStart"/>
      <w:r w:rsidRPr="00073727">
        <w:rPr>
          <w:lang w:val="en-US"/>
        </w:rPr>
        <w:t>sevenless;</w:t>
      </w:r>
      <w:proofErr w:type="spellEnd"/>
      <w:proofErr w:type="gramEnd"/>
    </w:p>
    <w:p w14:paraId="4AD64E9D" w14:textId="400593DD" w:rsidR="00E72A1E" w:rsidRPr="00942ED4" w:rsidRDefault="00E72A1E" w:rsidP="00942ED4">
      <w:pPr>
        <w:spacing w:line="360" w:lineRule="auto"/>
        <w:rPr>
          <w:color w:val="000000"/>
          <w:lang w:val="en-US"/>
        </w:rPr>
      </w:pPr>
      <w:r w:rsidRPr="00073727">
        <w:rPr>
          <w:lang w:val="en-US"/>
        </w:rPr>
        <w:t xml:space="preserve">VEGF, vascular endothelial growth </w:t>
      </w:r>
      <w:proofErr w:type="gramStart"/>
      <w:r w:rsidRPr="00073727">
        <w:rPr>
          <w:lang w:val="en-US"/>
        </w:rPr>
        <w:t>factor;</w:t>
      </w:r>
      <w:proofErr w:type="gramEnd"/>
    </w:p>
    <w:p w14:paraId="131334F5" w14:textId="708C1621" w:rsidR="00942ED4" w:rsidRPr="00942ED4" w:rsidRDefault="00942ED4" w:rsidP="00942ED4">
      <w:pPr>
        <w:spacing w:line="360" w:lineRule="auto"/>
        <w:rPr>
          <w:color w:val="000000"/>
          <w:lang w:val="en-US"/>
        </w:rPr>
      </w:pPr>
      <w:r w:rsidRPr="00942ED4">
        <w:rPr>
          <w:rFonts w:eastAsia="Calibri"/>
          <w:color w:val="141413"/>
        </w:rPr>
        <w:t>MABEL</w:t>
      </w:r>
      <w:r>
        <w:rPr>
          <w:rFonts w:eastAsia="Calibri"/>
          <w:color w:val="141413"/>
          <w:lang w:val="en-US"/>
        </w:rPr>
        <w:t xml:space="preserve">, </w:t>
      </w:r>
      <w:r w:rsidRPr="00942ED4">
        <w:rPr>
          <w:rFonts w:eastAsia="Calibri"/>
          <w:color w:val="141413"/>
        </w:rPr>
        <w:t>minimal anticipated biological-effective level</w:t>
      </w:r>
      <w:r>
        <w:rPr>
          <w:rFonts w:eastAsia="Calibri"/>
          <w:color w:val="141413"/>
          <w:lang w:val="en-US"/>
        </w:rPr>
        <w:t>;</w:t>
      </w:r>
    </w:p>
    <w:p w14:paraId="62E36089" w14:textId="3730FC08" w:rsidR="00942ED4" w:rsidRPr="00942ED4" w:rsidRDefault="00942ED4" w:rsidP="00942ED4">
      <w:pPr>
        <w:spacing w:line="360" w:lineRule="auto"/>
        <w:rPr>
          <w:color w:val="000000"/>
          <w:lang w:val="en-US"/>
        </w:rPr>
      </w:pPr>
      <w:r w:rsidRPr="00942ED4">
        <w:rPr>
          <w:color w:val="000000"/>
        </w:rPr>
        <w:t>MED</w:t>
      </w:r>
      <w:r>
        <w:rPr>
          <w:color w:val="000000"/>
          <w:lang w:val="en-US"/>
        </w:rPr>
        <w:t xml:space="preserve">, </w:t>
      </w:r>
      <w:r w:rsidRPr="00942ED4">
        <w:rPr>
          <w:color w:val="000000"/>
        </w:rPr>
        <w:t>minimum effective dose</w:t>
      </w:r>
      <w:r>
        <w:rPr>
          <w:color w:val="000000"/>
          <w:lang w:val="en-US"/>
        </w:rPr>
        <w:t>;</w:t>
      </w:r>
    </w:p>
    <w:p w14:paraId="47FB5730" w14:textId="3685E591" w:rsidR="00942ED4" w:rsidRPr="00942ED4" w:rsidRDefault="00942ED4" w:rsidP="00942ED4">
      <w:pPr>
        <w:spacing w:line="360" w:lineRule="auto"/>
        <w:rPr>
          <w:rFonts w:eastAsia="Calibri"/>
          <w:color w:val="141413"/>
          <w:lang w:val="en-US"/>
        </w:rPr>
      </w:pPr>
      <w:r w:rsidRPr="00942ED4">
        <w:rPr>
          <w:rFonts w:eastAsia="Calibri"/>
          <w:color w:val="141413"/>
        </w:rPr>
        <w:t>PAD</w:t>
      </w:r>
      <w:r>
        <w:rPr>
          <w:rFonts w:eastAsia="Calibri"/>
          <w:color w:val="141413"/>
          <w:lang w:val="en-US"/>
        </w:rPr>
        <w:t>,</w:t>
      </w:r>
      <w:r w:rsidRPr="00942ED4">
        <w:rPr>
          <w:rFonts w:eastAsia="Calibri"/>
          <w:color w:val="141413"/>
        </w:rPr>
        <w:t xml:space="preserve"> </w:t>
      </w:r>
      <w:r w:rsidRPr="00942ED4">
        <w:rPr>
          <w:rFonts w:eastAsia="Calibri"/>
          <w:color w:val="141413"/>
        </w:rPr>
        <w:t>pharmacologically active dose</w:t>
      </w:r>
      <w:r>
        <w:rPr>
          <w:rFonts w:eastAsia="Calibri"/>
          <w:color w:val="141413"/>
          <w:lang w:val="en-US"/>
        </w:rPr>
        <w:t>;</w:t>
      </w:r>
    </w:p>
    <w:p w14:paraId="539B766D" w14:textId="77777777" w:rsidR="00E72A1E" w:rsidRPr="00073727" w:rsidRDefault="00E72A1E" w:rsidP="00942ED4">
      <w:pPr>
        <w:spacing w:line="360" w:lineRule="auto"/>
        <w:rPr>
          <w:lang w:val="en-US"/>
        </w:rPr>
      </w:pPr>
    </w:p>
    <w:p w14:paraId="3D655C56" w14:textId="2579C806" w:rsidR="001E456A" w:rsidRPr="00073727" w:rsidRDefault="001E456A" w:rsidP="00942ED4">
      <w:pPr>
        <w:pStyle w:val="Heading1"/>
        <w:spacing w:before="0" w:line="360" w:lineRule="auto"/>
        <w:rPr>
          <w:rFonts w:ascii="Times New Roman" w:hAnsi="Times New Roman" w:cs="Times New Roman"/>
          <w:lang w:val="en-US"/>
        </w:rPr>
      </w:pPr>
      <w:bookmarkStart w:id="3" w:name="_Toc116316412"/>
      <w:r w:rsidRPr="00073727">
        <w:rPr>
          <w:rFonts w:ascii="Times New Roman" w:hAnsi="Times New Roman" w:cs="Times New Roman"/>
          <w:lang w:val="en-US"/>
        </w:rPr>
        <w:t>Overview</w:t>
      </w:r>
      <w:bookmarkEnd w:id="3"/>
    </w:p>
    <w:p w14:paraId="51318C77" w14:textId="77777777" w:rsidR="001E456A" w:rsidRPr="00073727" w:rsidRDefault="001E456A" w:rsidP="00942ED4">
      <w:pPr>
        <w:spacing w:line="360" w:lineRule="auto"/>
      </w:pPr>
      <w:r w:rsidRPr="00073727">
        <w:rPr>
          <w:b/>
          <w:bCs/>
        </w:rPr>
        <w:t>Due date</w:t>
      </w:r>
      <w:r w:rsidRPr="00073727">
        <w:t>: 2022/10/15</w:t>
      </w:r>
    </w:p>
    <w:p w14:paraId="74E69E53" w14:textId="77777777" w:rsidR="001E456A" w:rsidRPr="00073727" w:rsidRDefault="001E456A" w:rsidP="00942ED4">
      <w:pPr>
        <w:spacing w:line="360" w:lineRule="auto"/>
        <w:rPr>
          <w:b/>
          <w:bCs/>
        </w:rPr>
      </w:pPr>
      <w:r w:rsidRPr="00073727">
        <w:rPr>
          <w:b/>
          <w:bCs/>
        </w:rPr>
        <w:t>Name</w:t>
      </w:r>
      <w:r w:rsidRPr="00073727">
        <w:t>:</w:t>
      </w:r>
      <w:r w:rsidRPr="00073727">
        <w:rPr>
          <w:b/>
          <w:bCs/>
        </w:rPr>
        <w:t xml:space="preserve"> </w:t>
      </w:r>
      <w:r w:rsidRPr="00073727">
        <w:t>Dylan Lawless</w:t>
      </w:r>
    </w:p>
    <w:p w14:paraId="4E54C1F9" w14:textId="77777777" w:rsidR="001E456A" w:rsidRPr="00073727" w:rsidRDefault="001E456A" w:rsidP="00942ED4">
      <w:pPr>
        <w:spacing w:line="360" w:lineRule="auto"/>
      </w:pPr>
      <w:r w:rsidRPr="00073727">
        <w:rPr>
          <w:b/>
          <w:bCs/>
        </w:rPr>
        <w:t>Track</w:t>
      </w:r>
      <w:r w:rsidRPr="00073727">
        <w:t>: Drugs</w:t>
      </w:r>
    </w:p>
    <w:p w14:paraId="3ACA18E7" w14:textId="02C966F0" w:rsidR="00C32691" w:rsidRPr="00073727" w:rsidRDefault="001E456A" w:rsidP="00942ED4">
      <w:pPr>
        <w:spacing w:line="360" w:lineRule="auto"/>
      </w:pPr>
      <w:r w:rsidRPr="00073727">
        <w:rPr>
          <w:b/>
          <w:bCs/>
        </w:rPr>
        <w:t>Product Profile</w:t>
      </w:r>
      <w:r w:rsidRPr="00073727">
        <w:t xml:space="preserve">: Our product is a </w:t>
      </w:r>
      <w:r w:rsidRPr="00073727">
        <w:rPr>
          <w:u w:val="single"/>
        </w:rPr>
        <w:t>monoclonal antibody</w:t>
      </w:r>
      <w:r w:rsidRPr="00073727">
        <w:t xml:space="preserve"> to be used in a phase 1 clinical trial in oncology. The company is named </w:t>
      </w:r>
      <w:r w:rsidRPr="00073727">
        <w:rPr>
          <w:u w:val="single"/>
        </w:rPr>
        <w:t xml:space="preserve">VaudBioTech </w:t>
      </w:r>
      <w:r w:rsidRPr="00073727">
        <w:t>with headquarters located in Switzerland. This company is the discoverer of the product in question. The planned phase 1 clinical trial will be conducted in Germany.</w:t>
      </w:r>
    </w:p>
    <w:p w14:paraId="600A7DBC" w14:textId="77777777" w:rsidR="004E78BC" w:rsidRPr="00073727" w:rsidRDefault="004E78BC" w:rsidP="00942ED4">
      <w:pPr>
        <w:spacing w:line="360" w:lineRule="auto"/>
        <w:rPr>
          <w:bCs/>
          <w:lang w:val="en-US"/>
        </w:rPr>
      </w:pPr>
      <w:r w:rsidRPr="00073727">
        <w:rPr>
          <w:b/>
          <w:lang w:val="en-US"/>
        </w:rPr>
        <w:t xml:space="preserve">Group: </w:t>
      </w:r>
      <w:r w:rsidRPr="00073727">
        <w:rPr>
          <w:bCs/>
          <w:lang w:val="en-US"/>
        </w:rPr>
        <w:t>C</w:t>
      </w:r>
    </w:p>
    <w:p w14:paraId="0D867150" w14:textId="5FA336B5" w:rsidR="004E78BC" w:rsidRPr="00073727" w:rsidRDefault="004E78BC" w:rsidP="00942ED4">
      <w:pPr>
        <w:spacing w:line="360" w:lineRule="auto"/>
        <w:rPr>
          <w:bCs/>
          <w:lang w:val="en-US"/>
        </w:rPr>
      </w:pPr>
      <w:r w:rsidRPr="00073727">
        <w:rPr>
          <w:b/>
          <w:lang w:val="en-US"/>
        </w:rPr>
        <w:t xml:space="preserve">Group members: </w:t>
      </w:r>
      <w:r w:rsidRPr="00073727">
        <w:rPr>
          <w:bCs/>
          <w:lang w:val="en-US"/>
        </w:rPr>
        <w:t xml:space="preserve">Priya </w:t>
      </w:r>
      <w:proofErr w:type="spellStart"/>
      <w:r w:rsidRPr="00073727">
        <w:rPr>
          <w:bCs/>
          <w:lang w:val="en-US"/>
        </w:rPr>
        <w:t>Bhutada</w:t>
      </w:r>
      <w:proofErr w:type="spellEnd"/>
      <w:r w:rsidRPr="00073727">
        <w:rPr>
          <w:bCs/>
          <w:lang w:val="en-US"/>
        </w:rPr>
        <w:t xml:space="preserve">, </w:t>
      </w:r>
      <w:proofErr w:type="spellStart"/>
      <w:r w:rsidRPr="00073727">
        <w:rPr>
          <w:bCs/>
          <w:lang w:val="en-US"/>
        </w:rPr>
        <w:t>Mouna</w:t>
      </w:r>
      <w:proofErr w:type="spellEnd"/>
      <w:r w:rsidRPr="00073727">
        <w:rPr>
          <w:bCs/>
          <w:lang w:val="en-US"/>
        </w:rPr>
        <w:t xml:space="preserve"> </w:t>
      </w:r>
      <w:proofErr w:type="spellStart"/>
      <w:r w:rsidRPr="00073727">
        <w:rPr>
          <w:bCs/>
          <w:lang w:val="en-US"/>
        </w:rPr>
        <w:t>Hadiji</w:t>
      </w:r>
      <w:proofErr w:type="spellEnd"/>
      <w:r w:rsidRPr="00073727">
        <w:rPr>
          <w:bCs/>
          <w:lang w:val="en-US"/>
        </w:rPr>
        <w:t xml:space="preserve">, Raluca </w:t>
      </w:r>
      <w:proofErr w:type="spellStart"/>
      <w:r w:rsidRPr="00073727">
        <w:rPr>
          <w:bCs/>
          <w:lang w:val="en-US"/>
        </w:rPr>
        <w:t>Ganea</w:t>
      </w:r>
      <w:proofErr w:type="spellEnd"/>
      <w:r w:rsidRPr="00073727">
        <w:rPr>
          <w:bCs/>
          <w:lang w:val="en-US"/>
        </w:rPr>
        <w:t xml:space="preserve">, Dylan Lawless, Olivia-Augustina </w:t>
      </w:r>
      <w:proofErr w:type="spellStart"/>
      <w:r w:rsidRPr="00073727">
        <w:rPr>
          <w:bCs/>
          <w:lang w:val="en-US"/>
        </w:rPr>
        <w:t>Colbea</w:t>
      </w:r>
      <w:proofErr w:type="spellEnd"/>
      <w:r w:rsidRPr="00073727">
        <w:rPr>
          <w:bCs/>
          <w:lang w:val="en-US"/>
        </w:rPr>
        <w:t>.</w:t>
      </w:r>
    </w:p>
    <w:p w14:paraId="2CCB5DC9" w14:textId="10D9BF64" w:rsidR="004E78BC" w:rsidRPr="00073727" w:rsidRDefault="004E78BC" w:rsidP="00942ED4">
      <w:pPr>
        <w:spacing w:line="360" w:lineRule="auto"/>
        <w:rPr>
          <w:b/>
          <w:lang w:val="en-US"/>
        </w:rPr>
      </w:pPr>
      <w:r w:rsidRPr="00073727">
        <w:rPr>
          <w:b/>
        </w:rPr>
        <w:t>Company</w:t>
      </w:r>
      <w:r w:rsidRPr="00073727">
        <w:rPr>
          <w:b/>
          <w:lang w:val="en-US"/>
        </w:rPr>
        <w:t xml:space="preserve">: </w:t>
      </w:r>
      <w:r w:rsidRPr="00073727">
        <w:rPr>
          <w:lang w:val="en-US"/>
        </w:rPr>
        <w:t>Vaud</w:t>
      </w:r>
      <w:r w:rsidRPr="00073727">
        <w:t>BioTech</w:t>
      </w:r>
    </w:p>
    <w:p w14:paraId="0000000A" w14:textId="07DD9181" w:rsidR="000C2469" w:rsidRPr="00073727" w:rsidRDefault="00730273" w:rsidP="00942ED4">
      <w:pPr>
        <w:spacing w:line="360" w:lineRule="auto"/>
        <w:rPr>
          <w:lang w:val="en-US"/>
        </w:rPr>
      </w:pPr>
      <w:r w:rsidRPr="00073727">
        <w:rPr>
          <w:b/>
        </w:rPr>
        <w:t>Product name</w:t>
      </w:r>
      <w:r w:rsidRPr="00073727">
        <w:t>:</w:t>
      </w:r>
      <w:r w:rsidR="00BC28B3" w:rsidRPr="00073727">
        <w:rPr>
          <w:lang w:val="en-US"/>
        </w:rPr>
        <w:t xml:space="preserve"> </w:t>
      </w:r>
      <w:r w:rsidR="00BC28B3" w:rsidRPr="00073727">
        <w:t>Hertu</w:t>
      </w:r>
      <w:proofErr w:type="spellStart"/>
      <w:r w:rsidR="002E5DFB" w:rsidRPr="00073727">
        <w:rPr>
          <w:lang w:val="en-US"/>
        </w:rPr>
        <w:t>mig</w:t>
      </w:r>
      <w:proofErr w:type="spellEnd"/>
      <w:r w:rsidR="009B237F" w:rsidRPr="00073727">
        <w:rPr>
          <w:lang w:val="en-US"/>
        </w:rPr>
        <w:t>.</w:t>
      </w:r>
    </w:p>
    <w:p w14:paraId="0000000B" w14:textId="049E86D8" w:rsidR="000C2469" w:rsidRPr="00073727" w:rsidRDefault="00730273" w:rsidP="00942ED4">
      <w:pPr>
        <w:spacing w:line="360" w:lineRule="auto"/>
      </w:pPr>
      <w:r w:rsidRPr="00073727">
        <w:rPr>
          <w:b/>
        </w:rPr>
        <w:t>Treatment</w:t>
      </w:r>
      <w:r w:rsidRPr="00073727">
        <w:t xml:space="preserve">: </w:t>
      </w:r>
      <w:r w:rsidR="00BC28B3" w:rsidRPr="00073727">
        <w:rPr>
          <w:lang w:val="en-US"/>
        </w:rPr>
        <w:t>T</w:t>
      </w:r>
      <w:r w:rsidR="00BC28B3" w:rsidRPr="00073727">
        <w:t>reatment of HER2 receptor positive breast cancer.</w:t>
      </w:r>
    </w:p>
    <w:p w14:paraId="50A7C7BD" w14:textId="02A3BC16" w:rsidR="002E5DFB" w:rsidRPr="00073727" w:rsidRDefault="002E5DFB" w:rsidP="00942ED4">
      <w:pPr>
        <w:spacing w:line="360" w:lineRule="auto"/>
      </w:pPr>
      <w:r w:rsidRPr="00073727">
        <w:rPr>
          <w:b/>
          <w:bCs/>
          <w:lang w:val="en-US"/>
        </w:rPr>
        <w:t>Delivery</w:t>
      </w:r>
      <w:r w:rsidRPr="00073727">
        <w:rPr>
          <w:lang w:val="en-US"/>
        </w:rPr>
        <w:t>: Subcutaneous administration.</w:t>
      </w:r>
    </w:p>
    <w:p w14:paraId="45A05E67" w14:textId="088B92CF" w:rsidR="002E5DFB" w:rsidRPr="00073727" w:rsidRDefault="00730273" w:rsidP="00942ED4">
      <w:pPr>
        <w:spacing w:line="360" w:lineRule="auto"/>
        <w:rPr>
          <w:lang w:val="en-US"/>
        </w:rPr>
      </w:pPr>
      <w:r w:rsidRPr="00073727">
        <w:rPr>
          <w:b/>
        </w:rPr>
        <w:lastRenderedPageBreak/>
        <w:t>Mechanism/target</w:t>
      </w:r>
      <w:r w:rsidRPr="00073727">
        <w:t xml:space="preserve">: </w:t>
      </w:r>
      <w:r w:rsidR="009B2E2A" w:rsidRPr="00073727">
        <w:rPr>
          <w:lang w:val="en-US"/>
        </w:rPr>
        <w:t xml:space="preserve">Similar to the mode of action from </w:t>
      </w:r>
      <w:proofErr w:type="spellStart"/>
      <w:r w:rsidR="009B2E2A" w:rsidRPr="00073727">
        <w:rPr>
          <w:lang w:val="en-US"/>
        </w:rPr>
        <w:t>Pertuzumab</w:t>
      </w:r>
      <w:proofErr w:type="spellEnd"/>
      <w:r w:rsidR="009B2E2A" w:rsidRPr="00073727">
        <w:rPr>
          <w:lang w:val="en-US"/>
        </w:rPr>
        <w:t xml:space="preserve"> and Herceptin (as illustrated in </w:t>
      </w:r>
      <w:r w:rsidR="009B2E2A" w:rsidRPr="00073727">
        <w:rPr>
          <w:b/>
          <w:bCs/>
          <w:lang w:val="en-US"/>
        </w:rPr>
        <w:t>Figure 1</w:t>
      </w:r>
      <w:r w:rsidR="009B2E2A" w:rsidRPr="00073727">
        <w:rPr>
          <w:lang w:val="en-US"/>
        </w:rPr>
        <w:t xml:space="preserve">), </w:t>
      </w:r>
      <w:r w:rsidR="009B2E2A" w:rsidRPr="00073727">
        <w:t>Hertum</w:t>
      </w:r>
      <w:proofErr w:type="spellStart"/>
      <w:r w:rsidR="002E5DFB" w:rsidRPr="00073727">
        <w:rPr>
          <w:lang w:val="en-US"/>
        </w:rPr>
        <w:t>ig</w:t>
      </w:r>
      <w:proofErr w:type="spellEnd"/>
      <w:r w:rsidR="00BC28B3" w:rsidRPr="00073727">
        <w:t xml:space="preserve"> </w:t>
      </w:r>
      <w:r w:rsidR="009B2E2A" w:rsidRPr="00073727">
        <w:rPr>
          <w:lang w:val="en-US"/>
        </w:rPr>
        <w:t xml:space="preserve">targets a newly defined antigen of HER2 which </w:t>
      </w:r>
      <w:r w:rsidR="00BC28B3" w:rsidRPr="00073727">
        <w:t>inhibits the</w:t>
      </w:r>
      <w:r w:rsidR="00B31AED" w:rsidRPr="00073727">
        <w:rPr>
          <w:lang w:val="en-US"/>
        </w:rPr>
        <w:t xml:space="preserve"> </w:t>
      </w:r>
      <w:hyperlink r:id="rId9">
        <w:r w:rsidR="00BC28B3" w:rsidRPr="00073727">
          <w:rPr>
            <w:rStyle w:val="Hyperlink"/>
          </w:rPr>
          <w:t>dimerization</w:t>
        </w:r>
      </w:hyperlink>
      <w:r w:rsidR="00BC28B3" w:rsidRPr="00073727">
        <w:t xml:space="preserve"> with other HER receptors</w:t>
      </w:r>
      <w:r w:rsidR="009B2E2A" w:rsidRPr="00073727">
        <w:rPr>
          <w:lang w:val="en-US"/>
        </w:rPr>
        <w:t>, thereby</w:t>
      </w:r>
      <w:r w:rsidR="00BC28B3" w:rsidRPr="00073727">
        <w:t xml:space="preserve"> </w:t>
      </w:r>
      <w:r w:rsidR="009B2E2A" w:rsidRPr="00073727">
        <w:rPr>
          <w:lang w:val="en-US"/>
        </w:rPr>
        <w:t>preventing</w:t>
      </w:r>
      <w:r w:rsidR="00B31AED" w:rsidRPr="00073727">
        <w:rPr>
          <w:lang w:val="en-US"/>
        </w:rPr>
        <w:t xml:space="preserve"> </w:t>
      </w:r>
      <w:hyperlink r:id="rId10" w:anchor="Signal_transduction">
        <w:r w:rsidR="00BC28B3" w:rsidRPr="00073727">
          <w:rPr>
            <w:rStyle w:val="Hyperlink"/>
          </w:rPr>
          <w:t>signaling</w:t>
        </w:r>
      </w:hyperlink>
      <w:r w:rsidR="00B31AED" w:rsidRPr="00073727">
        <w:rPr>
          <w:lang w:val="en-US"/>
        </w:rPr>
        <w:t xml:space="preserve"> </w:t>
      </w:r>
      <w:r w:rsidR="00BC28B3" w:rsidRPr="00073727">
        <w:t xml:space="preserve">in ways that promote cell growth and proliferation. HER2 positive breast cancer is caused by </w:t>
      </w:r>
      <w:r w:rsidR="00BC28B3" w:rsidRPr="00073727">
        <w:rPr>
          <w:i/>
          <w:iCs/>
        </w:rPr>
        <w:t>ERBB2</w:t>
      </w:r>
      <w:r w:rsidR="00BC28B3" w:rsidRPr="00073727">
        <w:t xml:space="preserve"> gene amplification that results in overexpression of HER2 in approximately 15-30% of breast cancer tumors. Stimulates cell proliferation and cell growth</w:t>
      </w:r>
      <w:r w:rsidR="00BC28B3" w:rsidRPr="00073727">
        <w:rPr>
          <w:lang w:val="en-US"/>
        </w:rPr>
        <w:t>.</w:t>
      </w:r>
      <w:r w:rsidR="002E5DFB" w:rsidRPr="00073727">
        <w:rPr>
          <w:lang w:val="en-US"/>
        </w:rPr>
        <w:t xml:space="preserve"> It is a b</w:t>
      </w:r>
      <w:r w:rsidR="002E5DFB" w:rsidRPr="00073727">
        <w:t>ispecific monoclonal antibody</w:t>
      </w:r>
      <w:r w:rsidR="002E5DFB" w:rsidRPr="00073727">
        <w:rPr>
          <w:lang w:val="en-US"/>
        </w:rPr>
        <w:t xml:space="preserve"> (</w:t>
      </w:r>
      <w:proofErr w:type="spellStart"/>
      <w:r w:rsidR="002E5DFB" w:rsidRPr="00073727">
        <w:rPr>
          <w:lang w:val="en-US"/>
        </w:rPr>
        <w:t>BsMAb</w:t>
      </w:r>
      <w:proofErr w:type="spellEnd"/>
      <w:r w:rsidR="002E5DFB" w:rsidRPr="00073727">
        <w:rPr>
          <w:lang w:val="en-US"/>
        </w:rPr>
        <w:t>)</w:t>
      </w:r>
      <w:r w:rsidR="002E5DFB" w:rsidRPr="00073727">
        <w:t xml:space="preserve"> </w:t>
      </w:r>
      <w:r w:rsidR="002E5DFB" w:rsidRPr="00073727">
        <w:rPr>
          <w:lang w:val="en-US"/>
        </w:rPr>
        <w:t>which targets two epitopes.</w:t>
      </w:r>
    </w:p>
    <w:p w14:paraId="4CAAD961" w14:textId="413D44B7" w:rsidR="00BC28B3" w:rsidRPr="00073727" w:rsidRDefault="00730273" w:rsidP="00942ED4">
      <w:pPr>
        <w:spacing w:line="360" w:lineRule="auto"/>
        <w:rPr>
          <w:lang w:val="en-US"/>
        </w:rPr>
      </w:pPr>
      <w:r w:rsidRPr="00073727">
        <w:rPr>
          <w:b/>
        </w:rPr>
        <w:t>Discussion</w:t>
      </w:r>
      <w:r w:rsidRPr="00073727">
        <w:t xml:space="preserve">: </w:t>
      </w:r>
      <w:r w:rsidR="00BC28B3" w:rsidRPr="00073727">
        <w:rPr>
          <w:lang w:val="en-US"/>
        </w:rPr>
        <w:t>T</w:t>
      </w:r>
      <w:r w:rsidR="00F854A6" w:rsidRPr="00073727">
        <w:rPr>
          <w:lang w:val="en-US"/>
        </w:rPr>
        <w:t>his drug is reminiscent of the</w:t>
      </w:r>
      <w:r w:rsidR="00BC28B3" w:rsidRPr="00073727">
        <w:rPr>
          <w:lang w:val="en-US"/>
        </w:rPr>
        <w:t xml:space="preserve"> classical </w:t>
      </w:r>
      <w:proofErr w:type="spellStart"/>
      <w:r w:rsidR="00BC28B3" w:rsidRPr="00073727">
        <w:rPr>
          <w:lang w:val="en-US"/>
        </w:rPr>
        <w:t>mAb</w:t>
      </w:r>
      <w:proofErr w:type="spellEnd"/>
      <w:r w:rsidR="00F854A6" w:rsidRPr="00073727">
        <w:rPr>
          <w:lang w:val="en-US"/>
        </w:rPr>
        <w:t xml:space="preserve"> anticancer treatments;</w:t>
      </w:r>
      <w:r w:rsidR="00BC28B3" w:rsidRPr="00073727">
        <w:rPr>
          <w:lang w:val="en-US"/>
        </w:rPr>
        <w:t xml:space="preserve"> </w:t>
      </w:r>
      <w:r w:rsidR="00F854A6" w:rsidRPr="00073727">
        <w:rPr>
          <w:lang w:val="en-US"/>
        </w:rPr>
        <w:t>(</w:t>
      </w:r>
      <w:proofErr w:type="spellStart"/>
      <w:r w:rsidR="00F854A6" w:rsidRPr="00073727">
        <w:rPr>
          <w:lang w:val="en-US"/>
        </w:rPr>
        <w:t>i</w:t>
      </w:r>
      <w:proofErr w:type="spellEnd"/>
      <w:r w:rsidR="00F854A6" w:rsidRPr="00073727">
        <w:rPr>
          <w:lang w:val="en-US"/>
        </w:rPr>
        <w:t>) s</w:t>
      </w:r>
      <w:r w:rsidR="00BC28B3" w:rsidRPr="00073727">
        <w:rPr>
          <w:lang w:val="en-US"/>
        </w:rPr>
        <w:t xml:space="preserve">imilar to </w:t>
      </w:r>
      <w:hyperlink r:id="rId11" w:history="1">
        <w:r w:rsidR="00BC28B3" w:rsidRPr="00073727">
          <w:rPr>
            <w:rStyle w:val="Hyperlink"/>
          </w:rPr>
          <w:t>Pertuzumab</w:t>
        </w:r>
      </w:hyperlink>
      <w:r w:rsidR="00BC28B3" w:rsidRPr="00073727">
        <w:rPr>
          <w:lang w:val="en-US"/>
        </w:rPr>
        <w:t xml:space="preserve"> (</w:t>
      </w:r>
      <w:r w:rsidR="00BC28B3" w:rsidRPr="00073727">
        <w:t>RG6264, Perjeta</w:t>
      </w:r>
      <w:r w:rsidR="00BC28B3" w:rsidRPr="00073727">
        <w:rPr>
          <w:lang w:val="en-US"/>
        </w:rPr>
        <w:t xml:space="preserve">) from </w:t>
      </w:r>
      <w:hyperlink r:id="rId12">
        <w:r w:rsidR="00BC28B3" w:rsidRPr="00073727">
          <w:rPr>
            <w:color w:val="0563C1"/>
            <w:u w:val="single"/>
          </w:rPr>
          <w:t>Genentech</w:t>
        </w:r>
      </w:hyperlink>
      <w:r w:rsidR="00BC28B3" w:rsidRPr="00073727">
        <w:t> </w:t>
      </w:r>
      <w:r w:rsidR="00BC28B3" w:rsidRPr="00073727">
        <w:rPr>
          <w:lang w:val="en-US"/>
        </w:rPr>
        <w:t>which</w:t>
      </w:r>
      <w:r w:rsidR="00BC28B3" w:rsidRPr="00073727">
        <w:t xml:space="preserve"> was first approved in 2012, Europe in 2013, etc.</w:t>
      </w:r>
      <w:r w:rsidR="00BC28B3" w:rsidRPr="00073727">
        <w:rPr>
          <w:lang w:val="en-US"/>
        </w:rPr>
        <w:t xml:space="preserve"> </w:t>
      </w:r>
      <w:r w:rsidR="00F854A6" w:rsidRPr="00073727">
        <w:rPr>
          <w:lang w:val="en-US"/>
        </w:rPr>
        <w:t>(ii) s</w:t>
      </w:r>
      <w:r w:rsidR="00BC28B3" w:rsidRPr="00073727">
        <w:rPr>
          <w:lang w:val="en-US"/>
        </w:rPr>
        <w:t xml:space="preserve">imilar to </w:t>
      </w:r>
      <w:hyperlink r:id="rId13" w:history="1">
        <w:r w:rsidR="00BC28B3" w:rsidRPr="00073727">
          <w:rPr>
            <w:rStyle w:val="Hyperlink"/>
            <w:lang w:val="en-US"/>
          </w:rPr>
          <w:t>Trastuzumab</w:t>
        </w:r>
      </w:hyperlink>
      <w:r w:rsidR="00BC28B3" w:rsidRPr="00073727">
        <w:rPr>
          <w:lang w:val="en-US"/>
        </w:rPr>
        <w:t>, Herceptin from Genentech very well known, approval US 1998, EU 2000, WHO essential medicine.</w:t>
      </w:r>
    </w:p>
    <w:p w14:paraId="00000035" w14:textId="7F7B2FAD" w:rsidR="000C2469" w:rsidRPr="00073727" w:rsidRDefault="00EC3414" w:rsidP="00942ED4">
      <w:pPr>
        <w:spacing w:line="360" w:lineRule="auto"/>
      </w:pPr>
      <w:r w:rsidRPr="00073727">
        <w:rPr>
          <w:noProof/>
        </w:rPr>
        <w:drawing>
          <wp:inline distT="0" distB="0" distL="0" distR="0" wp14:anchorId="7FB9CC22" wp14:editId="0277788C">
            <wp:extent cx="2647993" cy="1489753"/>
            <wp:effectExtent l="0" t="0" r="0" b="0"/>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67553" cy="1500757"/>
                    </a:xfrm>
                    <a:prstGeom prst="rect">
                      <a:avLst/>
                    </a:prstGeom>
                  </pic:spPr>
                </pic:pic>
              </a:graphicData>
            </a:graphic>
          </wp:inline>
        </w:drawing>
      </w:r>
    </w:p>
    <w:p w14:paraId="196089B0" w14:textId="2F58E3BC" w:rsidR="001714AF" w:rsidRPr="00073727" w:rsidRDefault="001714AF" w:rsidP="00942ED4">
      <w:pPr>
        <w:pStyle w:val="Caption"/>
        <w:spacing w:after="0" w:line="360" w:lineRule="auto"/>
        <w:rPr>
          <w:b/>
          <w:bCs/>
          <w:lang w:val="en-US"/>
        </w:rPr>
      </w:pPr>
      <w:bookmarkStart w:id="4" w:name="_Toc116315312"/>
      <w:r w:rsidRPr="00073727">
        <w:t xml:space="preserve">Figure </w:t>
      </w:r>
      <w:r w:rsidRPr="00073727">
        <w:fldChar w:fldCharType="begin"/>
      </w:r>
      <w:r w:rsidRPr="00073727">
        <w:instrText xml:space="preserve"> SEQ Figure \* ARABIC </w:instrText>
      </w:r>
      <w:r w:rsidRPr="00073727">
        <w:fldChar w:fldCharType="separate"/>
      </w:r>
      <w:r w:rsidR="00DC26FE" w:rsidRPr="00073727">
        <w:rPr>
          <w:noProof/>
        </w:rPr>
        <w:t>1</w:t>
      </w:r>
      <w:r w:rsidRPr="00073727">
        <w:fldChar w:fldCharType="end"/>
      </w:r>
      <w:r w:rsidRPr="00073727">
        <w:rPr>
          <w:lang w:val="en-US"/>
        </w:rPr>
        <w:t xml:space="preserve"> Cryo-EM structure of HER2 bound by </w:t>
      </w:r>
      <w:proofErr w:type="spellStart"/>
      <w:r w:rsidRPr="00073727">
        <w:rPr>
          <w:lang w:val="en-US"/>
        </w:rPr>
        <w:t>mAb</w:t>
      </w:r>
      <w:bookmarkEnd w:id="4"/>
      <w:proofErr w:type="spellEnd"/>
    </w:p>
    <w:p w14:paraId="6DDF5421" w14:textId="2D31553F" w:rsidR="004E78BC" w:rsidRPr="00073727" w:rsidRDefault="004E78BC" w:rsidP="00942ED4">
      <w:pPr>
        <w:spacing w:line="360" w:lineRule="auto"/>
        <w:rPr>
          <w:lang w:val="en-US"/>
        </w:rPr>
      </w:pPr>
      <w:r w:rsidRPr="00073727">
        <w:rPr>
          <w:color w:val="202020"/>
          <w:shd w:val="clear" w:color="auto" w:fill="FFFFFF"/>
          <w:lang w:val="en-US"/>
        </w:rPr>
        <w:t xml:space="preserve">HER2 (cyan) extracellular domain, Trastuzumab Fab (Herceptin - red and pink), and </w:t>
      </w:r>
      <w:proofErr w:type="spellStart"/>
      <w:r w:rsidRPr="00073727">
        <w:rPr>
          <w:color w:val="202020"/>
          <w:shd w:val="clear" w:color="auto" w:fill="FFFFFF"/>
          <w:lang w:val="en-US"/>
        </w:rPr>
        <w:t>Pertuzumab</w:t>
      </w:r>
      <w:proofErr w:type="spellEnd"/>
      <w:r w:rsidRPr="00073727">
        <w:rPr>
          <w:color w:val="202020"/>
          <w:shd w:val="clear" w:color="auto" w:fill="FFFFFF"/>
          <w:lang w:val="en-US"/>
        </w:rPr>
        <w:t xml:space="preserve"> Fab complex (Perjeta - yellow and orange). Derived from PDB 6OGE </w:t>
      </w:r>
      <w:hyperlink r:id="rId15" w:history="1">
        <w:r w:rsidRPr="00073727">
          <w:rPr>
            <w:rStyle w:val="Hyperlink"/>
            <w:shd w:val="clear" w:color="auto" w:fill="FFFFFF"/>
            <w:lang w:val="en-US"/>
          </w:rPr>
          <w:t>https://doi.org/10.1371/journal.pone.0216095</w:t>
        </w:r>
      </w:hyperlink>
      <w:r w:rsidRPr="00073727">
        <w:rPr>
          <w:color w:val="202020"/>
          <w:shd w:val="clear" w:color="auto" w:fill="FFFFFF"/>
          <w:lang w:val="en-US"/>
        </w:rPr>
        <w:t>.</w:t>
      </w:r>
    </w:p>
    <w:p w14:paraId="20E10068" w14:textId="6316B97C" w:rsidR="002B0AB2" w:rsidRDefault="002B0AB2" w:rsidP="00942ED4">
      <w:pPr>
        <w:pStyle w:val="Heading2"/>
        <w:spacing w:before="0" w:after="0" w:line="360" w:lineRule="auto"/>
        <w:rPr>
          <w:lang w:val="en-US"/>
        </w:rPr>
      </w:pPr>
      <w:bookmarkStart w:id="5" w:name="_Toc116316413"/>
      <w:r>
        <w:rPr>
          <w:lang w:val="en-US"/>
        </w:rPr>
        <w:t>Product details</w:t>
      </w:r>
      <w:bookmarkEnd w:id="5"/>
    </w:p>
    <w:p w14:paraId="48B85609" w14:textId="6F837309" w:rsidR="001714AF" w:rsidRPr="00073727" w:rsidRDefault="001714AF" w:rsidP="00942ED4">
      <w:pPr>
        <w:spacing w:line="360" w:lineRule="auto"/>
        <w:rPr>
          <w:lang w:val="en-US"/>
        </w:rPr>
      </w:pPr>
      <w:r w:rsidRPr="00073727">
        <w:rPr>
          <w:lang w:val="en-US"/>
        </w:rPr>
        <w:t xml:space="preserve">Chemical Name: Immunoglobulin G1 (human-mouse monoclonal </w:t>
      </w:r>
      <w:proofErr w:type="spellStart"/>
      <w:r w:rsidRPr="00073727">
        <w:rPr>
          <w:lang w:val="en-US"/>
        </w:rPr>
        <w:t>rhuMAb</w:t>
      </w:r>
      <w:proofErr w:type="spellEnd"/>
      <w:r w:rsidRPr="00073727">
        <w:rPr>
          <w:lang w:val="en-US"/>
        </w:rPr>
        <w:t xml:space="preserve"> HER2γ1- chain anti-human P185c-erB2 receptor) </w:t>
      </w:r>
      <w:proofErr w:type="spellStart"/>
      <w:r w:rsidRPr="00073727">
        <w:rPr>
          <w:lang w:val="en-US"/>
        </w:rPr>
        <w:t>disulphided</w:t>
      </w:r>
      <w:proofErr w:type="spellEnd"/>
      <w:r w:rsidRPr="00073727">
        <w:rPr>
          <w:lang w:val="en-US"/>
        </w:rPr>
        <w:t xml:space="preserve"> with human-mouse monoclonal </w:t>
      </w:r>
      <w:proofErr w:type="spellStart"/>
      <w:r w:rsidRPr="00073727">
        <w:rPr>
          <w:lang w:val="en-US"/>
        </w:rPr>
        <w:t>rhuMAb</w:t>
      </w:r>
      <w:proofErr w:type="spellEnd"/>
      <w:r w:rsidRPr="00073727">
        <w:rPr>
          <w:lang w:val="en-US"/>
        </w:rPr>
        <w:t xml:space="preserve"> HER2 light chain, dimer. Molecular Formula/Molecular Weight: C6460H9972N1724O2014S44 / 148 </w:t>
      </w:r>
      <w:proofErr w:type="spellStart"/>
      <w:r w:rsidRPr="00073727">
        <w:rPr>
          <w:lang w:val="en-US"/>
        </w:rPr>
        <w:t>kDa</w:t>
      </w:r>
      <w:proofErr w:type="spellEnd"/>
      <w:r w:rsidRPr="00073727">
        <w:rPr>
          <w:lang w:val="en-US"/>
        </w:rPr>
        <w:t xml:space="preserve"> (without the N- glycan moiety). Structure or Biochemical Description: SB3 (</w:t>
      </w:r>
      <w:proofErr w:type="spellStart"/>
      <w:r w:rsidRPr="00073727">
        <w:rPr>
          <w:lang w:val="en-US"/>
        </w:rPr>
        <w:t>hertumig</w:t>
      </w:r>
      <w:proofErr w:type="spellEnd"/>
      <w:r w:rsidRPr="00073727">
        <w:rPr>
          <w:lang w:val="en-US"/>
        </w:rPr>
        <w:t xml:space="preserve">) contains human framework regions with the complementarity-determining regions of a murine antibody (4D5) that binds to HER2. SB3 consists of 1,328 amino acids. The amino acid sequences for the heavy and light chains of SB3 are listed in the following </w:t>
      </w:r>
      <w:proofErr w:type="spellStart"/>
      <w:r w:rsidRPr="00073727">
        <w:rPr>
          <w:lang w:val="en-US"/>
        </w:rPr>
        <w:t>fasta</w:t>
      </w:r>
      <w:proofErr w:type="spellEnd"/>
      <w:r w:rsidRPr="00073727">
        <w:rPr>
          <w:lang w:val="en-US"/>
        </w:rPr>
        <w:t xml:space="preserve"> format:</w:t>
      </w:r>
    </w:p>
    <w:p w14:paraId="62C967BE" w14:textId="77777777" w:rsidR="001714AF" w:rsidRPr="00073727" w:rsidRDefault="001714AF" w:rsidP="00942ED4">
      <w:pPr>
        <w:spacing w:line="360" w:lineRule="auto"/>
        <w:rPr>
          <w:lang w:val="en-US"/>
        </w:rPr>
      </w:pPr>
    </w:p>
    <w:p w14:paraId="639DC102" w14:textId="77777777" w:rsidR="001714AF" w:rsidRPr="00073727" w:rsidRDefault="001714AF" w:rsidP="00942ED4">
      <w:pPr>
        <w:spacing w:line="360" w:lineRule="auto"/>
        <w:rPr>
          <w:rFonts w:ascii="Courier" w:hAnsi="Courier"/>
          <w:sz w:val="21"/>
          <w:szCs w:val="21"/>
          <w:lang w:val="en-US"/>
        </w:rPr>
      </w:pPr>
      <w:r w:rsidRPr="00073727">
        <w:rPr>
          <w:rFonts w:ascii="Courier" w:hAnsi="Courier"/>
          <w:sz w:val="21"/>
          <w:szCs w:val="21"/>
          <w:lang w:val="en-US"/>
        </w:rPr>
        <w:t>&gt;</w:t>
      </w:r>
      <w:proofErr w:type="spellStart"/>
      <w:r w:rsidRPr="00073727">
        <w:rPr>
          <w:rFonts w:ascii="Courier" w:hAnsi="Courier"/>
          <w:sz w:val="21"/>
          <w:szCs w:val="21"/>
          <w:lang w:val="en-US"/>
        </w:rPr>
        <w:t>Hertumig_Heavy_Chain</w:t>
      </w:r>
      <w:proofErr w:type="spellEnd"/>
    </w:p>
    <w:p w14:paraId="36025387" w14:textId="77777777" w:rsidR="001714AF" w:rsidRPr="00073727" w:rsidRDefault="001714AF" w:rsidP="00942ED4">
      <w:pPr>
        <w:spacing w:line="360" w:lineRule="auto"/>
        <w:rPr>
          <w:rFonts w:ascii="Courier" w:hAnsi="Courier"/>
          <w:sz w:val="21"/>
          <w:szCs w:val="21"/>
          <w:lang w:val="en-US"/>
        </w:rPr>
      </w:pPr>
      <w:r w:rsidRPr="00073727">
        <w:rPr>
          <w:rFonts w:ascii="Courier" w:hAnsi="Courier"/>
          <w:sz w:val="21"/>
          <w:szCs w:val="21"/>
          <w:lang w:val="en-US"/>
        </w:rPr>
        <w:t>EVQLVESGGG LVQPGGSLRL SCAASGFNIK DTYIHWVRQA PGKGLEWVAR IYPTNGYTRY</w:t>
      </w:r>
    </w:p>
    <w:p w14:paraId="124B27CE" w14:textId="77777777" w:rsidR="001714AF" w:rsidRPr="00073727" w:rsidRDefault="001714AF" w:rsidP="00942ED4">
      <w:pPr>
        <w:spacing w:line="360" w:lineRule="auto"/>
        <w:rPr>
          <w:rFonts w:ascii="Courier" w:hAnsi="Courier"/>
          <w:sz w:val="21"/>
          <w:szCs w:val="21"/>
          <w:lang w:val="en-US"/>
        </w:rPr>
      </w:pPr>
      <w:r w:rsidRPr="00073727">
        <w:rPr>
          <w:rFonts w:ascii="Courier" w:hAnsi="Courier"/>
          <w:sz w:val="21"/>
          <w:szCs w:val="21"/>
          <w:lang w:val="en-US"/>
        </w:rPr>
        <w:t>ADSVKGRFTI SADTSKNTAY LQMNSLRAED TAVYYCSRWG GDGFYAMDYW GQGTLVTVSS</w:t>
      </w:r>
    </w:p>
    <w:p w14:paraId="6842C16E" w14:textId="77777777" w:rsidR="001714AF" w:rsidRPr="00073727" w:rsidRDefault="001714AF" w:rsidP="00942ED4">
      <w:pPr>
        <w:spacing w:line="360" w:lineRule="auto"/>
        <w:rPr>
          <w:rFonts w:ascii="Courier" w:hAnsi="Courier"/>
          <w:sz w:val="21"/>
          <w:szCs w:val="21"/>
          <w:lang w:val="en-US"/>
        </w:rPr>
      </w:pPr>
      <w:r w:rsidRPr="00073727">
        <w:rPr>
          <w:rFonts w:ascii="Courier" w:hAnsi="Courier"/>
          <w:sz w:val="21"/>
          <w:szCs w:val="21"/>
          <w:lang w:val="en-US"/>
        </w:rPr>
        <w:lastRenderedPageBreak/>
        <w:t>ASTKGPSVFP LAPSSKSTSG GTAALGCLVK DYFPEPVTVS WNSGALTSGV HTFPAVLQSS</w:t>
      </w:r>
    </w:p>
    <w:p w14:paraId="6403909F" w14:textId="77777777" w:rsidR="001714AF" w:rsidRPr="00073727" w:rsidRDefault="001714AF" w:rsidP="00942ED4">
      <w:pPr>
        <w:spacing w:line="360" w:lineRule="auto"/>
        <w:rPr>
          <w:rFonts w:ascii="Courier" w:hAnsi="Courier"/>
          <w:sz w:val="21"/>
          <w:szCs w:val="21"/>
          <w:lang w:val="en-US"/>
        </w:rPr>
      </w:pPr>
      <w:r w:rsidRPr="00073727">
        <w:rPr>
          <w:rFonts w:ascii="Courier" w:hAnsi="Courier"/>
          <w:sz w:val="21"/>
          <w:szCs w:val="21"/>
          <w:lang w:val="en-US"/>
        </w:rPr>
        <w:t>GLYSLSSVVT VPSSSLGTQT YICNVNHKPS NTKVDKKVEP KSCDKTHTCP PCPAPELLGG</w:t>
      </w:r>
    </w:p>
    <w:p w14:paraId="77D000AB" w14:textId="77777777" w:rsidR="001714AF" w:rsidRPr="00073727" w:rsidRDefault="001714AF" w:rsidP="00942ED4">
      <w:pPr>
        <w:spacing w:line="360" w:lineRule="auto"/>
        <w:rPr>
          <w:rFonts w:ascii="Courier" w:hAnsi="Courier"/>
          <w:sz w:val="21"/>
          <w:szCs w:val="21"/>
          <w:lang w:val="en-US"/>
        </w:rPr>
      </w:pPr>
      <w:r w:rsidRPr="00073727">
        <w:rPr>
          <w:rFonts w:ascii="Courier" w:hAnsi="Courier"/>
          <w:sz w:val="21"/>
          <w:szCs w:val="21"/>
          <w:lang w:val="en-US"/>
        </w:rPr>
        <w:t>PSVFLFPPKP KDTLMISRTP EVTCVVVDVS HEDPEVKFNW YVDGVEVHNA KTKPREEQYN</w:t>
      </w:r>
    </w:p>
    <w:p w14:paraId="01B6A952" w14:textId="77777777" w:rsidR="001714AF" w:rsidRPr="00073727" w:rsidRDefault="001714AF" w:rsidP="00942ED4">
      <w:pPr>
        <w:spacing w:line="360" w:lineRule="auto"/>
        <w:rPr>
          <w:rFonts w:ascii="Courier" w:hAnsi="Courier"/>
          <w:sz w:val="21"/>
          <w:szCs w:val="21"/>
          <w:lang w:val="en-US"/>
        </w:rPr>
      </w:pPr>
      <w:r w:rsidRPr="00073727">
        <w:rPr>
          <w:rFonts w:ascii="Courier" w:hAnsi="Courier"/>
          <w:sz w:val="21"/>
          <w:szCs w:val="21"/>
          <w:lang w:val="en-US"/>
        </w:rPr>
        <w:t>STYRVVSVLT VLHQDWLNGK EYKCKVSNKA LPAPIEKTIS KAKGQPREPQ VYTLPPSREE</w:t>
      </w:r>
    </w:p>
    <w:p w14:paraId="578A5261" w14:textId="77777777" w:rsidR="001714AF" w:rsidRPr="00073727" w:rsidRDefault="001714AF" w:rsidP="00942ED4">
      <w:pPr>
        <w:spacing w:line="360" w:lineRule="auto"/>
        <w:rPr>
          <w:rFonts w:ascii="Courier" w:hAnsi="Courier"/>
          <w:sz w:val="21"/>
          <w:szCs w:val="21"/>
          <w:lang w:val="en-US"/>
        </w:rPr>
      </w:pPr>
      <w:r w:rsidRPr="00073727">
        <w:rPr>
          <w:rFonts w:ascii="Courier" w:hAnsi="Courier"/>
          <w:sz w:val="21"/>
          <w:szCs w:val="21"/>
          <w:lang w:val="en-US"/>
        </w:rPr>
        <w:t>MTKNQVSLTC LVKGFYPSDI AVEWESNGQP ENNYKTTPPV LDSDGSFFLY SKLTVDKSRW</w:t>
      </w:r>
    </w:p>
    <w:p w14:paraId="708737CB" w14:textId="77777777" w:rsidR="001714AF" w:rsidRPr="00073727" w:rsidRDefault="001714AF" w:rsidP="00942ED4">
      <w:pPr>
        <w:spacing w:line="360" w:lineRule="auto"/>
        <w:rPr>
          <w:rFonts w:ascii="Courier" w:hAnsi="Courier"/>
          <w:sz w:val="21"/>
          <w:szCs w:val="21"/>
          <w:lang w:val="en-US"/>
        </w:rPr>
      </w:pPr>
      <w:r w:rsidRPr="00073727">
        <w:rPr>
          <w:rFonts w:ascii="Courier" w:hAnsi="Courier"/>
          <w:sz w:val="21"/>
          <w:szCs w:val="21"/>
          <w:lang w:val="en-US"/>
        </w:rPr>
        <w:t>QQGNVFSCSV MHEALHNHYT QKSLSLSPG</w:t>
      </w:r>
    </w:p>
    <w:p w14:paraId="0E744E73" w14:textId="77777777" w:rsidR="001714AF" w:rsidRPr="00073727" w:rsidRDefault="001714AF" w:rsidP="00942ED4">
      <w:pPr>
        <w:spacing w:line="360" w:lineRule="auto"/>
        <w:rPr>
          <w:rFonts w:ascii="Courier" w:hAnsi="Courier"/>
          <w:sz w:val="21"/>
          <w:szCs w:val="21"/>
          <w:lang w:val="en-US"/>
        </w:rPr>
      </w:pPr>
    </w:p>
    <w:p w14:paraId="1EF2543E" w14:textId="77777777" w:rsidR="001714AF" w:rsidRPr="00073727" w:rsidRDefault="001714AF" w:rsidP="00942ED4">
      <w:pPr>
        <w:spacing w:line="360" w:lineRule="auto"/>
        <w:rPr>
          <w:rFonts w:ascii="Courier" w:hAnsi="Courier"/>
          <w:sz w:val="21"/>
          <w:szCs w:val="21"/>
          <w:lang w:val="en-US"/>
        </w:rPr>
      </w:pPr>
      <w:r w:rsidRPr="00073727">
        <w:rPr>
          <w:rFonts w:ascii="Courier" w:hAnsi="Courier"/>
          <w:sz w:val="21"/>
          <w:szCs w:val="21"/>
          <w:lang w:val="en-US"/>
        </w:rPr>
        <w:t>&gt;</w:t>
      </w:r>
      <w:proofErr w:type="spellStart"/>
      <w:r w:rsidRPr="00073727">
        <w:rPr>
          <w:rFonts w:ascii="Courier" w:hAnsi="Courier"/>
          <w:sz w:val="21"/>
          <w:szCs w:val="21"/>
          <w:lang w:val="en-US"/>
        </w:rPr>
        <w:t>Hertumig_Light_Chain</w:t>
      </w:r>
      <w:proofErr w:type="spellEnd"/>
      <w:r w:rsidRPr="00073727">
        <w:rPr>
          <w:rFonts w:ascii="Courier" w:hAnsi="Courier"/>
          <w:sz w:val="21"/>
          <w:szCs w:val="21"/>
          <w:lang w:val="en-US"/>
        </w:rPr>
        <w:t>:</w:t>
      </w:r>
    </w:p>
    <w:p w14:paraId="5196866B" w14:textId="77777777" w:rsidR="001714AF" w:rsidRPr="00073727" w:rsidRDefault="001714AF" w:rsidP="00942ED4">
      <w:pPr>
        <w:spacing w:line="360" w:lineRule="auto"/>
        <w:rPr>
          <w:rFonts w:ascii="Courier" w:hAnsi="Courier"/>
          <w:sz w:val="21"/>
          <w:szCs w:val="21"/>
          <w:lang w:val="en-US"/>
        </w:rPr>
      </w:pPr>
      <w:r w:rsidRPr="00073727">
        <w:rPr>
          <w:rFonts w:ascii="Courier" w:hAnsi="Courier"/>
          <w:sz w:val="21"/>
          <w:szCs w:val="21"/>
          <w:lang w:val="en-US"/>
        </w:rPr>
        <w:t>DIQMTQSPSS LSASVGDRVT ITCRASQDVN TAVAWYQQKP GKAPKLLIYS ASFLYSGVPS</w:t>
      </w:r>
    </w:p>
    <w:p w14:paraId="16AFA40B" w14:textId="77777777" w:rsidR="001714AF" w:rsidRPr="00073727" w:rsidRDefault="001714AF" w:rsidP="00942ED4">
      <w:pPr>
        <w:spacing w:line="360" w:lineRule="auto"/>
        <w:rPr>
          <w:rFonts w:ascii="Courier" w:hAnsi="Courier"/>
          <w:sz w:val="21"/>
          <w:szCs w:val="21"/>
          <w:lang w:val="en-US"/>
        </w:rPr>
      </w:pPr>
      <w:r w:rsidRPr="00073727">
        <w:rPr>
          <w:rFonts w:ascii="Courier" w:hAnsi="Courier"/>
          <w:sz w:val="21"/>
          <w:szCs w:val="21"/>
          <w:lang w:val="en-US"/>
        </w:rPr>
        <w:t>RFSGSRSGTD FTLTISSLQP EDFATYYCQQ HYTTPPTFGQ GTKVEIKRTV AAPSVFIFPP</w:t>
      </w:r>
    </w:p>
    <w:p w14:paraId="6B35066C" w14:textId="77777777" w:rsidR="001714AF" w:rsidRPr="00073727" w:rsidRDefault="001714AF" w:rsidP="00942ED4">
      <w:pPr>
        <w:spacing w:line="360" w:lineRule="auto"/>
        <w:rPr>
          <w:rFonts w:ascii="Courier" w:hAnsi="Courier"/>
          <w:sz w:val="21"/>
          <w:szCs w:val="21"/>
          <w:lang w:val="en-US"/>
        </w:rPr>
      </w:pPr>
      <w:r w:rsidRPr="00073727">
        <w:rPr>
          <w:rFonts w:ascii="Courier" w:hAnsi="Courier"/>
          <w:sz w:val="21"/>
          <w:szCs w:val="21"/>
          <w:lang w:val="en-US"/>
        </w:rPr>
        <w:t>SDEQLKSGTA SVVCLLNNFY PREAKVQWKV DNALQSGNSQ ESVTEQDSKD STYSLSSTLT</w:t>
      </w:r>
    </w:p>
    <w:p w14:paraId="6C444190" w14:textId="77777777" w:rsidR="001714AF" w:rsidRPr="00073727" w:rsidRDefault="001714AF" w:rsidP="00942ED4">
      <w:pPr>
        <w:spacing w:line="360" w:lineRule="auto"/>
        <w:rPr>
          <w:rFonts w:ascii="Courier" w:hAnsi="Courier"/>
          <w:lang w:val="en-US"/>
        </w:rPr>
      </w:pPr>
      <w:r w:rsidRPr="00073727">
        <w:rPr>
          <w:rFonts w:ascii="Courier" w:hAnsi="Courier"/>
          <w:sz w:val="21"/>
          <w:szCs w:val="21"/>
          <w:lang w:val="en-US"/>
        </w:rPr>
        <w:t>LSKADYEKHK VYACEVTHQG LSSPVTKSFN RGEC</w:t>
      </w:r>
    </w:p>
    <w:p w14:paraId="1194138C" w14:textId="77777777" w:rsidR="001714AF" w:rsidRPr="00073727" w:rsidRDefault="001714AF" w:rsidP="00942ED4">
      <w:pPr>
        <w:spacing w:line="360" w:lineRule="auto"/>
        <w:rPr>
          <w:lang w:val="en-US"/>
        </w:rPr>
      </w:pPr>
    </w:p>
    <w:p w14:paraId="78BE9A6D" w14:textId="77777777" w:rsidR="001714AF" w:rsidRPr="00073727" w:rsidRDefault="001714AF" w:rsidP="00942ED4">
      <w:pPr>
        <w:pStyle w:val="Heading2"/>
        <w:spacing w:before="0" w:after="0" w:line="360" w:lineRule="auto"/>
        <w:rPr>
          <w:lang w:val="en-US"/>
        </w:rPr>
      </w:pPr>
      <w:bookmarkStart w:id="6" w:name="_Toc116316414"/>
      <w:r w:rsidRPr="00073727">
        <w:rPr>
          <w:lang w:val="en-US"/>
        </w:rPr>
        <w:t>Production</w:t>
      </w:r>
      <w:bookmarkEnd w:id="6"/>
    </w:p>
    <w:p w14:paraId="6864BC26" w14:textId="1EE7FDE6" w:rsidR="002B0AB2" w:rsidRDefault="001714AF" w:rsidP="00942ED4">
      <w:pPr>
        <w:spacing w:line="360" w:lineRule="auto"/>
        <w:rPr>
          <w:lang w:val="en-US"/>
        </w:rPr>
      </w:pPr>
      <w:r w:rsidRPr="00073727">
        <w:rPr>
          <w:lang w:val="en-US"/>
        </w:rPr>
        <w:t>The old-fashioned way was by hybridoma (trastuzumab</w:t>
      </w:r>
      <w:proofErr w:type="gramStart"/>
      <w:r w:rsidRPr="00073727">
        <w:rPr>
          <w:lang w:val="en-US"/>
        </w:rPr>
        <w:t>)</w:t>
      </w:r>
      <w:proofErr w:type="gramEnd"/>
      <w:r w:rsidRPr="00073727">
        <w:rPr>
          <w:lang w:val="en-US"/>
        </w:rPr>
        <w:t xml:space="preserve"> but we will use a modern protocol.</w:t>
      </w:r>
      <w:r w:rsidR="002B0AB2">
        <w:rPr>
          <w:lang w:val="en-US"/>
        </w:rPr>
        <w:t xml:space="preserve"> </w:t>
      </w:r>
      <w:r w:rsidRPr="00073727">
        <w:rPr>
          <w:lang w:val="en-US"/>
        </w:rPr>
        <w:t xml:space="preserve">To be defined. </w:t>
      </w:r>
    </w:p>
    <w:p w14:paraId="64CC4F8C" w14:textId="48B70B5F" w:rsidR="002B0AB2" w:rsidRDefault="002B0AB2" w:rsidP="00942ED4">
      <w:pPr>
        <w:pStyle w:val="ListParagraph"/>
        <w:numPr>
          <w:ilvl w:val="0"/>
          <w:numId w:val="14"/>
        </w:numPr>
        <w:spacing w:after="0" w:line="360" w:lineRule="auto"/>
      </w:pPr>
      <w:r w:rsidRPr="002B0AB2">
        <w:t xml:space="preserve">See - </w:t>
      </w:r>
      <w:r w:rsidRPr="002B0AB2">
        <w:t>carvalho2017_Production Processes for Monoclonal Antibodies</w:t>
      </w:r>
    </w:p>
    <w:p w14:paraId="69B8679B" w14:textId="77777777" w:rsidR="002B0AB2" w:rsidRPr="002B0AB2" w:rsidRDefault="002B0AB2" w:rsidP="00942ED4">
      <w:pPr>
        <w:pStyle w:val="ListParagraph"/>
        <w:numPr>
          <w:ilvl w:val="0"/>
          <w:numId w:val="14"/>
        </w:numPr>
        <w:spacing w:after="0" w:line="360" w:lineRule="auto"/>
      </w:pPr>
      <w:r w:rsidRPr="002B0AB2">
        <w:t xml:space="preserve">See example method: </w:t>
      </w:r>
      <w:hyperlink r:id="rId16" w:anchor="Sec11" w:history="1">
        <w:r w:rsidRPr="002B0AB2">
          <w:rPr>
            <w:rStyle w:val="Hyperlink"/>
            <w:rFonts w:cs="Times New Roman"/>
          </w:rPr>
          <w:t>https://www.nature.com/articles/s41598-020-59818-2#Sec11</w:t>
        </w:r>
      </w:hyperlink>
      <w:r w:rsidRPr="002B0AB2">
        <w:t xml:space="preserve">. </w:t>
      </w:r>
    </w:p>
    <w:p w14:paraId="313C19D9" w14:textId="77777777" w:rsidR="002B0AB2" w:rsidRPr="002B0AB2" w:rsidRDefault="002B0AB2" w:rsidP="00942ED4">
      <w:pPr>
        <w:spacing w:line="360" w:lineRule="auto"/>
      </w:pPr>
    </w:p>
    <w:p w14:paraId="29C04AED" w14:textId="45041E25" w:rsidR="002B0AB2" w:rsidRPr="002B0AB2" w:rsidRDefault="002B0AB2" w:rsidP="00942ED4">
      <w:pPr>
        <w:spacing w:line="360" w:lineRule="auto"/>
        <w:rPr>
          <w:lang w:val="en-US"/>
        </w:rPr>
      </w:pPr>
      <w:r>
        <w:rPr>
          <w:lang w:val="en-US"/>
        </w:rPr>
        <w:br w:type="page"/>
      </w:r>
    </w:p>
    <w:p w14:paraId="70C358FA" w14:textId="74D84449" w:rsidR="005836BF" w:rsidRPr="00073727" w:rsidRDefault="005836BF" w:rsidP="00942ED4">
      <w:pPr>
        <w:pStyle w:val="Heading1"/>
        <w:spacing w:before="0" w:line="360" w:lineRule="auto"/>
      </w:pPr>
      <w:bookmarkStart w:id="7" w:name="_Toc116316415"/>
      <w:r w:rsidRPr="00073727">
        <w:lastRenderedPageBreak/>
        <w:t>Part A: Preclinical Plan</w:t>
      </w:r>
      <w:bookmarkEnd w:id="7"/>
    </w:p>
    <w:p w14:paraId="24B87C2A" w14:textId="77777777" w:rsidR="00020DEF" w:rsidRPr="00073727" w:rsidRDefault="00020DEF" w:rsidP="00942ED4">
      <w:pPr>
        <w:spacing w:line="360" w:lineRule="auto"/>
        <w:jc w:val="both"/>
        <w:rPr>
          <w:i/>
          <w:iCs/>
        </w:rPr>
      </w:pPr>
      <w:r w:rsidRPr="00073727">
        <w:rPr>
          <w:i/>
          <w:iCs/>
          <w:lang w:val="en-US"/>
        </w:rPr>
        <w:t>A preclinical plan will be completed summarizing the</w:t>
      </w:r>
      <w:r w:rsidRPr="00073727">
        <w:rPr>
          <w:i/>
          <w:iCs/>
        </w:rPr>
        <w:t xml:space="preserve"> work that needs to be done and included in the application for the above mentioned Investigational Medicinal Product. </w:t>
      </w:r>
      <w:r w:rsidRPr="00073727">
        <w:rPr>
          <w:i/>
          <w:iCs/>
          <w:lang w:val="en-US"/>
        </w:rPr>
        <w:t>This consists of a short description</w:t>
      </w:r>
      <w:r w:rsidRPr="00073727">
        <w:rPr>
          <w:i/>
          <w:iCs/>
        </w:rPr>
        <w:t xml:space="preserve"> </w:t>
      </w:r>
      <w:r w:rsidRPr="00073727">
        <w:rPr>
          <w:i/>
          <w:iCs/>
          <w:lang w:val="en-US"/>
        </w:rPr>
        <w:t xml:space="preserve">of </w:t>
      </w:r>
      <w:r w:rsidRPr="00073727">
        <w:rPr>
          <w:i/>
          <w:iCs/>
        </w:rPr>
        <w:t xml:space="preserve">the preclinical studies to cover the clinical trial, namely the animal studies, the duration of treatment, pharmacology and toxicology studies in the </w:t>
      </w:r>
      <w:sdt>
        <w:sdtPr>
          <w:rPr>
            <w:i/>
            <w:iCs/>
          </w:rPr>
          <w:tag w:val="goog_rdk_4"/>
          <w:id w:val="421611460"/>
        </w:sdtPr>
        <w:sdtContent>
          <w:r w:rsidRPr="00073727">
            <w:rPr>
              <w:rFonts w:eastAsia="Calibri"/>
              <w:i/>
              <w:iCs/>
            </w:rPr>
            <w:t>appropriate</w:t>
          </w:r>
        </w:sdtContent>
      </w:sdt>
      <w:r w:rsidRPr="00073727" w:rsidDel="00B31AED">
        <w:rPr>
          <w:i/>
          <w:iCs/>
        </w:rPr>
        <w:t xml:space="preserve"> </w:t>
      </w:r>
      <w:r w:rsidRPr="00073727">
        <w:rPr>
          <w:i/>
          <w:iCs/>
        </w:rPr>
        <w:t>animal model.</w:t>
      </w:r>
    </w:p>
    <w:p w14:paraId="535E8F78" w14:textId="0D042C8A" w:rsidR="00020DEF" w:rsidRPr="00073727" w:rsidRDefault="00020DEF" w:rsidP="00942ED4">
      <w:pPr>
        <w:spacing w:line="360" w:lineRule="auto"/>
      </w:pPr>
    </w:p>
    <w:p w14:paraId="742D51FE" w14:textId="09AF6F65" w:rsidR="00DC26FE" w:rsidRPr="00073727" w:rsidRDefault="00DC26FE" w:rsidP="00942ED4">
      <w:pPr>
        <w:spacing w:line="360" w:lineRule="auto"/>
      </w:pPr>
    </w:p>
    <w:p w14:paraId="6E61FF0B" w14:textId="0C0AD1BA" w:rsidR="00DC26FE" w:rsidRPr="00073727" w:rsidRDefault="00DC26FE" w:rsidP="00942ED4">
      <w:pPr>
        <w:pStyle w:val="Caption"/>
        <w:spacing w:after="0" w:line="360" w:lineRule="auto"/>
        <w:jc w:val="center"/>
      </w:pPr>
      <w:r w:rsidRPr="00073727">
        <w:rPr>
          <w:noProof/>
        </w:rPr>
        <w:drawing>
          <wp:inline distT="0" distB="0" distL="0" distR="0" wp14:anchorId="161C951B" wp14:editId="6476324B">
            <wp:extent cx="3772096" cy="3015253"/>
            <wp:effectExtent l="0" t="0" r="0" b="0"/>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86160" cy="3026495"/>
                    </a:xfrm>
                    <a:prstGeom prst="rect">
                      <a:avLst/>
                    </a:prstGeom>
                  </pic:spPr>
                </pic:pic>
              </a:graphicData>
            </a:graphic>
          </wp:inline>
        </w:drawing>
      </w:r>
    </w:p>
    <w:p w14:paraId="093B8E32" w14:textId="7D6C7B8D" w:rsidR="00DC26FE" w:rsidRPr="00073727" w:rsidRDefault="00DC26FE" w:rsidP="00942ED4">
      <w:pPr>
        <w:pStyle w:val="Caption"/>
        <w:spacing w:after="0" w:line="360" w:lineRule="auto"/>
        <w:rPr>
          <w:lang w:val="en-US"/>
        </w:rPr>
      </w:pPr>
      <w:bookmarkStart w:id="8" w:name="_Toc116315313"/>
      <w:r w:rsidRPr="00073727">
        <w:t xml:space="preserve">Figure </w:t>
      </w:r>
      <w:r w:rsidRPr="00073727">
        <w:fldChar w:fldCharType="begin"/>
      </w:r>
      <w:r w:rsidRPr="00073727">
        <w:instrText xml:space="preserve"> SEQ Figure \* ARABIC </w:instrText>
      </w:r>
      <w:r w:rsidRPr="00073727">
        <w:fldChar w:fldCharType="separate"/>
      </w:r>
      <w:r w:rsidRPr="00073727">
        <w:rPr>
          <w:noProof/>
        </w:rPr>
        <w:t>2</w:t>
      </w:r>
      <w:r w:rsidRPr="00073727">
        <w:fldChar w:fldCharType="end"/>
      </w:r>
      <w:r w:rsidRPr="00073727">
        <w:rPr>
          <w:lang w:val="en-US"/>
        </w:rPr>
        <w:t xml:space="preserve"> Nonclinical evaluation for small molecules.</w:t>
      </w:r>
      <w:bookmarkEnd w:id="8"/>
      <w:r w:rsidRPr="00073727">
        <w:rPr>
          <w:lang w:val="en-US"/>
        </w:rPr>
        <w:t xml:space="preserve"> </w:t>
      </w:r>
    </w:p>
    <w:p w14:paraId="45CCBFCA" w14:textId="3DF18626" w:rsidR="00DC26FE" w:rsidRDefault="00C4514B" w:rsidP="00942ED4">
      <w:pPr>
        <w:spacing w:line="360" w:lineRule="auto"/>
        <w:rPr>
          <w:lang w:val="en-US"/>
        </w:rPr>
      </w:pPr>
      <w:r w:rsidRPr="00073727">
        <w:rPr>
          <w:lang w:val="en-US"/>
        </w:rPr>
        <w:t xml:space="preserve">Figure reproduced from </w:t>
      </w:r>
      <w:proofErr w:type="spellStart"/>
      <w:r w:rsidRPr="00073727">
        <w:rPr>
          <w:lang w:val="en-US"/>
        </w:rPr>
        <w:t>Nürnberg</w:t>
      </w:r>
      <w:proofErr w:type="spellEnd"/>
      <w:r w:rsidRPr="00073727">
        <w:rPr>
          <w:lang w:val="en-US"/>
        </w:rPr>
        <w:t xml:space="preserve"> and Pierre</w:t>
      </w:r>
      <w:r w:rsidRPr="00073727">
        <w:rPr>
          <w:lang w:val="en-US"/>
        </w:rPr>
        <w:t xml:space="preserve"> 2017 </w:t>
      </w:r>
      <w:r w:rsidRPr="00073727">
        <w:rPr>
          <w:lang w:val="en-US"/>
        </w:rPr>
        <w:fldChar w:fldCharType="begin"/>
      </w:r>
      <w:r w:rsidRPr="00073727">
        <w:rPr>
          <w:lang w:val="en-US"/>
        </w:rPr>
        <w:instrText xml:space="preserve"> ADDIN ZOTERO_ITEM CSL_CITATION {"citationID":"BWVsmC81","properties":{"formattedCitation":"[1]","plainCitation":"[1]","noteIndex":0},"citationItems":[{"id":868,"uris":["http://zotero.org/groups/4760334/items/JX6SB6IV"],"itemData":{"id":868,"type":"article-journal","container-title":"Medical Writing","note":"ISBN: 2047-4814\npublisher: European Medical Writers Association (EMWA)","page":"9-19","title":"An introduction to little-known aspects of nonclinical regulatory writing","volume":"26","author":[{"family":"Nürnberg","given":"Alexander"},{"family":"Pierre","given":"Hélène"}],"issued":{"date-parts":[["2017"]]}}}],"schema":"https://github.com/citation-style-language/schema/raw/master/csl-citation.json"} </w:instrText>
      </w:r>
      <w:r w:rsidRPr="00073727">
        <w:rPr>
          <w:lang w:val="en-US"/>
        </w:rPr>
        <w:fldChar w:fldCharType="separate"/>
      </w:r>
      <w:r w:rsidRPr="00073727">
        <w:rPr>
          <w:noProof/>
          <w:lang w:val="en-US"/>
        </w:rPr>
        <w:t>[1]</w:t>
      </w:r>
      <w:r w:rsidRPr="00073727">
        <w:rPr>
          <w:lang w:val="en-US"/>
        </w:rPr>
        <w:fldChar w:fldCharType="end"/>
      </w:r>
      <w:r w:rsidRPr="00073727">
        <w:rPr>
          <w:lang w:val="en-US"/>
        </w:rPr>
        <w:t xml:space="preserve">. </w:t>
      </w:r>
      <w:r w:rsidR="00DC26FE" w:rsidRPr="00073727">
        <w:rPr>
          <w:lang w:val="en-US"/>
        </w:rPr>
        <w:t xml:space="preserve">Biologics may </w:t>
      </w:r>
      <w:r w:rsidR="005F3DAE" w:rsidRPr="00073727">
        <w:rPr>
          <w:lang w:val="en-US"/>
        </w:rPr>
        <w:t>require</w:t>
      </w:r>
      <w:r w:rsidR="00DC26FE" w:rsidRPr="00073727">
        <w:rPr>
          <w:lang w:val="en-US"/>
        </w:rPr>
        <w:t xml:space="preserve"> fewer nonclinical studies than small molecules but can be complicated due to novelty and lack of relevant model species. Often the rodent species by be omitted if they are not representative of the expected human response. However, transgenic murine models may be required. Immu</w:t>
      </w:r>
      <w:r w:rsidR="006D44D3" w:rsidRPr="00073727">
        <w:rPr>
          <w:lang w:val="en-US"/>
        </w:rPr>
        <w:t>n</w:t>
      </w:r>
      <w:r w:rsidR="00DC26FE" w:rsidRPr="00073727">
        <w:rPr>
          <w:lang w:val="en-US"/>
        </w:rPr>
        <w:t xml:space="preserve">ogenicity can produce both a lack of efficacy or </w:t>
      </w:r>
      <w:r w:rsidR="006D44D3" w:rsidRPr="00073727">
        <w:rPr>
          <w:lang w:val="en-US"/>
        </w:rPr>
        <w:t>severe adverse outcomes (PD and PK). Extensive i</w:t>
      </w:r>
      <w:r w:rsidR="006D44D3" w:rsidRPr="00073727">
        <w:rPr>
          <w:lang w:val="en-US"/>
        </w:rPr>
        <w:t>mmunogenicity testing</w:t>
      </w:r>
      <w:r w:rsidR="006D44D3" w:rsidRPr="00073727">
        <w:rPr>
          <w:lang w:val="en-US"/>
        </w:rPr>
        <w:t xml:space="preserve"> may be required. Only major steps are </w:t>
      </w:r>
      <w:proofErr w:type="gramStart"/>
      <w:r w:rsidR="006D44D3" w:rsidRPr="00073727">
        <w:rPr>
          <w:lang w:val="en-US"/>
        </w:rPr>
        <w:t>il</w:t>
      </w:r>
      <w:r w:rsidR="005F3DAE" w:rsidRPr="00073727">
        <w:rPr>
          <w:lang w:val="en-US"/>
        </w:rPr>
        <w:t>l</w:t>
      </w:r>
      <w:r w:rsidR="006D44D3" w:rsidRPr="00073727">
        <w:rPr>
          <w:lang w:val="en-US"/>
        </w:rPr>
        <w:t>ustrated;</w:t>
      </w:r>
      <w:proofErr w:type="gramEnd"/>
      <w:r w:rsidR="006D44D3" w:rsidRPr="00073727">
        <w:rPr>
          <w:lang w:val="en-US"/>
        </w:rPr>
        <w:t xml:space="preserve"> e.g. </w:t>
      </w:r>
      <w:r w:rsidR="006D44D3" w:rsidRPr="00073727">
        <w:rPr>
          <w:lang w:val="en-US"/>
        </w:rPr>
        <w:t>carcinogenicity</w:t>
      </w:r>
      <w:r w:rsidR="006D44D3" w:rsidRPr="00073727">
        <w:rPr>
          <w:lang w:val="en-US"/>
        </w:rPr>
        <w:t xml:space="preserve"> may require </w:t>
      </w:r>
      <w:r w:rsidR="006D44D3" w:rsidRPr="00073727">
        <w:rPr>
          <w:lang w:val="en-US"/>
        </w:rPr>
        <w:t>dose testing</w:t>
      </w:r>
      <w:r w:rsidR="006D44D3" w:rsidRPr="00073727">
        <w:rPr>
          <w:lang w:val="en-US"/>
        </w:rPr>
        <w:t xml:space="preserve"> and subsequent two-year rodent study and six-month transgenic mouse study. </w:t>
      </w:r>
    </w:p>
    <w:p w14:paraId="75B43479" w14:textId="77777777" w:rsidR="000B5A95" w:rsidRPr="00073727" w:rsidRDefault="000B5A95" w:rsidP="00942ED4">
      <w:pPr>
        <w:spacing w:line="360" w:lineRule="auto"/>
        <w:rPr>
          <w:lang w:val="en-US"/>
        </w:rPr>
      </w:pPr>
    </w:p>
    <w:p w14:paraId="117E1D9E" w14:textId="2841D080" w:rsidR="0017722C" w:rsidRPr="00073727" w:rsidRDefault="00340E11" w:rsidP="00942ED4">
      <w:pPr>
        <w:pStyle w:val="Heading2"/>
        <w:spacing w:before="0" w:after="0" w:line="360" w:lineRule="auto"/>
        <w:rPr>
          <w:lang w:val="en-US"/>
        </w:rPr>
      </w:pPr>
      <w:bookmarkStart w:id="9" w:name="_Toc116316416"/>
      <w:r w:rsidRPr="00073727">
        <w:rPr>
          <w:lang w:val="en-US"/>
        </w:rPr>
        <w:t>Acute toxicity</w:t>
      </w:r>
      <w:bookmarkEnd w:id="9"/>
    </w:p>
    <w:p w14:paraId="2E42FEDB" w14:textId="22D01B0A" w:rsidR="0017722C" w:rsidRPr="00073727" w:rsidRDefault="00340E11" w:rsidP="00942ED4">
      <w:pPr>
        <w:spacing w:line="360" w:lineRule="auto"/>
        <w:rPr>
          <w:lang w:val="en-US"/>
        </w:rPr>
      </w:pPr>
      <w:r w:rsidRPr="00073727">
        <w:rPr>
          <w:lang w:val="en-US"/>
        </w:rPr>
        <w:t xml:space="preserve">In accordance with ICH M3 R2 </w:t>
      </w:r>
      <w:r w:rsidR="005E1229" w:rsidRPr="00073727">
        <w:rPr>
          <w:lang w:val="en-US"/>
        </w:rPr>
        <w:fldChar w:fldCharType="begin"/>
      </w:r>
      <w:r w:rsidR="00C4514B" w:rsidRPr="00073727">
        <w:rPr>
          <w:lang w:val="en-US"/>
        </w:rPr>
        <w:instrText xml:space="preserve"> ADDIN ZOTERO_ITEM CSL_CITATION {"citationID":"kS5JUXYK","properties":{"formattedCitation":"[2]","plainCitation":"[2]","noteIndex":0},"citationItems":[{"id":874,"uris":["http://zotero.org/groups/4760334/items/9W63VRGX"],"itemData":{"id":874,"type":"paper-conference","container-title":"International conference on harmonisation of technical requirements for registration of pharmaceuticals for human use","title":"ICH: Guidance on nonclinical safety studies for the conduct of human clinical trials and marketing authorization for pharmaceuticals M3 (R2). Version step 4 2009.","URL":"https://database.ich.org/sites/default/files/M3_R2__Guideline.pdf","author":[{"family":"Guideline","given":"International Conference Harmonisation"}],"issued":{"date-parts":[["2009"]]}}}],"schema":"https://github.com/citation-style-language/schema/raw/master/csl-citation.json"} </w:instrText>
      </w:r>
      <w:r w:rsidR="005E1229" w:rsidRPr="00073727">
        <w:rPr>
          <w:lang w:val="en-US"/>
        </w:rPr>
        <w:fldChar w:fldCharType="separate"/>
      </w:r>
      <w:r w:rsidR="00C4514B" w:rsidRPr="00073727">
        <w:rPr>
          <w:noProof/>
          <w:lang w:val="en-US"/>
        </w:rPr>
        <w:t>[2]</w:t>
      </w:r>
      <w:r w:rsidR="005E1229" w:rsidRPr="00073727">
        <w:rPr>
          <w:lang w:val="en-US"/>
        </w:rPr>
        <w:fldChar w:fldCharType="end"/>
      </w:r>
      <w:r w:rsidR="005E1229" w:rsidRPr="00073727">
        <w:rPr>
          <w:lang w:val="en-US"/>
        </w:rPr>
        <w:t xml:space="preserve"> (cite </w:t>
      </w:r>
      <w:r w:rsidRPr="00073727">
        <w:rPr>
          <w:lang w:val="en-US"/>
        </w:rPr>
        <w:t>and specific other), a</w:t>
      </w:r>
      <w:r w:rsidR="0017722C" w:rsidRPr="00073727">
        <w:rPr>
          <w:lang w:val="en-US"/>
        </w:rPr>
        <w:t xml:space="preserve">cute </w:t>
      </w:r>
      <w:r w:rsidR="0017722C" w:rsidRPr="00073727">
        <w:rPr>
          <w:color w:val="000000" w:themeColor="text1"/>
          <w:lang w:val="en-US"/>
        </w:rPr>
        <w:t xml:space="preserve">toxicity will be assessed </w:t>
      </w:r>
      <w:r w:rsidR="0017722C" w:rsidRPr="00073727">
        <w:rPr>
          <w:lang w:val="en-US"/>
        </w:rPr>
        <w:t>using single-dose toxicity studies in two mammalian species (one non-rodent)</w:t>
      </w:r>
      <w:r w:rsidR="00020DEF" w:rsidRPr="00073727">
        <w:rPr>
          <w:lang w:val="en-US"/>
        </w:rPr>
        <w:t>:</w:t>
      </w:r>
    </w:p>
    <w:p w14:paraId="5B05DA74" w14:textId="4CD61A44" w:rsidR="005C4674" w:rsidRPr="00073727" w:rsidRDefault="00073B4C" w:rsidP="00942ED4">
      <w:pPr>
        <w:numPr>
          <w:ilvl w:val="0"/>
          <w:numId w:val="6"/>
        </w:numPr>
        <w:spacing w:line="360" w:lineRule="auto"/>
        <w:rPr>
          <w:rStyle w:val="Hyperlink"/>
          <w:color w:val="auto"/>
          <w:u w:val="none"/>
        </w:rPr>
      </w:pPr>
      <w:r w:rsidRPr="00073727">
        <w:lastRenderedPageBreak/>
        <w:t>Intravenous (IV)</w:t>
      </w:r>
      <w:r w:rsidRPr="00073727">
        <w:rPr>
          <w:lang w:val="en-US"/>
        </w:rPr>
        <w:t xml:space="preserve"> bolus </w:t>
      </w:r>
      <w:r w:rsidR="00167908" w:rsidRPr="00073727">
        <w:rPr>
          <w:lang w:val="en-US"/>
        </w:rPr>
        <w:t xml:space="preserve"> </w:t>
      </w:r>
      <w:r w:rsidRPr="00073727">
        <w:rPr>
          <w:lang w:val="en-US"/>
        </w:rPr>
        <w:t>administration in mice (M+F) at 0, 9.4, 47 and 94 mg/kg</w:t>
      </w:r>
      <w:r w:rsidR="005C4674" w:rsidRPr="00073727">
        <w:t xml:space="preserve"> </w:t>
      </w:r>
      <w:hyperlink r:id="rId18" w:history="1">
        <w:r w:rsidR="005C4674" w:rsidRPr="00073727">
          <w:rPr>
            <w:rStyle w:val="Hyperlink"/>
            <w:i/>
            <w:iCs/>
          </w:rPr>
          <w:t>H0030_</w:t>
        </w:r>
        <w:r w:rsidR="005C4674" w:rsidRPr="00073727">
          <w:rPr>
            <w:rStyle w:val="Hyperlink"/>
            <w:i/>
            <w:iCs/>
            <w:lang w:val="en-US"/>
          </w:rPr>
          <w:t>preclinical_</w:t>
        </w:r>
        <w:r w:rsidR="005C4674" w:rsidRPr="00073727">
          <w:rPr>
            <w:rStyle w:val="Hyperlink"/>
            <w:i/>
            <w:iCs/>
          </w:rPr>
          <w:t>a</w:t>
        </w:r>
        <w:r w:rsidR="005C4674" w:rsidRPr="00073727">
          <w:rPr>
            <w:rStyle w:val="Hyperlink"/>
            <w:i/>
            <w:iCs/>
            <w:lang w:val="en-US"/>
          </w:rPr>
          <w:t>cute_toxicity_study_handbook.pdf</w:t>
        </w:r>
      </w:hyperlink>
      <w:r w:rsidR="001714AF" w:rsidRPr="00073727">
        <w:rPr>
          <w:rStyle w:val="Hyperlink"/>
          <w:i/>
          <w:iCs/>
          <w:lang w:val="en-US"/>
        </w:rPr>
        <w:t>.</w:t>
      </w:r>
    </w:p>
    <w:p w14:paraId="4F2822AF" w14:textId="4CBA7965" w:rsidR="00340E11" w:rsidRPr="00073727" w:rsidRDefault="00167908" w:rsidP="00942ED4">
      <w:pPr>
        <w:pStyle w:val="ListParagraph"/>
        <w:numPr>
          <w:ilvl w:val="0"/>
          <w:numId w:val="6"/>
        </w:numPr>
        <w:spacing w:after="0" w:line="360" w:lineRule="auto"/>
        <w:rPr>
          <w:rStyle w:val="Hyperlink"/>
          <w:rFonts w:cs="Times New Roman"/>
          <w:color w:val="auto"/>
          <w:sz w:val="24"/>
          <w:szCs w:val="24"/>
          <w:u w:val="none"/>
        </w:rPr>
      </w:pPr>
      <w:r w:rsidRPr="00073727">
        <w:rPr>
          <w:rFonts w:cs="Times New Roman"/>
          <w:sz w:val="24"/>
          <w:szCs w:val="24"/>
        </w:rPr>
        <w:t xml:space="preserve">Intravenous (IV) bolus </w:t>
      </w:r>
      <w:r w:rsidR="005C4674" w:rsidRPr="00073727">
        <w:rPr>
          <w:rFonts w:cs="Times New Roman"/>
          <w:sz w:val="24"/>
          <w:szCs w:val="24"/>
        </w:rPr>
        <w:t xml:space="preserve">administration in </w:t>
      </w:r>
      <w:r w:rsidR="00073B4C" w:rsidRPr="00073727">
        <w:rPr>
          <w:rFonts w:cs="Times New Roman"/>
          <w:sz w:val="24"/>
          <w:szCs w:val="24"/>
        </w:rPr>
        <w:t>rhesus monkeys (M+F) at 0, 4.7, 23.5 and 47 mg/k</w:t>
      </w:r>
      <w:r w:rsidR="005C4674" w:rsidRPr="00073727">
        <w:rPr>
          <w:rFonts w:cs="Times New Roman"/>
          <w:sz w:val="24"/>
          <w:szCs w:val="24"/>
        </w:rPr>
        <w:t xml:space="preserve">g </w:t>
      </w:r>
      <w:hyperlink r:id="rId19" w:history="1">
        <w:r w:rsidR="005C4674" w:rsidRPr="00073727">
          <w:rPr>
            <w:rStyle w:val="Hyperlink"/>
            <w:rFonts w:cs="Times New Roman"/>
            <w:i/>
            <w:iCs/>
            <w:sz w:val="24"/>
            <w:szCs w:val="24"/>
          </w:rPr>
          <w:t>H0031_preclinical_acute_toxicity_study_handbook.pdf</w:t>
        </w:r>
      </w:hyperlink>
      <w:r w:rsidR="001714AF" w:rsidRPr="00073727">
        <w:rPr>
          <w:rStyle w:val="Hyperlink"/>
          <w:rFonts w:cs="Times New Roman"/>
          <w:i/>
          <w:iCs/>
          <w:sz w:val="24"/>
          <w:szCs w:val="24"/>
        </w:rPr>
        <w:t>.</w:t>
      </w:r>
    </w:p>
    <w:p w14:paraId="5E26433E" w14:textId="76A9D04B" w:rsidR="0089269D" w:rsidRPr="00073727" w:rsidRDefault="0089269D" w:rsidP="00942ED4">
      <w:pPr>
        <w:spacing w:line="360" w:lineRule="auto"/>
        <w:rPr>
          <w:lang w:val="en-US"/>
        </w:rPr>
      </w:pPr>
      <w:r w:rsidRPr="00073727">
        <w:rPr>
          <w:lang w:val="en-US"/>
        </w:rPr>
        <w:t xml:space="preserve">[ </w:t>
      </w:r>
      <w:r w:rsidRPr="00073727">
        <w:rPr>
          <w:i/>
          <w:iCs/>
          <w:lang w:val="en-US"/>
        </w:rPr>
        <w:t xml:space="preserve">Note to self: we </w:t>
      </w:r>
      <w:r w:rsidR="00DB5ED3" w:rsidRPr="00073727">
        <w:rPr>
          <w:i/>
          <w:iCs/>
          <w:lang w:val="en-US"/>
        </w:rPr>
        <w:t>could</w:t>
      </w:r>
      <w:r w:rsidRPr="00073727">
        <w:rPr>
          <w:i/>
          <w:iCs/>
          <w:lang w:val="en-US"/>
        </w:rPr>
        <w:t xml:space="preserve"> use </w:t>
      </w:r>
      <w:proofErr w:type="spellStart"/>
      <w:r w:rsidRPr="00073727">
        <w:rPr>
          <w:i/>
          <w:iCs/>
          <w:lang w:val="en-US"/>
        </w:rPr>
        <w:t>subcut</w:t>
      </w:r>
      <w:proofErr w:type="spellEnd"/>
      <w:r w:rsidRPr="00073727">
        <w:rPr>
          <w:i/>
          <w:iCs/>
          <w:lang w:val="en-US"/>
        </w:rPr>
        <w:t xml:space="preserve"> instead of IV, and therefore need to adjust the </w:t>
      </w:r>
      <w:proofErr w:type="spellStart"/>
      <w:r w:rsidRPr="00073727">
        <w:rPr>
          <w:i/>
          <w:iCs/>
          <w:lang w:val="en-US"/>
        </w:rPr>
        <w:t>realworld</w:t>
      </w:r>
      <w:proofErr w:type="spellEnd"/>
      <w:r w:rsidRPr="00073727">
        <w:rPr>
          <w:i/>
          <w:iCs/>
          <w:lang w:val="en-US"/>
        </w:rPr>
        <w:t xml:space="preserve"> dosages to those expected – according to FDA “The recommended Herceptin </w:t>
      </w:r>
      <w:proofErr w:type="spellStart"/>
      <w:r w:rsidRPr="00073727">
        <w:rPr>
          <w:i/>
          <w:iCs/>
          <w:lang w:val="en-US"/>
        </w:rPr>
        <w:t>Hylecta</w:t>
      </w:r>
      <w:proofErr w:type="spellEnd"/>
      <w:r w:rsidRPr="00073727">
        <w:rPr>
          <w:i/>
          <w:iCs/>
          <w:lang w:val="en-US"/>
        </w:rPr>
        <w:t xml:space="preserve"> dose is 600 mg/10,000 units (600 mg trastuzumab and 10,000 units hyaluronidase) administered subcutaneously over approximately 2-5 minutes once every three weeks.</w:t>
      </w:r>
      <w:proofErr w:type="gramStart"/>
      <w:r w:rsidRPr="00073727">
        <w:rPr>
          <w:i/>
          <w:iCs/>
          <w:lang w:val="en-US"/>
        </w:rPr>
        <w:t>”</w:t>
      </w:r>
      <w:r w:rsidRPr="00073727">
        <w:rPr>
          <w:lang w:val="en-US"/>
        </w:rPr>
        <w:t xml:space="preserve"> </w:t>
      </w:r>
      <w:r w:rsidR="00DB5ED3" w:rsidRPr="00073727">
        <w:rPr>
          <w:lang w:val="en-US"/>
        </w:rPr>
        <w:t>]</w:t>
      </w:r>
      <w:proofErr w:type="gramEnd"/>
    </w:p>
    <w:p w14:paraId="787DB383" w14:textId="0471A1B6" w:rsidR="00DB5ED3" w:rsidRPr="00073727" w:rsidRDefault="00D34B4A" w:rsidP="00942ED4">
      <w:pPr>
        <w:spacing w:line="360" w:lineRule="auto"/>
        <w:rPr>
          <w:i/>
          <w:iCs/>
          <w:lang w:val="en-US"/>
        </w:rPr>
      </w:pPr>
      <w:r w:rsidRPr="00073727">
        <w:rPr>
          <w:lang w:val="en-US"/>
        </w:rPr>
        <w:t>[</w:t>
      </w:r>
      <w:r w:rsidRPr="00073727">
        <w:rPr>
          <w:i/>
          <w:iCs/>
          <w:lang w:val="en-US"/>
        </w:rPr>
        <w:t xml:space="preserve">Note to self: the dosage for </w:t>
      </w:r>
      <w:proofErr w:type="spellStart"/>
      <w:r w:rsidRPr="00073727">
        <w:rPr>
          <w:i/>
          <w:iCs/>
          <w:lang w:val="en-US"/>
        </w:rPr>
        <w:t>subcut</w:t>
      </w:r>
      <w:proofErr w:type="spellEnd"/>
      <w:r w:rsidRPr="00073727">
        <w:rPr>
          <w:i/>
          <w:iCs/>
          <w:lang w:val="en-US"/>
        </w:rPr>
        <w:t xml:space="preserve"> will proba</w:t>
      </w:r>
      <w:r w:rsidR="0054464F" w:rsidRPr="00073727">
        <w:rPr>
          <w:i/>
          <w:iCs/>
          <w:lang w:val="en-US"/>
        </w:rPr>
        <w:t>b</w:t>
      </w:r>
      <w:r w:rsidRPr="00073727">
        <w:rPr>
          <w:i/>
          <w:iCs/>
          <w:lang w:val="en-US"/>
        </w:rPr>
        <w:t>ly be something like</w:t>
      </w:r>
      <w:r w:rsidR="00DB5ED3" w:rsidRPr="00073727">
        <w:rPr>
          <w:i/>
          <w:iCs/>
          <w:lang w:val="en-US"/>
        </w:rPr>
        <w:t xml:space="preserve"> </w:t>
      </w:r>
      <w:r w:rsidR="0054464F" w:rsidRPr="00073727">
        <w:rPr>
          <w:i/>
          <w:iCs/>
          <w:lang w:val="en-US"/>
        </w:rPr>
        <w:t xml:space="preserve">human; </w:t>
      </w:r>
      <w:r w:rsidRPr="00073727">
        <w:rPr>
          <w:rStyle w:val="Hyperlink"/>
          <w:i/>
          <w:iCs/>
          <w:lang w:val="en-US"/>
        </w:rPr>
        <w:t xml:space="preserve">IV 6mg/kg </w:t>
      </w:r>
      <w:r w:rsidR="00DB5ED3" w:rsidRPr="00073727">
        <w:rPr>
          <w:rStyle w:val="Hyperlink"/>
          <w:i/>
          <w:iCs/>
          <w:lang w:val="en-US"/>
        </w:rPr>
        <w:t xml:space="preserve">= </w:t>
      </w:r>
      <w:r w:rsidR="00DB5ED3" w:rsidRPr="00073727">
        <w:rPr>
          <w:i/>
          <w:iCs/>
          <w:lang w:val="en-US"/>
        </w:rPr>
        <w:t xml:space="preserve">360mg </w:t>
      </w:r>
      <w:r w:rsidRPr="00073727">
        <w:rPr>
          <w:i/>
          <w:iCs/>
          <w:lang w:val="en-US"/>
        </w:rPr>
        <w:t xml:space="preserve">mg </w:t>
      </w:r>
      <w:proofErr w:type="spellStart"/>
      <w:r w:rsidRPr="00073727">
        <w:rPr>
          <w:i/>
          <w:iCs/>
          <w:lang w:val="en-US"/>
        </w:rPr>
        <w:t>subcut</w:t>
      </w:r>
      <w:proofErr w:type="spellEnd"/>
      <w:r w:rsidR="00DB5ED3" w:rsidRPr="00073727">
        <w:rPr>
          <w:i/>
          <w:iCs/>
          <w:lang w:val="en-US"/>
        </w:rPr>
        <w:t xml:space="preserve"> (6mg*60kg) and</w:t>
      </w:r>
      <w:r w:rsidR="0054464F" w:rsidRPr="00073727">
        <w:rPr>
          <w:i/>
          <w:iCs/>
          <w:lang w:val="en-US"/>
        </w:rPr>
        <w:t xml:space="preserve"> mouse;</w:t>
      </w:r>
      <w:r w:rsidR="00DB5ED3" w:rsidRPr="00073727">
        <w:rPr>
          <w:i/>
          <w:iCs/>
          <w:lang w:val="en-US"/>
        </w:rPr>
        <w:t xml:space="preserve"> </w:t>
      </w:r>
      <w:r w:rsidRPr="00073727">
        <w:rPr>
          <w:rStyle w:val="Hyperlink"/>
          <w:i/>
          <w:iCs/>
          <w:lang w:val="en-US"/>
        </w:rPr>
        <w:t>IV 6mg/kg</w:t>
      </w:r>
      <w:r w:rsidR="00DB5ED3" w:rsidRPr="00073727">
        <w:rPr>
          <w:rStyle w:val="Hyperlink"/>
          <w:i/>
          <w:iCs/>
          <w:lang w:val="en-US"/>
        </w:rPr>
        <w:t xml:space="preserve"> =</w:t>
      </w:r>
      <w:r w:rsidRPr="00073727">
        <w:rPr>
          <w:rStyle w:val="Hyperlink"/>
          <w:i/>
          <w:iCs/>
          <w:lang w:val="en-US"/>
        </w:rPr>
        <w:t xml:space="preserve"> 0.</w:t>
      </w:r>
      <w:r w:rsidR="00DB5ED3" w:rsidRPr="00073727">
        <w:rPr>
          <w:rStyle w:val="Hyperlink"/>
          <w:i/>
          <w:iCs/>
          <w:lang w:val="en-US"/>
        </w:rPr>
        <w:t>1</w:t>
      </w:r>
      <w:r w:rsidR="00DB5ED3" w:rsidRPr="00073727">
        <w:rPr>
          <w:i/>
          <w:iCs/>
          <w:lang w:val="en-US"/>
        </w:rPr>
        <w:t>2</w:t>
      </w:r>
      <w:r w:rsidRPr="00073727">
        <w:rPr>
          <w:i/>
          <w:iCs/>
          <w:lang w:val="en-US"/>
        </w:rPr>
        <w:t xml:space="preserve"> mg </w:t>
      </w:r>
      <w:proofErr w:type="spellStart"/>
      <w:r w:rsidRPr="00073727">
        <w:rPr>
          <w:i/>
          <w:iCs/>
          <w:lang w:val="en-US"/>
        </w:rPr>
        <w:t>subcut</w:t>
      </w:r>
      <w:proofErr w:type="spellEnd"/>
      <w:r w:rsidR="00DB5ED3" w:rsidRPr="00073727">
        <w:rPr>
          <w:i/>
          <w:iCs/>
          <w:lang w:val="en-US"/>
        </w:rPr>
        <w:t xml:space="preserve"> (6mg*0.02kg)</w:t>
      </w:r>
      <w:r w:rsidRPr="00073727">
        <w:rPr>
          <w:lang w:val="en-US"/>
        </w:rPr>
        <w:t>]</w:t>
      </w:r>
    </w:p>
    <w:p w14:paraId="3FEA2658" w14:textId="77777777" w:rsidR="00DB5ED3" w:rsidRPr="00073727" w:rsidRDefault="00DB5ED3" w:rsidP="00942ED4">
      <w:pPr>
        <w:spacing w:line="360" w:lineRule="auto"/>
        <w:rPr>
          <w:i/>
          <w:iCs/>
          <w:lang w:val="en-US"/>
        </w:rPr>
      </w:pPr>
    </w:p>
    <w:p w14:paraId="3937CC78" w14:textId="2AB29F3F" w:rsidR="00942519" w:rsidRPr="00073727" w:rsidRDefault="00340E11" w:rsidP="00942ED4">
      <w:pPr>
        <w:spacing w:line="360" w:lineRule="auto"/>
        <w:rPr>
          <w:lang w:val="en-US"/>
        </w:rPr>
      </w:pPr>
      <w:r w:rsidRPr="00073727">
        <w:rPr>
          <w:lang w:val="en-US"/>
        </w:rPr>
        <w:t xml:space="preserve">The presence or absence of toxicity of several different preparations and formulations of </w:t>
      </w:r>
      <w:proofErr w:type="spellStart"/>
      <w:r w:rsidRPr="00073727">
        <w:rPr>
          <w:lang w:val="en-US"/>
        </w:rPr>
        <w:t>hertumig</w:t>
      </w:r>
      <w:proofErr w:type="spellEnd"/>
      <w:r w:rsidRPr="00073727">
        <w:rPr>
          <w:lang w:val="en-US"/>
        </w:rPr>
        <w:t xml:space="preserve"> will be measured based on standard parameters including food consumption, body weight, antibody formation, clinical chemistry and macro- and microscopic examination of standard organs/tissues</w:t>
      </w:r>
      <w:r w:rsidR="005C4674" w:rsidRPr="00073727">
        <w:rPr>
          <w:lang w:val="en-US"/>
        </w:rPr>
        <w:t>.</w:t>
      </w:r>
      <w:r w:rsidR="00185A9A" w:rsidRPr="00073727">
        <w:rPr>
          <w:lang w:val="en-US"/>
        </w:rPr>
        <w:t xml:space="preserve"> </w:t>
      </w:r>
      <w:r w:rsidRPr="00073727">
        <w:rPr>
          <w:lang w:val="en-US"/>
        </w:rPr>
        <w:t>The no-observable-effect-level (NOEL) will be obtained</w:t>
      </w:r>
      <w:r w:rsidR="005C4674" w:rsidRPr="00073727">
        <w:rPr>
          <w:lang w:val="en-US"/>
        </w:rPr>
        <w:t xml:space="preserve"> which,</w:t>
      </w:r>
      <w:r w:rsidRPr="00073727">
        <w:rPr>
          <w:lang w:val="en-US"/>
        </w:rPr>
        <w:t xml:space="preserve"> based on other similar products</w:t>
      </w:r>
      <w:r w:rsidR="005C4674" w:rsidRPr="00073727">
        <w:rPr>
          <w:lang w:val="en-US"/>
        </w:rPr>
        <w:t>,</w:t>
      </w:r>
      <w:r w:rsidRPr="00073727">
        <w:rPr>
          <w:lang w:val="en-US"/>
        </w:rPr>
        <w:t xml:space="preserve"> is expected to be 94 and 47 mg/kg in mice and monkeys, respectively.</w:t>
      </w:r>
      <w:r w:rsidR="00DB5ED3" w:rsidRPr="00073727">
        <w:rPr>
          <w:lang w:val="en-US"/>
        </w:rPr>
        <w:t xml:space="preserve"> </w:t>
      </w:r>
      <w:r w:rsidR="005C4674" w:rsidRPr="00073727">
        <w:t>In these studies</w:t>
      </w:r>
      <w:r w:rsidR="005C4674" w:rsidRPr="00073727">
        <w:rPr>
          <w:lang w:val="en-US"/>
        </w:rPr>
        <w:t xml:space="preserve"> (H0030, H0031)</w:t>
      </w:r>
      <w:r w:rsidR="005C4674" w:rsidRPr="00073727">
        <w:t xml:space="preserve">, both the clinical and parenteral route of administration </w:t>
      </w:r>
      <w:r w:rsidR="005C4674" w:rsidRPr="00073727">
        <w:rPr>
          <w:lang w:val="en-US"/>
        </w:rPr>
        <w:t xml:space="preserve">will </w:t>
      </w:r>
      <w:r w:rsidR="00942519" w:rsidRPr="00073727">
        <w:rPr>
          <w:lang w:val="en-US"/>
        </w:rPr>
        <w:t>be</w:t>
      </w:r>
      <w:r w:rsidR="00942519" w:rsidRPr="00073727">
        <w:t xml:space="preserve"> (</w:t>
      </w:r>
      <w:r w:rsidR="00942519" w:rsidRPr="00073727">
        <w:rPr>
          <w:lang w:val="en-US"/>
        </w:rPr>
        <w:t>IB bolus</w:t>
      </w:r>
      <w:r w:rsidR="00942519" w:rsidRPr="00073727">
        <w:t>). The minimum and maximum dosages (</w:t>
      </w:r>
      <w:r w:rsidR="00942519" w:rsidRPr="00073727">
        <w:rPr>
          <w:lang w:val="en-US"/>
        </w:rPr>
        <w:t>4.7</w:t>
      </w:r>
      <w:r w:rsidR="00942519" w:rsidRPr="00073727">
        <w:t xml:space="preserve"> - </w:t>
      </w:r>
      <w:r w:rsidR="00942519" w:rsidRPr="00073727">
        <w:rPr>
          <w:lang w:val="en-US"/>
        </w:rPr>
        <w:t>47</w:t>
      </w:r>
      <w:r w:rsidR="00942519" w:rsidRPr="00073727">
        <w:t xml:space="preserve"> mg/kg) to be administered over 90 minutes without short-term adverse effects</w:t>
      </w:r>
      <w:r w:rsidR="00942519" w:rsidRPr="00073727">
        <w:rPr>
          <w:lang w:val="en-US"/>
        </w:rPr>
        <w:t>.</w:t>
      </w:r>
      <w:r w:rsidR="00DB5ED3" w:rsidRPr="00073727">
        <w:rPr>
          <w:lang w:val="en-US"/>
        </w:rPr>
        <w:t xml:space="preserve"> </w:t>
      </w:r>
      <w:r w:rsidR="00942519" w:rsidRPr="00073727">
        <w:rPr>
          <w:lang w:val="en-US"/>
        </w:rPr>
        <w:t>Each study will be conducted under GLP (cite).</w:t>
      </w:r>
      <w:r w:rsidR="00DB5ED3" w:rsidRPr="00073727">
        <w:rPr>
          <w:lang w:val="en-US"/>
        </w:rPr>
        <w:t xml:space="preserve"> </w:t>
      </w:r>
      <w:r w:rsidR="00942519" w:rsidRPr="00073727">
        <w:rPr>
          <w:lang w:val="en-US"/>
        </w:rPr>
        <w:t>All subjects will be evaluated for antibody production (cite). Any subjects with detected anti-</w:t>
      </w:r>
      <w:proofErr w:type="spellStart"/>
      <w:r w:rsidR="00942519" w:rsidRPr="00073727">
        <w:rPr>
          <w:lang w:val="en-US"/>
        </w:rPr>
        <w:t>hertumig</w:t>
      </w:r>
      <w:proofErr w:type="spellEnd"/>
      <w:r w:rsidR="00942519" w:rsidRPr="00073727">
        <w:rPr>
          <w:lang w:val="en-US"/>
        </w:rPr>
        <w:t xml:space="preserve"> antibodies will be subsequently assessed for allergic manifestations to quantify risks in further clinical testing</w:t>
      </w:r>
      <w:r w:rsidR="00DB5ED3" w:rsidRPr="00073727">
        <w:rPr>
          <w:lang w:val="en-US"/>
        </w:rPr>
        <w:t xml:space="preserve">. </w:t>
      </w:r>
      <w:r w:rsidR="00942519" w:rsidRPr="00073727">
        <w:rPr>
          <w:lang w:val="en-US"/>
        </w:rPr>
        <w:t xml:space="preserve">Acute toxicity results will be used in combination with the known toxicity for other </w:t>
      </w:r>
      <w:proofErr w:type="spellStart"/>
      <w:r w:rsidR="00942519" w:rsidRPr="00073727">
        <w:rPr>
          <w:lang w:val="en-US"/>
        </w:rPr>
        <w:t>mAbs</w:t>
      </w:r>
      <w:proofErr w:type="spellEnd"/>
      <w:r w:rsidR="00942519" w:rsidRPr="00073727">
        <w:rPr>
          <w:lang w:val="en-US"/>
        </w:rPr>
        <w:t xml:space="preserve"> to assess the potential consequences of human overdose and will be available to support Phase III (cite).</w:t>
      </w:r>
    </w:p>
    <w:p w14:paraId="79D91416" w14:textId="2C905C75" w:rsidR="00942519" w:rsidRPr="00073727" w:rsidRDefault="00942519" w:rsidP="00942ED4">
      <w:pPr>
        <w:spacing w:line="360" w:lineRule="auto"/>
      </w:pPr>
      <w:r w:rsidRPr="00073727">
        <w:rPr>
          <w:lang w:val="en-US"/>
        </w:rPr>
        <w:t xml:space="preserve"> </w:t>
      </w:r>
    </w:p>
    <w:p w14:paraId="43CA3A8A" w14:textId="1D55A64A" w:rsidR="00942519" w:rsidRPr="00073727" w:rsidRDefault="00942519" w:rsidP="00942ED4">
      <w:pPr>
        <w:pStyle w:val="Caption"/>
        <w:keepNext/>
        <w:spacing w:after="0" w:line="360" w:lineRule="auto"/>
      </w:pPr>
      <w:bookmarkStart w:id="10" w:name="_Toc115971161"/>
      <w:r w:rsidRPr="00073727">
        <w:t xml:space="preserve">Table </w:t>
      </w:r>
      <w:r w:rsidRPr="00073727">
        <w:fldChar w:fldCharType="begin"/>
      </w:r>
      <w:r w:rsidRPr="00073727">
        <w:instrText xml:space="preserve"> SEQ Table \* ARABIC </w:instrText>
      </w:r>
      <w:r w:rsidRPr="00073727">
        <w:fldChar w:fldCharType="separate"/>
      </w:r>
      <w:r w:rsidRPr="00073727">
        <w:rPr>
          <w:noProof/>
        </w:rPr>
        <w:t>1</w:t>
      </w:r>
      <w:r w:rsidRPr="00073727">
        <w:fldChar w:fldCharType="end"/>
      </w:r>
      <w:r w:rsidRPr="00073727">
        <w:rPr>
          <w:b/>
          <w:bCs/>
        </w:rPr>
        <w:t xml:space="preserve"> </w:t>
      </w:r>
      <w:r w:rsidRPr="00073727">
        <w:t>Treatment Schedules for Hertu</w:t>
      </w:r>
      <w:proofErr w:type="spellStart"/>
      <w:r w:rsidRPr="00073727">
        <w:rPr>
          <w:lang w:val="en-US"/>
        </w:rPr>
        <w:t>mig</w:t>
      </w:r>
      <w:proofErr w:type="spellEnd"/>
      <w:r w:rsidRPr="00073727">
        <w:rPr>
          <w:lang w:val="en-US"/>
        </w:rPr>
        <w:t xml:space="preserve"> preclinical trials</w:t>
      </w:r>
      <w:bookmarkEnd w:id="10"/>
    </w:p>
    <w:p w14:paraId="33ADC3AB" w14:textId="0129F31B" w:rsidR="001714AF" w:rsidRPr="00073727" w:rsidRDefault="001714AF" w:rsidP="00942ED4">
      <w:pPr>
        <w:spacing w:line="360" w:lineRule="auto"/>
        <w:rPr>
          <w:color w:val="000000"/>
        </w:rPr>
      </w:pPr>
      <w:r w:rsidRPr="00073727">
        <w:rPr>
          <w:noProof/>
          <w:color w:val="000000"/>
        </w:rPr>
        <w:drawing>
          <wp:inline distT="0" distB="0" distL="0" distR="0" wp14:anchorId="3B7B17DB" wp14:editId="0C30558A">
            <wp:extent cx="5731510" cy="129540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31510" cy="1295400"/>
                    </a:xfrm>
                    <a:prstGeom prst="rect">
                      <a:avLst/>
                    </a:prstGeom>
                  </pic:spPr>
                </pic:pic>
              </a:graphicData>
            </a:graphic>
          </wp:inline>
        </w:drawing>
      </w:r>
    </w:p>
    <w:p w14:paraId="415FF9FF" w14:textId="1A068568" w:rsidR="00A74EAF" w:rsidRPr="00073727" w:rsidRDefault="00A74EAF" w:rsidP="00942ED4">
      <w:pPr>
        <w:spacing w:line="360" w:lineRule="auto"/>
        <w:rPr>
          <w:color w:val="000000"/>
        </w:rPr>
      </w:pPr>
    </w:p>
    <w:p w14:paraId="51A32C9B" w14:textId="37604C3C" w:rsidR="00A74EAF" w:rsidRPr="00073727" w:rsidRDefault="00A74EAF" w:rsidP="00942ED4">
      <w:pPr>
        <w:pStyle w:val="Heading2"/>
        <w:spacing w:before="0" w:after="0" w:line="360" w:lineRule="auto"/>
        <w:rPr>
          <w:rFonts w:ascii="Times New Roman" w:hAnsi="Times New Roman"/>
          <w:lang w:val="en-US"/>
        </w:rPr>
      </w:pPr>
      <w:bookmarkStart w:id="11" w:name="_Toc116316417"/>
      <w:r w:rsidRPr="00073727">
        <w:rPr>
          <w:rFonts w:ascii="Times New Roman" w:hAnsi="Times New Roman"/>
          <w:lang w:val="en-US"/>
        </w:rPr>
        <w:lastRenderedPageBreak/>
        <w:t>Dosage</w:t>
      </w:r>
      <w:bookmarkEnd w:id="11"/>
    </w:p>
    <w:p w14:paraId="045972BE" w14:textId="4BB97930" w:rsidR="00A74EAF" w:rsidRPr="00073727" w:rsidRDefault="00A74EAF" w:rsidP="00942ED4">
      <w:pPr>
        <w:pStyle w:val="ListParagraph"/>
        <w:numPr>
          <w:ilvl w:val="0"/>
          <w:numId w:val="12"/>
        </w:numPr>
        <w:spacing w:after="0" w:line="360" w:lineRule="auto"/>
        <w:rPr>
          <w:rFonts w:cs="Times New Roman"/>
          <w:color w:val="000000"/>
          <w:sz w:val="24"/>
          <w:szCs w:val="24"/>
        </w:rPr>
      </w:pPr>
      <w:r w:rsidRPr="00073727">
        <w:rPr>
          <w:rFonts w:cs="Times New Roman"/>
          <w:color w:val="000000"/>
          <w:sz w:val="24"/>
          <w:szCs w:val="24"/>
        </w:rPr>
        <w:t>Reasons why dosage will vary: CPTpham2017ryman_Pharmacokinetics of Monoclonal Antibodies.</w:t>
      </w:r>
    </w:p>
    <w:p w14:paraId="256AF590" w14:textId="168A56F7" w:rsidR="00A74EAF" w:rsidRPr="00073727" w:rsidRDefault="00A74EAF" w:rsidP="00942ED4">
      <w:pPr>
        <w:pStyle w:val="ListParagraph"/>
        <w:numPr>
          <w:ilvl w:val="0"/>
          <w:numId w:val="12"/>
        </w:numPr>
        <w:spacing w:after="0" w:line="360" w:lineRule="auto"/>
        <w:rPr>
          <w:rFonts w:cs="Times New Roman"/>
          <w:color w:val="000000"/>
          <w:sz w:val="24"/>
          <w:szCs w:val="24"/>
        </w:rPr>
      </w:pPr>
      <w:r w:rsidRPr="00073727">
        <w:rPr>
          <w:rFonts w:cs="Times New Roman"/>
          <w:color w:val="000000"/>
          <w:sz w:val="24"/>
          <w:szCs w:val="24"/>
        </w:rPr>
        <w:t>Considerations: NatRevDrugDis2010hansel_The safety and side effects of monoclonal antibodies</w:t>
      </w:r>
    </w:p>
    <w:p w14:paraId="5436F355" w14:textId="0F5FD1B5" w:rsidR="00A74EAF" w:rsidRPr="00073727" w:rsidRDefault="00A74EAF" w:rsidP="00942ED4">
      <w:pPr>
        <w:pStyle w:val="ListParagraph"/>
        <w:numPr>
          <w:ilvl w:val="0"/>
          <w:numId w:val="12"/>
        </w:numPr>
        <w:spacing w:after="0" w:line="360" w:lineRule="auto"/>
        <w:rPr>
          <w:rFonts w:cs="Times New Roman"/>
          <w:color w:val="000000"/>
          <w:sz w:val="24"/>
          <w:szCs w:val="24"/>
        </w:rPr>
      </w:pPr>
      <w:r w:rsidRPr="00073727">
        <w:rPr>
          <w:rFonts w:cs="Times New Roman"/>
          <w:color w:val="000000"/>
          <w:sz w:val="24"/>
          <w:szCs w:val="24"/>
        </w:rPr>
        <w:t>Risk (clinical trial): nejm2006Suntharalingam_Cytokine Storm in a Phase 1 Trial of the Anti-CD28 Monoclonal Antibody TGN1412</w:t>
      </w:r>
    </w:p>
    <w:p w14:paraId="69FCBD61" w14:textId="668BB228" w:rsidR="00A74EAF" w:rsidRPr="00073727" w:rsidRDefault="00A74EAF" w:rsidP="00942ED4">
      <w:pPr>
        <w:pStyle w:val="ListParagraph"/>
        <w:numPr>
          <w:ilvl w:val="0"/>
          <w:numId w:val="12"/>
        </w:numPr>
        <w:spacing w:after="0" w:line="360" w:lineRule="auto"/>
        <w:rPr>
          <w:rFonts w:cs="Times New Roman"/>
          <w:color w:val="000000"/>
          <w:sz w:val="24"/>
          <w:szCs w:val="24"/>
        </w:rPr>
      </w:pPr>
      <w:r w:rsidRPr="00073727">
        <w:rPr>
          <w:rFonts w:cs="Times New Roman"/>
          <w:color w:val="000000"/>
          <w:sz w:val="24"/>
          <w:szCs w:val="24"/>
        </w:rPr>
        <w:t>Main summary: nejm2011_Trastuzumab</w:t>
      </w:r>
    </w:p>
    <w:p w14:paraId="183E96AE" w14:textId="6070AF90" w:rsidR="00A74EAF" w:rsidRPr="00073727" w:rsidRDefault="00A74EAF" w:rsidP="00942ED4">
      <w:pPr>
        <w:pStyle w:val="ListParagraph"/>
        <w:numPr>
          <w:ilvl w:val="0"/>
          <w:numId w:val="12"/>
        </w:numPr>
        <w:spacing w:after="0" w:line="360" w:lineRule="auto"/>
        <w:rPr>
          <w:rFonts w:cs="Times New Roman"/>
          <w:color w:val="000000"/>
          <w:sz w:val="24"/>
          <w:szCs w:val="24"/>
        </w:rPr>
      </w:pPr>
      <w:r w:rsidRPr="00073727">
        <w:rPr>
          <w:rFonts w:cs="Times New Roman"/>
          <w:color w:val="000000"/>
          <w:sz w:val="24"/>
          <w:szCs w:val="24"/>
        </w:rPr>
        <w:t>Main summary: trastuzumab_2011</w:t>
      </w:r>
    </w:p>
    <w:p w14:paraId="5E0C1947" w14:textId="6122C1B6" w:rsidR="00241E41" w:rsidRPr="00073727" w:rsidRDefault="00241E41" w:rsidP="00942ED4">
      <w:pPr>
        <w:pStyle w:val="ListParagraph"/>
        <w:numPr>
          <w:ilvl w:val="0"/>
          <w:numId w:val="12"/>
        </w:numPr>
        <w:spacing w:after="0" w:line="360" w:lineRule="auto"/>
        <w:rPr>
          <w:rFonts w:cs="Times New Roman"/>
          <w:color w:val="000000"/>
          <w:sz w:val="24"/>
          <w:szCs w:val="24"/>
        </w:rPr>
      </w:pPr>
      <w:r w:rsidRPr="00073727">
        <w:rPr>
          <w:rFonts w:cs="Times New Roman"/>
          <w:color w:val="000000"/>
          <w:sz w:val="24"/>
          <w:szCs w:val="24"/>
        </w:rPr>
        <w:t xml:space="preserve">One Nature/NEJM review on </w:t>
      </w:r>
      <w:proofErr w:type="spellStart"/>
      <w:r w:rsidRPr="00073727">
        <w:rPr>
          <w:rFonts w:cs="Times New Roman"/>
          <w:color w:val="000000"/>
          <w:sz w:val="24"/>
          <w:szCs w:val="24"/>
        </w:rPr>
        <w:t>mAb</w:t>
      </w:r>
      <w:proofErr w:type="spellEnd"/>
      <w:r w:rsidRPr="00073727">
        <w:rPr>
          <w:rFonts w:cs="Times New Roman"/>
          <w:color w:val="000000"/>
          <w:sz w:val="24"/>
          <w:szCs w:val="24"/>
        </w:rPr>
        <w:t xml:space="preserve"> dosage.</w:t>
      </w:r>
    </w:p>
    <w:p w14:paraId="131E9016" w14:textId="77777777" w:rsidR="00A74EAF" w:rsidRPr="00073727" w:rsidRDefault="00A74EAF" w:rsidP="00942ED4">
      <w:pPr>
        <w:spacing w:line="360" w:lineRule="auto"/>
        <w:rPr>
          <w:color w:val="000000"/>
          <w:lang w:val="en-US"/>
        </w:rPr>
      </w:pPr>
    </w:p>
    <w:p w14:paraId="51138614" w14:textId="4592E775" w:rsidR="00BA3009" w:rsidRPr="00073727" w:rsidRDefault="00BA3009" w:rsidP="00942ED4">
      <w:pPr>
        <w:spacing w:line="360" w:lineRule="auto"/>
        <w:rPr>
          <w:color w:val="000000"/>
          <w:lang w:val="en-US"/>
        </w:rPr>
      </w:pPr>
      <w:r w:rsidRPr="00073727">
        <w:rPr>
          <w:color w:val="000000"/>
          <w:lang w:val="en-US"/>
        </w:rPr>
        <w:t>Two regulatory documents that provide guidance on selecting the FIH dose are:</w:t>
      </w:r>
    </w:p>
    <w:p w14:paraId="750B8168" w14:textId="77777777" w:rsidR="00BA3009" w:rsidRPr="00073727" w:rsidRDefault="00BA3009" w:rsidP="00942ED4">
      <w:pPr>
        <w:spacing w:line="360" w:lineRule="auto"/>
        <w:rPr>
          <w:color w:val="000000"/>
          <w:lang w:val="en-US"/>
        </w:rPr>
      </w:pPr>
      <w:r w:rsidRPr="00073727">
        <w:rPr>
          <w:color w:val="000000"/>
          <w:lang w:val="en-US"/>
        </w:rPr>
        <w:t>• FDA Guidance for Industry: Estimating the Maximum Safe Starting Dose in Initial Clinical Trials for Therapeutics in Adult Healthy Volunteers, July 2005</w:t>
      </w:r>
    </w:p>
    <w:p w14:paraId="576B556F" w14:textId="2B38C748" w:rsidR="00A74EAF" w:rsidRPr="00073727" w:rsidRDefault="00BA3009" w:rsidP="00942ED4">
      <w:pPr>
        <w:spacing w:line="360" w:lineRule="auto"/>
        <w:rPr>
          <w:color w:val="000000"/>
          <w:lang w:val="en-US"/>
        </w:rPr>
      </w:pPr>
      <w:r w:rsidRPr="00073727">
        <w:rPr>
          <w:color w:val="000000"/>
          <w:lang w:val="en-US"/>
        </w:rPr>
        <w:t>• EMEA/CHMP Draft Guideline on Requirements for First-in-Man Clinical Trials for Potential High-Risk Medicinal Products, March 22, 2007.</w:t>
      </w:r>
    </w:p>
    <w:p w14:paraId="3C41CC14" w14:textId="7AE0D4D4" w:rsidR="00BA3009" w:rsidRPr="00073727" w:rsidRDefault="00BA3009" w:rsidP="00942ED4">
      <w:pPr>
        <w:spacing w:line="360" w:lineRule="auto"/>
        <w:rPr>
          <w:color w:val="000000"/>
          <w:lang w:val="en-US"/>
        </w:rPr>
      </w:pPr>
    </w:p>
    <w:p w14:paraId="43D4CD54" w14:textId="77777777" w:rsidR="00CA2B6A" w:rsidRPr="00073727" w:rsidRDefault="00CA2B6A" w:rsidP="00942ED4">
      <w:pPr>
        <w:spacing w:line="360" w:lineRule="auto"/>
        <w:rPr>
          <w:color w:val="000000"/>
          <w:lang w:val="en-US"/>
        </w:rPr>
      </w:pPr>
      <w:r w:rsidRPr="00073727">
        <w:rPr>
          <w:color w:val="000000"/>
          <w:lang w:val="en-US"/>
        </w:rPr>
        <w:t>Labels of dosage</w:t>
      </w:r>
    </w:p>
    <w:p w14:paraId="55D5E3E2" w14:textId="77777777" w:rsidR="00CA2B6A" w:rsidRPr="00073727" w:rsidRDefault="00CA2B6A" w:rsidP="00942ED4">
      <w:pPr>
        <w:pStyle w:val="ListParagraph"/>
        <w:numPr>
          <w:ilvl w:val="0"/>
          <w:numId w:val="12"/>
        </w:numPr>
        <w:spacing w:after="0" w:line="360" w:lineRule="auto"/>
        <w:rPr>
          <w:rFonts w:cs="Times New Roman"/>
          <w:color w:val="000000"/>
          <w:sz w:val="24"/>
          <w:szCs w:val="24"/>
        </w:rPr>
      </w:pPr>
      <w:r w:rsidRPr="00073727">
        <w:rPr>
          <w:rFonts w:eastAsia="Calibri" w:cs="Times New Roman"/>
          <w:color w:val="141413"/>
          <w:sz w:val="24"/>
          <w:szCs w:val="24"/>
        </w:rPr>
        <w:t>minimal anticipated biological-effective level (MABEL)</w:t>
      </w:r>
    </w:p>
    <w:p w14:paraId="0994432D" w14:textId="77777777" w:rsidR="00CA2B6A" w:rsidRPr="00073727" w:rsidRDefault="00CA2B6A" w:rsidP="00942ED4">
      <w:pPr>
        <w:pStyle w:val="ListParagraph"/>
        <w:numPr>
          <w:ilvl w:val="0"/>
          <w:numId w:val="12"/>
        </w:numPr>
        <w:spacing w:after="0" w:line="360" w:lineRule="auto"/>
        <w:rPr>
          <w:rFonts w:cs="Times New Roman"/>
          <w:color w:val="000000"/>
          <w:sz w:val="24"/>
          <w:szCs w:val="24"/>
        </w:rPr>
      </w:pPr>
      <w:r w:rsidRPr="00073727">
        <w:rPr>
          <w:rFonts w:cs="Times New Roman"/>
          <w:color w:val="000000"/>
          <w:sz w:val="24"/>
          <w:szCs w:val="24"/>
        </w:rPr>
        <w:t>minimum effective dose (MED)</w:t>
      </w:r>
    </w:p>
    <w:p w14:paraId="17E1C24F" w14:textId="77777777" w:rsidR="00CA2B6A" w:rsidRPr="00073727" w:rsidRDefault="00CA2B6A" w:rsidP="00942ED4">
      <w:pPr>
        <w:pStyle w:val="ListParagraph"/>
        <w:numPr>
          <w:ilvl w:val="0"/>
          <w:numId w:val="12"/>
        </w:numPr>
        <w:spacing w:after="0" w:line="360" w:lineRule="auto"/>
        <w:rPr>
          <w:rFonts w:eastAsia="Calibri" w:cs="Times New Roman"/>
          <w:color w:val="141413"/>
          <w:sz w:val="24"/>
          <w:szCs w:val="24"/>
        </w:rPr>
      </w:pPr>
      <w:r w:rsidRPr="00073727">
        <w:rPr>
          <w:rFonts w:eastAsia="Calibri" w:cs="Times New Roman"/>
          <w:color w:val="141413"/>
          <w:sz w:val="24"/>
          <w:szCs w:val="24"/>
        </w:rPr>
        <w:t>pharmacologically active dose (PAD)</w:t>
      </w:r>
    </w:p>
    <w:p w14:paraId="4AE80393" w14:textId="77777777" w:rsidR="00CA2B6A" w:rsidRPr="00073727" w:rsidRDefault="00CA2B6A" w:rsidP="00942ED4">
      <w:pPr>
        <w:pStyle w:val="ListParagraph"/>
        <w:numPr>
          <w:ilvl w:val="0"/>
          <w:numId w:val="12"/>
        </w:numPr>
        <w:spacing w:after="0" w:line="360" w:lineRule="auto"/>
        <w:rPr>
          <w:rFonts w:cs="Times New Roman"/>
          <w:color w:val="000000"/>
          <w:sz w:val="24"/>
          <w:szCs w:val="24"/>
        </w:rPr>
      </w:pPr>
      <w:r w:rsidRPr="00073727">
        <w:rPr>
          <w:rFonts w:eastAsia="Calibri" w:cs="Times New Roman"/>
          <w:color w:val="141413"/>
          <w:sz w:val="24"/>
          <w:szCs w:val="24"/>
        </w:rPr>
        <w:t>no-observed-adverse-effect level (NOAEL)</w:t>
      </w:r>
    </w:p>
    <w:p w14:paraId="41DE050E" w14:textId="77777777" w:rsidR="00CA2B6A" w:rsidRPr="00073727" w:rsidRDefault="00CA2B6A" w:rsidP="00942ED4">
      <w:pPr>
        <w:pStyle w:val="ListParagraph"/>
        <w:numPr>
          <w:ilvl w:val="0"/>
          <w:numId w:val="12"/>
        </w:numPr>
        <w:spacing w:after="0" w:line="360" w:lineRule="auto"/>
        <w:rPr>
          <w:rFonts w:cs="Times New Roman"/>
          <w:color w:val="000000"/>
          <w:sz w:val="24"/>
          <w:szCs w:val="24"/>
        </w:rPr>
      </w:pPr>
      <w:r w:rsidRPr="00073727">
        <w:rPr>
          <w:rFonts w:eastAsia="Calibri" w:cs="Times New Roman"/>
          <w:color w:val="141413"/>
          <w:sz w:val="24"/>
          <w:szCs w:val="24"/>
        </w:rPr>
        <w:t>maximum recommended starting dose (MSRD)</w:t>
      </w:r>
    </w:p>
    <w:p w14:paraId="7D74BE14" w14:textId="77777777" w:rsidR="00CA2B6A" w:rsidRPr="00073727" w:rsidRDefault="00CA2B6A" w:rsidP="00942ED4">
      <w:pPr>
        <w:pStyle w:val="ListParagraph"/>
        <w:numPr>
          <w:ilvl w:val="0"/>
          <w:numId w:val="12"/>
        </w:numPr>
        <w:spacing w:after="0" w:line="360" w:lineRule="auto"/>
        <w:rPr>
          <w:rFonts w:cs="Times New Roman"/>
          <w:color w:val="000000"/>
          <w:sz w:val="24"/>
          <w:szCs w:val="24"/>
        </w:rPr>
      </w:pPr>
      <w:r w:rsidRPr="00073727">
        <w:rPr>
          <w:rFonts w:cs="Times New Roman"/>
          <w:color w:val="000000"/>
          <w:sz w:val="24"/>
          <w:szCs w:val="24"/>
        </w:rPr>
        <w:t>maximum tolerated dose (MTD)</w:t>
      </w:r>
    </w:p>
    <w:p w14:paraId="199CC76B" w14:textId="1D4DE98A" w:rsidR="00CA2B6A" w:rsidRDefault="00CA2B6A" w:rsidP="00942ED4">
      <w:pPr>
        <w:pStyle w:val="ListParagraph"/>
        <w:numPr>
          <w:ilvl w:val="0"/>
          <w:numId w:val="12"/>
        </w:numPr>
        <w:spacing w:after="0" w:line="360" w:lineRule="auto"/>
        <w:rPr>
          <w:rFonts w:cs="Times New Roman"/>
          <w:color w:val="000000"/>
          <w:sz w:val="24"/>
          <w:szCs w:val="24"/>
        </w:rPr>
      </w:pPr>
      <w:r w:rsidRPr="00073727">
        <w:rPr>
          <w:rFonts w:cs="Times New Roman"/>
          <w:color w:val="000000"/>
          <w:sz w:val="24"/>
          <w:szCs w:val="24"/>
        </w:rPr>
        <w:t>maximal feasible dose (MFD)</w:t>
      </w:r>
    </w:p>
    <w:p w14:paraId="5105160B" w14:textId="77777777" w:rsidR="000B5A95" w:rsidRPr="000B5A95" w:rsidRDefault="000B5A95" w:rsidP="000B5A95">
      <w:pPr>
        <w:spacing w:line="360" w:lineRule="auto"/>
        <w:rPr>
          <w:color w:val="000000"/>
        </w:rPr>
      </w:pPr>
    </w:p>
    <w:p w14:paraId="15C8928C" w14:textId="318A3E00" w:rsidR="00DB5ED3" w:rsidRPr="00073727" w:rsidRDefault="00BA3009" w:rsidP="00942ED4">
      <w:pPr>
        <w:spacing w:line="360" w:lineRule="auto"/>
        <w:rPr>
          <w:rFonts w:eastAsia="Calibri"/>
          <w:color w:val="141413"/>
          <w:lang w:val="en-US"/>
        </w:rPr>
      </w:pPr>
      <w:r w:rsidRPr="00073727">
        <w:rPr>
          <w:color w:val="000000"/>
          <w:lang w:val="en-US"/>
        </w:rPr>
        <w:t xml:space="preserve">The </w:t>
      </w:r>
      <w:r w:rsidRPr="00073727">
        <w:rPr>
          <w:rFonts w:eastAsia="Calibri"/>
          <w:color w:val="141413"/>
          <w:lang w:val="en-US"/>
        </w:rPr>
        <w:t xml:space="preserve">maximum recommended starting dose (MSRD) is required as the first step in FIH. </w:t>
      </w:r>
      <w:r w:rsidR="009C7702" w:rsidRPr="00073727">
        <w:rPr>
          <w:rFonts w:eastAsia="Calibri"/>
          <w:color w:val="141413"/>
          <w:lang w:val="en-US"/>
        </w:rPr>
        <w:t>This determination is based on in vitro and in vivo pharmacological, pharmacodynamic, pharmacokinetic, physiological, and toxicological data.</w:t>
      </w:r>
      <w:r w:rsidR="00DB5ED3" w:rsidRPr="00073727">
        <w:rPr>
          <w:rFonts w:eastAsia="Calibri"/>
          <w:color w:val="141413"/>
          <w:lang w:val="en-US"/>
        </w:rPr>
        <w:t xml:space="preserve"> </w:t>
      </w:r>
      <w:r w:rsidR="009C7702" w:rsidRPr="00073727">
        <w:rPr>
          <w:rFonts w:eastAsia="Calibri"/>
          <w:color w:val="141413"/>
          <w:lang w:val="en-US"/>
        </w:rPr>
        <w:t xml:space="preserve">The no-observed-adverse-effect level (NOAEL) dose will be determined from the GLP toxicology study. </w:t>
      </w:r>
      <w:r w:rsidR="00CA2B6A" w:rsidRPr="00073727">
        <w:rPr>
          <w:rFonts w:eastAsia="Calibri"/>
          <w:color w:val="141413"/>
          <w:lang w:val="en-US"/>
        </w:rPr>
        <w:t>P</w:t>
      </w:r>
      <w:r w:rsidR="009C7702" w:rsidRPr="00073727">
        <w:rPr>
          <w:rFonts w:eastAsia="Calibri"/>
          <w:color w:val="141413"/>
          <w:lang w:val="en-US"/>
        </w:rPr>
        <w:t>harmacologically active dose (PAD)</w:t>
      </w:r>
      <w:r w:rsidR="00CA2B6A" w:rsidRPr="00073727">
        <w:rPr>
          <w:rFonts w:eastAsia="Calibri"/>
          <w:color w:val="141413"/>
          <w:lang w:val="en-US"/>
        </w:rPr>
        <w:t xml:space="preserve"> will be </w:t>
      </w:r>
      <w:r w:rsidR="00833CE8" w:rsidRPr="00073727">
        <w:rPr>
          <w:rFonts w:eastAsia="Calibri"/>
          <w:color w:val="141413"/>
          <w:lang w:val="en-US"/>
        </w:rPr>
        <w:t>quantified in</w:t>
      </w:r>
      <w:r w:rsidR="00DB5ED3" w:rsidRPr="00073727">
        <w:rPr>
          <w:rFonts w:eastAsia="Calibri"/>
          <w:color w:val="141413"/>
          <w:lang w:val="en-US"/>
        </w:rPr>
        <w:t xml:space="preserve"> the preclinical trials and based on other similar </w:t>
      </w:r>
      <w:proofErr w:type="spellStart"/>
      <w:r w:rsidR="00DB5ED3" w:rsidRPr="00073727">
        <w:rPr>
          <w:rFonts w:eastAsia="Calibri"/>
          <w:color w:val="141413"/>
          <w:lang w:val="en-US"/>
        </w:rPr>
        <w:t>mAb</w:t>
      </w:r>
      <w:proofErr w:type="spellEnd"/>
      <w:r w:rsidR="00DB5ED3" w:rsidRPr="00073727">
        <w:rPr>
          <w:rFonts w:eastAsia="Calibri"/>
          <w:color w:val="141413"/>
          <w:lang w:val="en-US"/>
        </w:rPr>
        <w:t xml:space="preserve">, defined for the FIH clinical trials. </w:t>
      </w:r>
      <w:r w:rsidR="009C7702" w:rsidRPr="00073727">
        <w:rPr>
          <w:rFonts w:eastAsia="Calibri"/>
          <w:color w:val="141413"/>
          <w:lang w:val="en-US"/>
        </w:rPr>
        <w:t>MSRD is calculated from the NOAEL and needs to be compared with the PAD and the minimal</w:t>
      </w:r>
      <w:r w:rsidR="00CA2B6A" w:rsidRPr="00073727">
        <w:rPr>
          <w:rFonts w:eastAsia="Calibri"/>
          <w:color w:val="141413"/>
          <w:lang w:val="en-US"/>
        </w:rPr>
        <w:t xml:space="preserve"> </w:t>
      </w:r>
      <w:r w:rsidR="009C7702" w:rsidRPr="00073727">
        <w:rPr>
          <w:rFonts w:eastAsia="Calibri"/>
          <w:color w:val="141413"/>
          <w:lang w:val="en-US"/>
        </w:rPr>
        <w:t>anticipated biological-effective</w:t>
      </w:r>
      <w:r w:rsidR="00CA2B6A" w:rsidRPr="00073727">
        <w:rPr>
          <w:rFonts w:eastAsia="Calibri"/>
          <w:color w:val="141413"/>
          <w:lang w:val="en-US"/>
        </w:rPr>
        <w:t xml:space="preserve"> </w:t>
      </w:r>
      <w:r w:rsidR="009C7702" w:rsidRPr="00073727">
        <w:rPr>
          <w:rFonts w:eastAsia="Calibri"/>
          <w:color w:val="141413"/>
          <w:lang w:val="en-US"/>
        </w:rPr>
        <w:t>level (MABEL).</w:t>
      </w:r>
      <w:r w:rsidR="00DB5ED3" w:rsidRPr="00073727">
        <w:rPr>
          <w:rFonts w:eastAsia="Calibri"/>
          <w:color w:val="141413"/>
          <w:lang w:val="en-US"/>
        </w:rPr>
        <w:t xml:space="preserve"> </w:t>
      </w:r>
      <w:r w:rsidR="00833CE8" w:rsidRPr="00073727">
        <w:rPr>
          <w:rFonts w:eastAsia="Calibri"/>
          <w:color w:val="141413"/>
          <w:lang w:val="en-US"/>
        </w:rPr>
        <w:lastRenderedPageBreak/>
        <w:t xml:space="preserve">Lastly, based on the multiple measurements (MABEL, PAD, NOAEL) the lowest estimate will be used </w:t>
      </w:r>
      <w:r w:rsidR="00833CE8" w:rsidRPr="00073727">
        <w:rPr>
          <w:rFonts w:eastAsia="Calibri"/>
          <w:color w:val="141413"/>
          <w:lang w:val="en-US"/>
        </w:rPr>
        <w:fldChar w:fldCharType="begin"/>
      </w:r>
      <w:r w:rsidR="00C4514B" w:rsidRPr="00073727">
        <w:rPr>
          <w:rFonts w:eastAsia="Calibri"/>
          <w:color w:val="141413"/>
          <w:lang w:val="en-US"/>
        </w:rPr>
        <w:instrText xml:space="preserve"> ADDIN ZOTERO_ITEM CSL_CITATION {"citationID":"6Js0jI2Q","properties":{"formattedCitation":"[3]","plainCitation":"[3]","noteIndex":0},"citationItems":[{"id":879,"uris":["http://zotero.org/groups/4760334/items/MV63F5BT"],"itemData":{"id":879,"type":"chapter","abstract":"The use of monoclonal antibodies (mAbs) as therapeutics has provided patients with targeted and effective medicines to treat numerous diseases. Currently, 44 mAbs are approved by the US FDA, and six of these, infliximab (Remicade), etanercept (Enbrel), bevacizumab (Avastin), rituximab (Rituxan), adalimumab (Humira), and trastuzumab (Herceptin) generated sales of over $6billion in 2013, and global sales for the entire sector surpassed $75billion in the same year. As knowledge and experience in the field has grown, the biopharmaceutical industry has greatly accelerated its pursuit of therapeutic mAb products, and presently over 300 mAbs are in clinical development. As this field of therapeutic molecules has evolved and matured, so has the practice of nonclinical safety evaluation supporting their clinical development. The nonclinical development of mAbs is distinct from that of small-molecule therapeutics, with a greater focus on selecting the appropriate species for testing species that show pharmacological activity with the therapeutic mAb. Guidance documents from international and national regulatory authorities have set the stage for the philosophy and principles behind nonclinical safety evaluation, emphasizing that a case-by-case approach is necessary for mAb development. This case-by-case approach takes into account the disciplines of pharmacology, pharmacokinetics, and toxicology. Following a brief introduction to antibody history, structure and function, this chapter will summarize the general principles and practice of nonclinical safety evaluation of therapeutic mAbs.","container-title":"A Comprehensive Guide to Toxicology in Nonclinical Drug Development (Second Edition)","edition":"Second Edition","event-place":"Boston","ISBN":"978-0-12-803620-4","note":"DOI: https://doi.org/10.1016/B978-0-12-803620-4.00023-2","page":"617-645","publisher":"Academic Press","publisher-place":"Boston","title":"Chapter 23 - Preclinical Development of Monoclonal Antibodies","URL":"https://www.sciencedirect.com/science/article/pii/B9780128036204000232","editor":[{"family":"Faqi","given":"Ali Said"}],"author":[{"family":"Meyer-Tamaki","given":"K. B."}],"issued":{"date-parts":[["2017"]]}}}],"schema":"https://github.com/citation-style-language/schema/raw/master/csl-citation.json"} </w:instrText>
      </w:r>
      <w:r w:rsidR="00833CE8" w:rsidRPr="00073727">
        <w:rPr>
          <w:rFonts w:eastAsia="Calibri"/>
          <w:color w:val="141413"/>
          <w:lang w:val="en-US"/>
        </w:rPr>
        <w:fldChar w:fldCharType="separate"/>
      </w:r>
      <w:r w:rsidR="00C4514B" w:rsidRPr="00073727">
        <w:rPr>
          <w:rFonts w:eastAsia="Calibri"/>
          <w:noProof/>
          <w:color w:val="141413"/>
          <w:lang w:val="en-US"/>
        </w:rPr>
        <w:t>[3]</w:t>
      </w:r>
      <w:r w:rsidR="00833CE8" w:rsidRPr="00073727">
        <w:rPr>
          <w:rFonts w:eastAsia="Calibri"/>
          <w:color w:val="141413"/>
          <w:lang w:val="en-US"/>
        </w:rPr>
        <w:fldChar w:fldCharType="end"/>
      </w:r>
      <w:r w:rsidR="00833CE8" w:rsidRPr="00073727">
        <w:rPr>
          <w:rFonts w:eastAsia="Calibri"/>
          <w:color w:val="141413"/>
          <w:lang w:val="en-US"/>
        </w:rPr>
        <w:t>.</w:t>
      </w:r>
      <w:r w:rsidR="00DB5ED3" w:rsidRPr="00073727">
        <w:rPr>
          <w:rFonts w:eastAsia="Calibri"/>
          <w:color w:val="141413"/>
          <w:lang w:val="en-US"/>
        </w:rPr>
        <w:t xml:space="preserve"> </w:t>
      </w:r>
      <w:r w:rsidR="00D87F00" w:rsidRPr="00073727">
        <w:rPr>
          <w:color w:val="000000"/>
          <w:lang w:val="en-US"/>
        </w:rPr>
        <w:t xml:space="preserve">After IV administration the initial plasma concentration is typically approximately 50mL/kg. The </w:t>
      </w:r>
      <w:proofErr w:type="spellStart"/>
      <w:r w:rsidR="00D87F00" w:rsidRPr="00073727">
        <w:rPr>
          <w:color w:val="000000"/>
          <w:lang w:val="en-US"/>
        </w:rPr>
        <w:t>mAb</w:t>
      </w:r>
      <w:proofErr w:type="spellEnd"/>
      <w:r w:rsidR="00D87F00" w:rsidRPr="00073727">
        <w:rPr>
          <w:color w:val="000000"/>
          <w:lang w:val="en-US"/>
        </w:rPr>
        <w:t xml:space="preserve"> is initially confined to circulation in the vasculature with eventual extravasation into tissue</w:t>
      </w:r>
      <w:r w:rsidR="000C3424" w:rsidRPr="00073727">
        <w:rPr>
          <w:color w:val="000000"/>
          <w:lang w:val="en-US"/>
        </w:rPr>
        <w:t xml:space="preserve"> </w:t>
      </w:r>
      <w:r w:rsidR="00DB5ED3" w:rsidRPr="00073727">
        <w:rPr>
          <w:color w:val="000000"/>
          <w:lang w:val="en-US"/>
        </w:rPr>
        <w:fldChar w:fldCharType="begin"/>
      </w:r>
      <w:r w:rsidR="00C4514B" w:rsidRPr="00073727">
        <w:rPr>
          <w:color w:val="000000"/>
          <w:lang w:val="en-US"/>
        </w:rPr>
        <w:instrText xml:space="preserve"> ADDIN ZOTERO_ITEM CSL_CITATION {"citationID":"ZTdCHa4A","properties":{"formattedCitation":"[3]\\uc0\\u8211{}[5]","plainCitation":"[3]–[5]","noteIndex":0},"citationItems":[{"id":879,"uris":["http://zotero.org/groups/4760334/items/MV63F5BT"],"itemData":{"id":879,"type":"chapter","abstract":"The use of monoclonal antibodies (mAbs) as therapeutics has provided patients with targeted and effective medicines to treat numerous diseases. Currently, 44 mAbs are approved by the US FDA, and six of these, infliximab (Remicade), etanercept (Enbrel), bevacizumab (Avastin), rituximab (Rituxan), adalimumab (Humira), and trastuzumab (Herceptin) generated sales of over $6billion in 2013, and global sales for the entire sector surpassed $75billion in the same year. As knowledge and experience in the field has grown, the biopharmaceutical industry has greatly accelerated its pursuit of therapeutic mAb products, and presently over 300 mAbs are in clinical development. As this field of therapeutic molecules has evolved and matured, so has the practice of nonclinical safety evaluation supporting their clinical development. The nonclinical development of mAbs is distinct from that of small-molecule therapeutics, with a greater focus on selecting the appropriate species for testing species that show pharmacological activity with the therapeutic mAb. Guidance documents from international and national regulatory authorities have set the stage for the philosophy and principles behind nonclinical safety evaluation, emphasizing that a case-by-case approach is necessary for mAb development. This case-by-case approach takes into account the disciplines of pharmacology, pharmacokinetics, and toxicology. Following a brief introduction to antibody history, structure and function, this chapter will summarize the general principles and practice of nonclinical safety evaluation of therapeutic mAbs.","container-title":"A Comprehensive Guide to Toxicology in Nonclinical Drug Development (Second Edition)","edition":"Second Edition","event-place":"Boston","ISBN":"978-0-12-803620-4","note":"DOI: https://doi.org/10.1016/B978-0-12-803620-4.00023-2","page":"617-645","publisher":"Academic Press","publisher-place":"Boston","title":"Chapter 23 - Preclinical Development of Monoclonal Antibodies","URL":"https://www.sciencedirect.com/science/article/pii/B9780128036204000232","editor":[{"family":"Faqi","given":"Ali Said"}],"author":[{"family":"Meyer-Tamaki","given":"K. B."}],"issued":{"date-parts":[["2017"]]}}},{"id":881,"uris":["http://zotero.org/groups/4760334/items/3B9EFSSB"],"itemData":{"id":881,"type":"article-journal","abstract":"The U.S. Food and Drug administration (FDA) has approved several polyclonal antibody preparations and at least 18 monoclonal antibody preparations (antibodies, antibody fragments, antibody fusion proteins, etc.). These drugs, which may be considered as a diverse group of therapeutic proteins, are associated with several interesting pharmacokinetic characteristics. Saturable binding with target antigen may influence antibody disposition, potentially leading to nonlinear distribution and elimination. Independent of antigen interaction, concentration‐dependent elimination may be expected for IgG antibodies, due to the influence of the Brambell receptor, FcRn, which protects IgG from catabolism. Antibody administration may induce the development of an endogenous antibody response, which may alter the pharmacokinetics of the therapeutic antibody. Additionally, the pharmacodynamics of antibodies are also complex; these drugs may be used for a wide array of therapeutic applications, and effects may be achieved by a variety of mechanisms. This article provides an overview of many of the complexities associated with antibody pharmacokinetics and pharmacodynamics. © 2004 Wiley-Liss, Inc. and the American Pharmacists Association J Pharm Sci 93:2645–2668, 2004","container-title":"Journal of Pharmaceutical Sciences","DOI":"https://doi.org/10.1002/jps.20178","ISSN":"0022-3549","issue":"11","page":"2645-2668","title":"Antibody Pharmacokinetics and Pharmacodynamics","volume":"93","author":[{"family":"Lobo","given":"Evelyn D."},{"family":"Hansen","given":"Ryan J."},{"family":"Balthasar","given":"Joseph P."}],"issued":{"date-parts":[["2004"]]}}},{"id":880,"uris":["http://zotero.org/groups/4760334/items/ELDL4D6H"],"itemData":{"id":880,"type":"article-journal","abstract":"Monoclonal antibodies (mAbs) have complex pharmacology; pharmacokinetics and pharmacodynamics depend on mAb structure and target antigen. mAbs targeting soluble antigens often exhibit linear phar-macokinetic behavior, whereas mAbs targeting cell surface antigens frequently exhibit nonlinear behavior due to receptor-mediated clearance. Where nonlinear kinetics exist, clearance can change due to receptor loss following repeated dosing and/or disease severity. mAb pharmacodynamics are often indirect, with delayed clinically relevant outcomes. This behavior provides challenges during clinical development; studies must be carefully planned to account for complexities specific to each agent.","container-title":"BioDrugs","DOI":"10.2165/11530560-000000000-00000","ISSN":"1179-190X","issue":"1","journalAbbreviation":"BioDrugs","page":"23-39","title":"Pharmacokinetics and Pharmacodynamics of Monoclonal Antibodies","volume":"24","author":[{"family":"Mould","given":"Diane R."},{"family":"Green","given":"Bruce"}],"issued":{"date-parts":[["2010",2,1]]}}}],"schema":"https://github.com/citation-style-language/schema/raw/master/csl-citation.json"} </w:instrText>
      </w:r>
      <w:r w:rsidR="00DB5ED3" w:rsidRPr="00073727">
        <w:rPr>
          <w:color w:val="000000"/>
          <w:lang w:val="en-US"/>
        </w:rPr>
        <w:fldChar w:fldCharType="separate"/>
      </w:r>
      <w:r w:rsidR="00C4514B" w:rsidRPr="00073727">
        <w:rPr>
          <w:color w:val="000000"/>
          <w:lang w:val="en-US"/>
        </w:rPr>
        <w:t>[3]–[5]</w:t>
      </w:r>
      <w:r w:rsidR="00DB5ED3" w:rsidRPr="00073727">
        <w:rPr>
          <w:color w:val="000000"/>
          <w:lang w:val="en-US"/>
        </w:rPr>
        <w:fldChar w:fldCharType="end"/>
      </w:r>
      <w:r w:rsidR="00DB5ED3" w:rsidRPr="00073727">
        <w:rPr>
          <w:color w:val="000000"/>
          <w:lang w:val="en-US"/>
        </w:rPr>
        <w:t>.</w:t>
      </w:r>
    </w:p>
    <w:p w14:paraId="4DE0A2E2" w14:textId="77777777" w:rsidR="00DB5ED3" w:rsidRPr="00073727" w:rsidRDefault="00DB5ED3" w:rsidP="00942ED4">
      <w:pPr>
        <w:spacing w:line="360" w:lineRule="auto"/>
        <w:rPr>
          <w:color w:val="000000"/>
          <w:lang w:val="en-US"/>
        </w:rPr>
      </w:pPr>
    </w:p>
    <w:p w14:paraId="5FF61AFD" w14:textId="7ADC8FBC" w:rsidR="00223EDF" w:rsidRPr="00073727" w:rsidRDefault="00223EDF" w:rsidP="00942ED4">
      <w:pPr>
        <w:pStyle w:val="Heading2"/>
        <w:spacing w:before="0" w:after="0" w:line="360" w:lineRule="auto"/>
        <w:rPr>
          <w:rFonts w:ascii="Times New Roman" w:hAnsi="Times New Roman"/>
        </w:rPr>
      </w:pPr>
      <w:bookmarkStart w:id="12" w:name="_Toc116316418"/>
      <w:r w:rsidRPr="00073727">
        <w:rPr>
          <w:rFonts w:ascii="Times New Roman" w:hAnsi="Times New Roman"/>
          <w:lang w:val="en-US"/>
        </w:rPr>
        <w:t>Guidance documents used</w:t>
      </w:r>
      <w:bookmarkEnd w:id="12"/>
      <w:r w:rsidRPr="00073727">
        <w:rPr>
          <w:rFonts w:ascii="Times New Roman" w:hAnsi="Times New Roman"/>
          <w:lang w:val="en-US"/>
        </w:rPr>
        <w:t xml:space="preserve"> </w:t>
      </w:r>
    </w:p>
    <w:p w14:paraId="7F764EFF" w14:textId="31344EBF" w:rsidR="00223EDF" w:rsidRPr="00073727" w:rsidRDefault="00DB5ED3" w:rsidP="00942ED4">
      <w:pPr>
        <w:pStyle w:val="ListParagraph"/>
        <w:numPr>
          <w:ilvl w:val="0"/>
          <w:numId w:val="2"/>
        </w:numPr>
        <w:spacing w:after="0" w:line="360" w:lineRule="auto"/>
        <w:rPr>
          <w:rFonts w:cs="Times New Roman"/>
          <w:color w:val="222222"/>
          <w:sz w:val="24"/>
          <w:szCs w:val="24"/>
        </w:rPr>
      </w:pPr>
      <w:hyperlink r:id="rId21" w:history="1">
        <w:r w:rsidR="00223EDF" w:rsidRPr="00073727">
          <w:rPr>
            <w:rStyle w:val="Hyperlink"/>
            <w:rFonts w:cs="Times New Roman"/>
            <w:sz w:val="24"/>
            <w:szCs w:val="24"/>
          </w:rPr>
          <w:t>An introduction to little-known aspects of nonclinical regulatory writing</w:t>
        </w:r>
      </w:hyperlink>
      <w:r w:rsidR="00223EDF" w:rsidRPr="00073727">
        <w:rPr>
          <w:rFonts w:cs="Times New Roman"/>
          <w:color w:val="222222"/>
          <w:sz w:val="24"/>
          <w:szCs w:val="24"/>
        </w:rPr>
        <w:t xml:space="preserve">; </w:t>
      </w:r>
      <w:proofErr w:type="spellStart"/>
      <w:r w:rsidR="00223EDF" w:rsidRPr="00073727">
        <w:rPr>
          <w:rFonts w:cs="Times New Roman"/>
          <w:color w:val="222222"/>
          <w:sz w:val="24"/>
          <w:szCs w:val="24"/>
        </w:rPr>
        <w:t>Nürnberg</w:t>
      </w:r>
      <w:proofErr w:type="spellEnd"/>
      <w:r w:rsidR="00223EDF" w:rsidRPr="00073727">
        <w:rPr>
          <w:rFonts w:cs="Times New Roman"/>
          <w:color w:val="222222"/>
          <w:sz w:val="24"/>
          <w:szCs w:val="24"/>
        </w:rPr>
        <w:t xml:space="preserve"> and Pierre </w:t>
      </w:r>
      <w:r w:rsidR="00223EDF" w:rsidRPr="00073727">
        <w:rPr>
          <w:rFonts w:cs="Times New Roman"/>
          <w:color w:val="222222"/>
          <w:sz w:val="24"/>
          <w:szCs w:val="24"/>
        </w:rPr>
        <w:fldChar w:fldCharType="begin"/>
      </w:r>
      <w:r w:rsidR="00C4514B" w:rsidRPr="00073727">
        <w:rPr>
          <w:rFonts w:cs="Times New Roman"/>
          <w:color w:val="222222"/>
          <w:sz w:val="24"/>
          <w:szCs w:val="24"/>
        </w:rPr>
        <w:instrText xml:space="preserve"> ADDIN ZOTERO_ITEM CSL_CITATION {"citationID":"XghyXGX6","properties":{"formattedCitation":"[1]","plainCitation":"[1]","noteIndex":0},"citationItems":[{"id":868,"uris":["http://zotero.org/groups/4760334/items/JX6SB6IV"],"itemData":{"id":868,"type":"article-journal","container-title":"Medical Writing","note":"ISBN: 2047-4814\npublisher: European Medical Writers Association (EMWA)","page":"9-19","title":"An introduction to little-known aspects of nonclinical regulatory writing","volume":"26","author":[{"family":"Nürnberg","given":"Alexander"},{"family":"Pierre","given":"Hélène"}],"issued":{"date-parts":[["2017"]]}}}],"schema":"https://github.com/citation-style-language/schema/raw/master/csl-citation.json"} </w:instrText>
      </w:r>
      <w:r w:rsidR="00223EDF" w:rsidRPr="00073727">
        <w:rPr>
          <w:rFonts w:cs="Times New Roman"/>
          <w:color w:val="222222"/>
          <w:sz w:val="24"/>
          <w:szCs w:val="24"/>
        </w:rPr>
        <w:fldChar w:fldCharType="separate"/>
      </w:r>
      <w:r w:rsidR="00C4514B" w:rsidRPr="00073727">
        <w:rPr>
          <w:rFonts w:cs="Times New Roman"/>
          <w:noProof/>
          <w:color w:val="222222"/>
          <w:sz w:val="24"/>
          <w:szCs w:val="24"/>
        </w:rPr>
        <w:t>[1]</w:t>
      </w:r>
      <w:r w:rsidR="00223EDF" w:rsidRPr="00073727">
        <w:rPr>
          <w:rFonts w:cs="Times New Roman"/>
          <w:color w:val="222222"/>
          <w:sz w:val="24"/>
          <w:szCs w:val="24"/>
        </w:rPr>
        <w:fldChar w:fldCharType="end"/>
      </w:r>
      <w:r w:rsidR="00223EDF" w:rsidRPr="00073727">
        <w:rPr>
          <w:rFonts w:cs="Times New Roman"/>
          <w:color w:val="222222"/>
          <w:sz w:val="24"/>
          <w:szCs w:val="24"/>
        </w:rPr>
        <w:t>.</w:t>
      </w:r>
    </w:p>
    <w:p w14:paraId="78C18CD6" w14:textId="407EF91A" w:rsidR="00223EDF" w:rsidRPr="00073727" w:rsidRDefault="00223EDF" w:rsidP="00942ED4">
      <w:pPr>
        <w:pStyle w:val="ListParagraph"/>
        <w:numPr>
          <w:ilvl w:val="0"/>
          <w:numId w:val="2"/>
        </w:numPr>
        <w:spacing w:after="0" w:line="360" w:lineRule="auto"/>
        <w:rPr>
          <w:rFonts w:cs="Times New Roman"/>
          <w:sz w:val="24"/>
          <w:szCs w:val="24"/>
        </w:rPr>
      </w:pPr>
      <w:r w:rsidRPr="00073727">
        <w:rPr>
          <w:rFonts w:cs="Times New Roman"/>
          <w:sz w:val="24"/>
          <w:szCs w:val="24"/>
        </w:rPr>
        <w:t>European Comission:</w:t>
      </w:r>
      <w:r w:rsidRPr="00073727">
        <w:rPr>
          <w:rFonts w:cs="Times New Roman"/>
          <w:b/>
          <w:i/>
          <w:sz w:val="24"/>
          <w:szCs w:val="24"/>
        </w:rPr>
        <w:t xml:space="preserve"> EudraLex Volume 10 clinical trials guidelines</w:t>
      </w:r>
      <w:r w:rsidRPr="00073727">
        <w:rPr>
          <w:rFonts w:cs="Times New Roman"/>
          <w:sz w:val="24"/>
          <w:szCs w:val="24"/>
        </w:rPr>
        <w:t xml:space="preserve"> (</w:t>
      </w:r>
      <w:hyperlink r:id="rId22" w:history="1">
        <w:r w:rsidRPr="00073727">
          <w:rPr>
            <w:rStyle w:val="Hyperlink"/>
            <w:rFonts w:cs="Times New Roman"/>
            <w:sz w:val="24"/>
            <w:szCs w:val="24"/>
          </w:rPr>
          <w:t>https://ec.europa.eu/health/documents/eudralex/vol-10_en</w:t>
        </w:r>
      </w:hyperlink>
      <w:r w:rsidRPr="00073727">
        <w:rPr>
          <w:rFonts w:cs="Times New Roman"/>
          <w:sz w:val="24"/>
          <w:szCs w:val="24"/>
        </w:rPr>
        <w:t xml:space="preserve">) </w:t>
      </w:r>
      <w:r w:rsidRPr="00073727">
        <w:rPr>
          <w:rFonts w:cs="Times New Roman"/>
          <w:sz w:val="24"/>
          <w:szCs w:val="24"/>
        </w:rPr>
        <w:fldChar w:fldCharType="begin"/>
      </w:r>
      <w:r w:rsidR="001F04BE" w:rsidRPr="00073727">
        <w:rPr>
          <w:rFonts w:cs="Times New Roman"/>
          <w:sz w:val="24"/>
          <w:szCs w:val="24"/>
        </w:rPr>
        <w:instrText xml:space="preserve"> ADDIN ZOTERO_ITEM CSL_CITATION {"citationID":"AywywvGj","properties":{"formattedCitation":"[6]","plainCitation":"[6]","noteIndex":0},"citationItems":[{"id":870,"uris":["http://zotero.org/groups/4760334/items/NQR5PXJZ"],"itemData":{"id":870,"type":"document","title":"EudraLex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073727">
        <w:rPr>
          <w:rFonts w:cs="Times New Roman"/>
          <w:sz w:val="24"/>
          <w:szCs w:val="24"/>
        </w:rPr>
        <w:fldChar w:fldCharType="separate"/>
      </w:r>
      <w:r w:rsidR="001F04BE" w:rsidRPr="00073727">
        <w:rPr>
          <w:rFonts w:cs="Times New Roman"/>
          <w:noProof/>
          <w:sz w:val="24"/>
          <w:szCs w:val="24"/>
        </w:rPr>
        <w:t>[6]</w:t>
      </w:r>
      <w:r w:rsidRPr="00073727">
        <w:rPr>
          <w:rFonts w:cs="Times New Roman"/>
          <w:sz w:val="24"/>
          <w:szCs w:val="24"/>
        </w:rPr>
        <w:fldChar w:fldCharType="end"/>
      </w:r>
      <w:r w:rsidRPr="00073727">
        <w:rPr>
          <w:rFonts w:cs="Times New Roman"/>
          <w:sz w:val="24"/>
          <w:szCs w:val="24"/>
        </w:rPr>
        <w:t>.</w:t>
      </w:r>
    </w:p>
    <w:p w14:paraId="3444E5DA" w14:textId="0838E0AD" w:rsidR="00223EDF" w:rsidRPr="00073727" w:rsidRDefault="00223EDF" w:rsidP="00942ED4">
      <w:pPr>
        <w:pStyle w:val="ListParagraph"/>
        <w:numPr>
          <w:ilvl w:val="0"/>
          <w:numId w:val="2"/>
        </w:numPr>
        <w:spacing w:after="0" w:line="360" w:lineRule="auto"/>
        <w:rPr>
          <w:rFonts w:cs="Times New Roman"/>
          <w:sz w:val="24"/>
          <w:szCs w:val="24"/>
        </w:rPr>
      </w:pPr>
      <w:r w:rsidRPr="00073727">
        <w:rPr>
          <w:rFonts w:cs="Times New Roman"/>
          <w:sz w:val="24"/>
          <w:szCs w:val="24"/>
        </w:rPr>
        <w:t xml:space="preserve">European </w:t>
      </w:r>
      <w:proofErr w:type="spellStart"/>
      <w:r w:rsidRPr="00073727">
        <w:rPr>
          <w:rFonts w:cs="Times New Roman"/>
          <w:sz w:val="24"/>
          <w:szCs w:val="24"/>
        </w:rPr>
        <w:t>Comission</w:t>
      </w:r>
      <w:proofErr w:type="spellEnd"/>
      <w:r w:rsidRPr="00073727">
        <w:rPr>
          <w:rFonts w:cs="Times New Roman"/>
          <w:sz w:val="24"/>
          <w:szCs w:val="24"/>
        </w:rPr>
        <w:t>:</w:t>
      </w:r>
      <w:r w:rsidRPr="00073727">
        <w:rPr>
          <w:rFonts w:cs="Times New Roman"/>
          <w:b/>
          <w:i/>
          <w:sz w:val="24"/>
          <w:szCs w:val="24"/>
        </w:rPr>
        <w:t xml:space="preserve"> EudraLex Volume 10 clinical trials guidelines</w:t>
      </w:r>
      <w:r w:rsidRPr="00073727">
        <w:rPr>
          <w:rFonts w:cs="Times New Roman"/>
          <w:sz w:val="24"/>
          <w:szCs w:val="24"/>
        </w:rPr>
        <w:t xml:space="preserve">: </w:t>
      </w:r>
      <w:r w:rsidRPr="00073727">
        <w:rPr>
          <w:rFonts w:cs="Times New Roman"/>
          <w:b/>
          <w:i/>
          <w:sz w:val="24"/>
          <w:szCs w:val="24"/>
        </w:rPr>
        <w:t>Guidance documents containing the common provisions on the conduct of GCP inspections by competent authorities of the different member states; To guidance for the conduct of good clinical practice inspections 2008</w:t>
      </w:r>
      <w:r w:rsidRPr="00073727">
        <w:rPr>
          <w:rFonts w:cs="Times New Roman"/>
          <w:sz w:val="24"/>
          <w:szCs w:val="24"/>
        </w:rPr>
        <w:t xml:space="preserve">. (see chapter 4 </w:t>
      </w:r>
      <w:hyperlink r:id="rId23" w:history="1">
        <w:r w:rsidRPr="00073727">
          <w:rPr>
            <w:rStyle w:val="Hyperlink"/>
            <w:rFonts w:cs="Times New Roman"/>
            <w:sz w:val="24"/>
            <w:szCs w:val="24"/>
          </w:rPr>
          <w:t>https://health.ec.europa.eu/medicinal-products/eudralex/eudralex-volume-10_en</w:t>
        </w:r>
      </w:hyperlink>
      <w:r w:rsidRPr="00073727">
        <w:rPr>
          <w:rFonts w:cs="Times New Roman"/>
          <w:sz w:val="24"/>
          <w:szCs w:val="24"/>
        </w:rPr>
        <w:t xml:space="preserve">) </w:t>
      </w:r>
      <w:r w:rsidRPr="00073727">
        <w:rPr>
          <w:rFonts w:cs="Times New Roman"/>
          <w:sz w:val="24"/>
          <w:szCs w:val="24"/>
        </w:rPr>
        <w:fldChar w:fldCharType="begin"/>
      </w:r>
      <w:r w:rsidR="001F04BE" w:rsidRPr="00073727">
        <w:rPr>
          <w:rFonts w:cs="Times New Roman"/>
          <w:sz w:val="24"/>
          <w:szCs w:val="24"/>
        </w:rPr>
        <w:instrText xml:space="preserve"> ADDIN ZOTERO_ITEM CSL_CITATION {"citationID":"XWWgrcIZ","properties":{"formattedCitation":"[6]","plainCitation":"[6]","noteIndex":0},"citationItems":[{"id":870,"uris":["http://zotero.org/groups/4760334/items/NQR5PXJZ"],"itemData":{"id":870,"type":"document","title":"EudraLex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073727">
        <w:rPr>
          <w:rFonts w:cs="Times New Roman"/>
          <w:sz w:val="24"/>
          <w:szCs w:val="24"/>
        </w:rPr>
        <w:fldChar w:fldCharType="separate"/>
      </w:r>
      <w:r w:rsidR="001F04BE" w:rsidRPr="00073727">
        <w:rPr>
          <w:rFonts w:cs="Times New Roman"/>
          <w:noProof/>
          <w:sz w:val="24"/>
          <w:szCs w:val="24"/>
        </w:rPr>
        <w:t>[6]</w:t>
      </w:r>
      <w:r w:rsidRPr="00073727">
        <w:rPr>
          <w:rFonts w:cs="Times New Roman"/>
          <w:sz w:val="24"/>
          <w:szCs w:val="24"/>
        </w:rPr>
        <w:fldChar w:fldCharType="end"/>
      </w:r>
      <w:r w:rsidRPr="00073727">
        <w:rPr>
          <w:rFonts w:cs="Times New Roman"/>
          <w:sz w:val="24"/>
          <w:szCs w:val="24"/>
        </w:rPr>
        <w:t>.</w:t>
      </w:r>
    </w:p>
    <w:p w14:paraId="5232BCA1" w14:textId="77777777" w:rsidR="00223EDF" w:rsidRPr="00073727" w:rsidRDefault="00223EDF" w:rsidP="00942ED4">
      <w:pPr>
        <w:pStyle w:val="ListParagraph"/>
        <w:numPr>
          <w:ilvl w:val="0"/>
          <w:numId w:val="2"/>
        </w:numPr>
        <w:spacing w:after="0" w:line="360" w:lineRule="auto"/>
        <w:rPr>
          <w:rFonts w:cs="Times New Roman"/>
          <w:sz w:val="24"/>
          <w:szCs w:val="24"/>
        </w:rPr>
      </w:pPr>
      <w:r w:rsidRPr="00073727">
        <w:rPr>
          <w:rFonts w:cs="Times New Roman"/>
          <w:sz w:val="24"/>
          <w:szCs w:val="24"/>
        </w:rPr>
        <w:t>EMA committee for medicinal products for human use (</w:t>
      </w:r>
      <w:proofErr w:type="spellStart"/>
      <w:r w:rsidRPr="00073727">
        <w:rPr>
          <w:rFonts w:cs="Times New Roman"/>
          <w:sz w:val="24"/>
          <w:szCs w:val="24"/>
        </w:rPr>
        <w:t>chmp</w:t>
      </w:r>
      <w:proofErr w:type="spellEnd"/>
      <w:r w:rsidRPr="00073727">
        <w:rPr>
          <w:rFonts w:cs="Times New Roman"/>
          <w:sz w:val="24"/>
          <w:szCs w:val="24"/>
        </w:rPr>
        <w:t xml:space="preserve">): </w:t>
      </w:r>
      <w:r w:rsidRPr="00073727">
        <w:rPr>
          <w:rFonts w:cs="Times New Roman"/>
          <w:b/>
          <w:bCs/>
          <w:i/>
          <w:iCs/>
          <w:sz w:val="24"/>
          <w:szCs w:val="24"/>
        </w:rPr>
        <w:t>Guideline on the requirements to the chemical and pharmaceutical quality documentation concerning investigational medicinal products in clinical trials</w:t>
      </w:r>
      <w:r w:rsidRPr="00073727">
        <w:rPr>
          <w:rFonts w:cs="Times New Roman"/>
          <w:sz w:val="24"/>
          <w:szCs w:val="24"/>
        </w:rPr>
        <w:t xml:space="preserve"> (</w:t>
      </w:r>
      <w:hyperlink r:id="rId24" w:history="1">
        <w:r w:rsidRPr="00073727">
          <w:rPr>
            <w:rStyle w:val="Hyperlink"/>
            <w:rFonts w:cs="Times New Roman"/>
            <w:sz w:val="24"/>
            <w:szCs w:val="24"/>
          </w:rPr>
          <w:t>https://health.ec.europa.eu/system/files/2016-11/18540104en_en_0.pdf</w:t>
        </w:r>
      </w:hyperlink>
      <w:r w:rsidRPr="00073727">
        <w:rPr>
          <w:rFonts w:cs="Times New Roman"/>
          <w:sz w:val="24"/>
          <w:szCs w:val="24"/>
        </w:rPr>
        <w:t>).</w:t>
      </w:r>
    </w:p>
    <w:p w14:paraId="7F7B3D8F" w14:textId="3B4E345D" w:rsidR="00223EDF" w:rsidRPr="00073727" w:rsidRDefault="00223EDF" w:rsidP="00942ED4">
      <w:pPr>
        <w:pStyle w:val="ListParagraph"/>
        <w:numPr>
          <w:ilvl w:val="0"/>
          <w:numId w:val="2"/>
        </w:numPr>
        <w:spacing w:after="0" w:line="360" w:lineRule="auto"/>
        <w:rPr>
          <w:rFonts w:cs="Times New Roman"/>
          <w:sz w:val="24"/>
          <w:szCs w:val="24"/>
        </w:rPr>
      </w:pPr>
      <w:r w:rsidRPr="00073727">
        <w:rPr>
          <w:rFonts w:cs="Times New Roman"/>
          <w:sz w:val="24"/>
          <w:szCs w:val="24"/>
        </w:rPr>
        <w:t xml:space="preserve">ICH </w:t>
      </w:r>
      <w:proofErr w:type="spellStart"/>
      <w:r w:rsidRPr="00073727">
        <w:rPr>
          <w:rFonts w:cs="Times New Roman"/>
          <w:sz w:val="24"/>
          <w:szCs w:val="24"/>
        </w:rPr>
        <w:t>harmonised</w:t>
      </w:r>
      <w:proofErr w:type="spellEnd"/>
      <w:r w:rsidRPr="00073727">
        <w:rPr>
          <w:rFonts w:cs="Times New Roman"/>
          <w:sz w:val="24"/>
          <w:szCs w:val="24"/>
        </w:rPr>
        <w:t xml:space="preserve"> tripartite guideline</w:t>
      </w:r>
      <w:r w:rsidRPr="00073727">
        <w:rPr>
          <w:rFonts w:cs="Times New Roman"/>
          <w:bCs/>
          <w:i/>
          <w:sz w:val="24"/>
          <w:szCs w:val="24"/>
        </w:rPr>
        <w:t>:</w:t>
      </w:r>
      <w:r w:rsidRPr="00073727">
        <w:rPr>
          <w:rFonts w:cs="Times New Roman"/>
          <w:b/>
          <w:i/>
          <w:sz w:val="24"/>
          <w:szCs w:val="24"/>
        </w:rPr>
        <w:t xml:space="preserve"> Guidance on nonclinical safety studies for the conduct of human clinical trials and marketing authorization for pharmaceuticals M3(R2) version step 4 2009</w:t>
      </w:r>
      <w:r w:rsidRPr="00073727">
        <w:rPr>
          <w:rFonts w:cs="Times New Roman"/>
          <w:sz w:val="24"/>
          <w:szCs w:val="24"/>
        </w:rPr>
        <w:t xml:space="preserve"> (</w:t>
      </w:r>
      <w:hyperlink r:id="rId25">
        <w:r w:rsidRPr="00073727">
          <w:rPr>
            <w:rFonts w:cs="Times New Roman"/>
            <w:color w:val="0563C1"/>
            <w:sz w:val="24"/>
            <w:szCs w:val="24"/>
            <w:u w:val="single"/>
          </w:rPr>
          <w:t>https://database.ich.org/sites/default/files/M3_R2__Guideline.pdf</w:t>
        </w:r>
      </w:hyperlink>
      <w:r w:rsidRPr="00073727">
        <w:rPr>
          <w:rFonts w:cs="Times New Roman"/>
          <w:sz w:val="24"/>
          <w:szCs w:val="24"/>
        </w:rPr>
        <w:t xml:space="preserve">) </w:t>
      </w:r>
      <w:r w:rsidRPr="00073727">
        <w:rPr>
          <w:rFonts w:cs="Times New Roman"/>
          <w:sz w:val="24"/>
          <w:szCs w:val="24"/>
        </w:rPr>
        <w:fldChar w:fldCharType="begin"/>
      </w:r>
      <w:r w:rsidR="00C4514B" w:rsidRPr="00073727">
        <w:rPr>
          <w:rFonts w:cs="Times New Roman"/>
          <w:sz w:val="24"/>
          <w:szCs w:val="24"/>
        </w:rPr>
        <w:instrText xml:space="preserve"> ADDIN ZOTERO_ITEM CSL_CITATION {"citationID":"nes1ZF6p","properties":{"formattedCitation":"[2]","plainCitation":"[2]","noteIndex":0},"citationItems":[{"id":874,"uris":["http://zotero.org/groups/4760334/items/9W63VRGX"],"itemData":{"id":874,"type":"paper-conference","container-title":"International conference on harmonisation of technical requirements for registration of pharmaceuticals for human use","title":"ICH: Guidance on nonclinical safety studies for the conduct of human clinical trials and marketing authorization for pharmaceuticals M3 (R2). Version step 4 2009.","URL":"https://database.ich.org/sites/default/files/M3_R2__Guideline.pdf","author":[{"family":"Guideline","given":"International Conference Harmonisation"}],"issued":{"date-parts":[["2009"]]}}}],"schema":"https://github.com/citation-style-language/schema/raw/master/csl-citation.json"} </w:instrText>
      </w:r>
      <w:r w:rsidRPr="00073727">
        <w:rPr>
          <w:rFonts w:cs="Times New Roman"/>
          <w:sz w:val="24"/>
          <w:szCs w:val="24"/>
        </w:rPr>
        <w:fldChar w:fldCharType="separate"/>
      </w:r>
      <w:r w:rsidR="00C4514B" w:rsidRPr="00073727">
        <w:rPr>
          <w:rFonts w:cs="Times New Roman"/>
          <w:noProof/>
          <w:sz w:val="24"/>
          <w:szCs w:val="24"/>
        </w:rPr>
        <w:t>[2]</w:t>
      </w:r>
      <w:r w:rsidRPr="00073727">
        <w:rPr>
          <w:rFonts w:cs="Times New Roman"/>
          <w:sz w:val="24"/>
          <w:szCs w:val="24"/>
        </w:rPr>
        <w:fldChar w:fldCharType="end"/>
      </w:r>
      <w:r w:rsidRPr="00073727">
        <w:rPr>
          <w:rFonts w:cs="Times New Roman"/>
          <w:sz w:val="24"/>
          <w:szCs w:val="24"/>
        </w:rPr>
        <w:t>.</w:t>
      </w:r>
    </w:p>
    <w:p w14:paraId="35F58552" w14:textId="48117D08" w:rsidR="00223EDF" w:rsidRPr="00073727" w:rsidRDefault="00223EDF" w:rsidP="00942ED4">
      <w:pPr>
        <w:pStyle w:val="ListParagraph"/>
        <w:numPr>
          <w:ilvl w:val="0"/>
          <w:numId w:val="2"/>
        </w:numPr>
        <w:spacing w:after="0" w:line="360" w:lineRule="auto"/>
        <w:rPr>
          <w:rFonts w:cs="Times New Roman"/>
          <w:b/>
          <w:bCs/>
          <w:i/>
          <w:iCs/>
          <w:sz w:val="24"/>
          <w:szCs w:val="24"/>
        </w:rPr>
      </w:pPr>
      <w:r w:rsidRPr="00073727">
        <w:rPr>
          <w:rFonts w:cs="Times New Roman"/>
          <w:sz w:val="24"/>
          <w:szCs w:val="24"/>
        </w:rPr>
        <w:t xml:space="preserve">ICH </w:t>
      </w:r>
      <w:proofErr w:type="spellStart"/>
      <w:r w:rsidRPr="00073727">
        <w:rPr>
          <w:rFonts w:cs="Times New Roman"/>
          <w:sz w:val="24"/>
          <w:szCs w:val="24"/>
        </w:rPr>
        <w:t>harmonised</w:t>
      </w:r>
      <w:proofErr w:type="spellEnd"/>
      <w:r w:rsidRPr="00073727">
        <w:rPr>
          <w:rFonts w:cs="Times New Roman"/>
          <w:sz w:val="24"/>
          <w:szCs w:val="24"/>
        </w:rPr>
        <w:t xml:space="preserve"> tripartite guideline: (</w:t>
      </w:r>
      <w:hyperlink r:id="rId26">
        <w:r w:rsidRPr="00073727">
          <w:rPr>
            <w:rFonts w:cs="Times New Roman"/>
            <w:color w:val="0563C1"/>
            <w:sz w:val="24"/>
            <w:szCs w:val="24"/>
            <w:u w:val="single"/>
          </w:rPr>
          <w:t>https://www.ich.org/page/safety-guidelines</w:t>
        </w:r>
      </w:hyperlink>
      <w:r w:rsidRPr="00073727">
        <w:rPr>
          <w:rFonts w:cs="Times New Roman"/>
          <w:color w:val="0563C1"/>
          <w:sz w:val="24"/>
          <w:szCs w:val="24"/>
          <w:u w:val="single"/>
        </w:rPr>
        <w:t>)</w:t>
      </w:r>
      <w:r w:rsidRPr="00073727">
        <w:rPr>
          <w:rFonts w:cs="Times New Roman"/>
          <w:sz w:val="24"/>
          <w:szCs w:val="24"/>
        </w:rPr>
        <w:t xml:space="preserve">, specifically section </w:t>
      </w:r>
      <w:r w:rsidRPr="00073727">
        <w:rPr>
          <w:rFonts w:cs="Times New Roman"/>
          <w:b/>
          <w:bCs/>
          <w:i/>
          <w:iCs/>
          <w:sz w:val="24"/>
          <w:szCs w:val="24"/>
        </w:rPr>
        <w:t xml:space="preserve">S9 Nonclinical evaluation for anticancer pharmaceuticals </w:t>
      </w:r>
      <w:r w:rsidRPr="00073727">
        <w:rPr>
          <w:rFonts w:cs="Times New Roman"/>
          <w:b/>
          <w:i/>
          <w:sz w:val="24"/>
          <w:szCs w:val="24"/>
        </w:rPr>
        <w:t>version step 4 2009</w:t>
      </w:r>
      <w:r w:rsidRPr="00073727">
        <w:rPr>
          <w:rFonts w:cs="Times New Roman"/>
          <w:sz w:val="24"/>
          <w:szCs w:val="24"/>
        </w:rPr>
        <w:t xml:space="preserve"> </w:t>
      </w:r>
      <w:r w:rsidRPr="00073727">
        <w:rPr>
          <w:rFonts w:cs="Times New Roman"/>
          <w:sz w:val="24"/>
          <w:szCs w:val="24"/>
          <w:lang w:val="en-CH"/>
        </w:rPr>
        <w:t>(</w:t>
      </w:r>
      <w:r w:rsidRPr="00073727">
        <w:rPr>
          <w:rFonts w:cs="Times New Roman"/>
          <w:sz w:val="24"/>
          <w:szCs w:val="24"/>
        </w:rPr>
        <w:fldChar w:fldCharType="begin"/>
      </w:r>
      <w:r w:rsidRPr="00073727">
        <w:rPr>
          <w:rFonts w:cs="Times New Roman"/>
          <w:sz w:val="24"/>
          <w:szCs w:val="24"/>
        </w:rPr>
        <w:instrText xml:space="preserve"> HYPERLINK "</w:instrText>
      </w:r>
      <w:r w:rsidRPr="00073727">
        <w:rPr>
          <w:rFonts w:cs="Times New Roman"/>
          <w:sz w:val="24"/>
          <w:szCs w:val="24"/>
          <w:lang w:val="en-CH"/>
        </w:rPr>
        <w:instrText>https://database.ich.org/sites/default/files/S9_Guideline.pdf</w:instrText>
      </w:r>
      <w:r w:rsidRPr="00073727">
        <w:rPr>
          <w:rFonts w:cs="Times New Roman"/>
          <w:sz w:val="24"/>
          <w:szCs w:val="24"/>
        </w:rPr>
        <w:instrText xml:space="preserve">" </w:instrText>
      </w:r>
      <w:r w:rsidRPr="00073727">
        <w:rPr>
          <w:rFonts w:cs="Times New Roman"/>
          <w:sz w:val="24"/>
          <w:szCs w:val="24"/>
        </w:rPr>
        <w:fldChar w:fldCharType="separate"/>
      </w:r>
      <w:r w:rsidRPr="00073727">
        <w:rPr>
          <w:rStyle w:val="Hyperlink"/>
          <w:rFonts w:cs="Times New Roman"/>
          <w:sz w:val="24"/>
          <w:szCs w:val="24"/>
          <w:lang w:val="en-CH"/>
        </w:rPr>
        <w:t>https://database.ich.org/sites/default/files/S9_Guideline.pdf</w:t>
      </w:r>
      <w:r w:rsidRPr="00073727">
        <w:rPr>
          <w:rFonts w:cs="Times New Roman"/>
          <w:sz w:val="24"/>
          <w:szCs w:val="24"/>
        </w:rPr>
        <w:fldChar w:fldCharType="end"/>
      </w:r>
      <w:r w:rsidRPr="00073727">
        <w:rPr>
          <w:rFonts w:cs="Times New Roman"/>
          <w:sz w:val="24"/>
          <w:szCs w:val="24"/>
          <w:lang w:val="en-CH"/>
        </w:rPr>
        <w:t xml:space="preserve">) </w:t>
      </w:r>
      <w:r w:rsidRPr="00073727">
        <w:rPr>
          <w:rFonts w:cs="Times New Roman"/>
          <w:sz w:val="24"/>
          <w:szCs w:val="24"/>
        </w:rPr>
        <w:fldChar w:fldCharType="begin"/>
      </w:r>
      <w:r w:rsidR="001F04BE" w:rsidRPr="00073727">
        <w:rPr>
          <w:rFonts w:cs="Times New Roman"/>
          <w:sz w:val="24"/>
          <w:szCs w:val="24"/>
        </w:rPr>
        <w:instrText xml:space="preserve"> ADDIN ZOTERO_ITEM CSL_CITATION {"citationID":"dO9kTfOc","properties":{"formattedCitation":"[7]","plainCitation":"[7]","noteIndex":0},"citationItems":[{"id":864,"uris":["http://zotero.org/groups/4760334/items/8JN7JCA2"],"itemData":{"id":864,"type":"paper-conference","container-title":"International conference on harmonisation of technical requirements for registration of pharmaceuticals for human use","title":"ICH: S9 Nonclinical evaluation for anticancer pharmaceuticals. Guidance on nonclinical safety studies for the conduct of human clinical trials and marketing authorization for pharmaceuticals M3 (R2). Version step 4 2009.","URL":"https://database.ich.org/sites/default/files/S9_Guideline.pdf","author":[{"family":"Guideline","given":"International Conference Harmonisation"}],"issued":{"date-parts":[["2009"]]}}}],"schema":"https://github.com/citation-style-language/schema/raw/master/csl-citation.json"} </w:instrText>
      </w:r>
      <w:r w:rsidRPr="00073727">
        <w:rPr>
          <w:rFonts w:cs="Times New Roman"/>
          <w:sz w:val="24"/>
          <w:szCs w:val="24"/>
        </w:rPr>
        <w:fldChar w:fldCharType="separate"/>
      </w:r>
      <w:r w:rsidR="001F04BE" w:rsidRPr="00073727">
        <w:rPr>
          <w:rFonts w:cs="Times New Roman"/>
          <w:noProof/>
          <w:sz w:val="24"/>
          <w:szCs w:val="24"/>
        </w:rPr>
        <w:t>[7]</w:t>
      </w:r>
      <w:r w:rsidRPr="00073727">
        <w:rPr>
          <w:rFonts w:cs="Times New Roman"/>
          <w:sz w:val="24"/>
          <w:szCs w:val="24"/>
        </w:rPr>
        <w:fldChar w:fldCharType="end"/>
      </w:r>
      <w:r w:rsidRPr="00073727">
        <w:rPr>
          <w:rFonts w:cs="Times New Roman"/>
          <w:sz w:val="24"/>
          <w:szCs w:val="24"/>
          <w:lang w:val="en-CH"/>
        </w:rPr>
        <w:t>.</w:t>
      </w:r>
    </w:p>
    <w:p w14:paraId="270863B2" w14:textId="0C47B7DC" w:rsidR="00223EDF" w:rsidRPr="00073727" w:rsidRDefault="00223EDF" w:rsidP="00942ED4">
      <w:pPr>
        <w:pStyle w:val="ListParagraph"/>
        <w:numPr>
          <w:ilvl w:val="0"/>
          <w:numId w:val="2"/>
        </w:numPr>
        <w:spacing w:after="0" w:line="360" w:lineRule="auto"/>
        <w:rPr>
          <w:rFonts w:cs="Times New Roman"/>
          <w:sz w:val="24"/>
          <w:szCs w:val="24"/>
          <w:lang w:val="en-CH"/>
        </w:rPr>
      </w:pPr>
      <w:r w:rsidRPr="00073727">
        <w:rPr>
          <w:rFonts w:cs="Times New Roman"/>
          <w:sz w:val="24"/>
          <w:szCs w:val="24"/>
        </w:rPr>
        <w:t xml:space="preserve">ICH </w:t>
      </w:r>
      <w:proofErr w:type="spellStart"/>
      <w:r w:rsidRPr="00073727">
        <w:rPr>
          <w:rFonts w:cs="Times New Roman"/>
          <w:sz w:val="24"/>
          <w:szCs w:val="24"/>
        </w:rPr>
        <w:t>harmonised</w:t>
      </w:r>
      <w:proofErr w:type="spellEnd"/>
      <w:r w:rsidRPr="00073727">
        <w:rPr>
          <w:rFonts w:cs="Times New Roman"/>
          <w:sz w:val="24"/>
          <w:szCs w:val="24"/>
        </w:rPr>
        <w:t xml:space="preserve"> guideline: </w:t>
      </w:r>
      <w:r w:rsidRPr="00073727">
        <w:rPr>
          <w:rFonts w:cs="Times New Roman"/>
          <w:b/>
          <w:i/>
          <w:sz w:val="24"/>
          <w:szCs w:val="24"/>
        </w:rPr>
        <w:t>Integrated addendum to ICH e6(r1): guideline for good clinical practice</w:t>
      </w:r>
      <w:r w:rsidRPr="00073727">
        <w:rPr>
          <w:rFonts w:cs="Times New Roman"/>
          <w:sz w:val="24"/>
          <w:szCs w:val="24"/>
        </w:rPr>
        <w:t xml:space="preserve"> </w:t>
      </w:r>
      <w:r w:rsidRPr="00073727">
        <w:rPr>
          <w:rFonts w:cs="Times New Roman"/>
          <w:b/>
          <w:i/>
          <w:sz w:val="24"/>
          <w:szCs w:val="24"/>
        </w:rPr>
        <w:t>E6(r2)step 4 version 2016</w:t>
      </w:r>
      <w:r w:rsidRPr="00073727">
        <w:rPr>
          <w:rFonts w:cs="Times New Roman"/>
          <w:sz w:val="24"/>
          <w:szCs w:val="24"/>
        </w:rPr>
        <w:t xml:space="preserve"> </w:t>
      </w:r>
      <w:r w:rsidRPr="00073727">
        <w:rPr>
          <w:rFonts w:cs="Times New Roman"/>
          <w:sz w:val="24"/>
          <w:szCs w:val="24"/>
          <w:lang w:val="en-CH"/>
        </w:rPr>
        <w:t>(</w:t>
      </w:r>
      <w:r w:rsidRPr="00073727">
        <w:rPr>
          <w:rFonts w:cs="Times New Roman"/>
          <w:sz w:val="24"/>
          <w:szCs w:val="24"/>
        </w:rPr>
        <w:fldChar w:fldCharType="begin"/>
      </w:r>
      <w:r w:rsidRPr="00073727">
        <w:rPr>
          <w:rFonts w:cs="Times New Roman"/>
          <w:sz w:val="24"/>
          <w:szCs w:val="24"/>
        </w:rPr>
        <w:instrText xml:space="preserve"> HYPERLINK "</w:instrText>
      </w:r>
      <w:r w:rsidRPr="00073727">
        <w:rPr>
          <w:rFonts w:cs="Times New Roman"/>
          <w:sz w:val="24"/>
          <w:szCs w:val="24"/>
          <w:lang w:val="en-CH"/>
        </w:rPr>
        <w:instrText>https://database.ich.org/sites/default/files/E6_R2_Addendum.pdf</w:instrText>
      </w:r>
      <w:r w:rsidRPr="00073727">
        <w:rPr>
          <w:rFonts w:cs="Times New Roman"/>
          <w:sz w:val="24"/>
          <w:szCs w:val="24"/>
        </w:rPr>
        <w:instrText xml:space="preserve">" </w:instrText>
      </w:r>
      <w:r w:rsidRPr="00073727">
        <w:rPr>
          <w:rFonts w:cs="Times New Roman"/>
          <w:sz w:val="24"/>
          <w:szCs w:val="24"/>
        </w:rPr>
        <w:fldChar w:fldCharType="separate"/>
      </w:r>
      <w:r w:rsidRPr="00073727">
        <w:rPr>
          <w:rStyle w:val="Hyperlink"/>
          <w:rFonts w:cs="Times New Roman"/>
          <w:sz w:val="24"/>
          <w:szCs w:val="24"/>
          <w:lang w:val="en-CH"/>
        </w:rPr>
        <w:t>https://database.ich.org/sites/default/files/E6_R2_Addendum.pdf</w:t>
      </w:r>
      <w:r w:rsidRPr="00073727">
        <w:rPr>
          <w:rFonts w:cs="Times New Roman"/>
          <w:sz w:val="24"/>
          <w:szCs w:val="24"/>
        </w:rPr>
        <w:fldChar w:fldCharType="end"/>
      </w:r>
      <w:r w:rsidRPr="00073727">
        <w:rPr>
          <w:rFonts w:cs="Times New Roman"/>
          <w:sz w:val="24"/>
          <w:szCs w:val="24"/>
          <w:lang w:val="en-CH"/>
        </w:rPr>
        <w:t xml:space="preserve">) </w:t>
      </w:r>
      <w:r w:rsidRPr="00073727">
        <w:rPr>
          <w:rFonts w:cs="Times New Roman"/>
          <w:sz w:val="24"/>
          <w:szCs w:val="24"/>
        </w:rPr>
        <w:fldChar w:fldCharType="begin"/>
      </w:r>
      <w:r w:rsidR="001F04BE" w:rsidRPr="00073727">
        <w:rPr>
          <w:rFonts w:cs="Times New Roman"/>
          <w:sz w:val="24"/>
          <w:szCs w:val="24"/>
        </w:rPr>
        <w:instrText xml:space="preserve"> ADDIN ZOTERO_ITEM CSL_CITATION {"citationID":"GjJJaM57","properties":{"formattedCitation":"[8]","plainCitation":"[8]","noteIndex":0},"citationItems":[{"id":875,"uris":["http://zotero.org/groups/4760334/items/A2ZFTZEG"],"itemData":{"id":875,"type":"paper-conference","title":"ICH: E6(R2) Good Clinical Practice (GCP). ICH Efficacy Guidelines.","URL":"https://database.ich.org/sites/default/files/E6_R2_Addendum.pdf","author":[{"family":"Guideline","given":"International Conference Harmonisation"}],"issued":{"date-parts":[["2016"]]}}}],"schema":"https://github.com/citation-style-language/schema/raw/master/csl-citation.json"} </w:instrText>
      </w:r>
      <w:r w:rsidRPr="00073727">
        <w:rPr>
          <w:rFonts w:cs="Times New Roman"/>
          <w:sz w:val="24"/>
          <w:szCs w:val="24"/>
        </w:rPr>
        <w:fldChar w:fldCharType="separate"/>
      </w:r>
      <w:r w:rsidR="001F04BE" w:rsidRPr="00073727">
        <w:rPr>
          <w:rFonts w:cs="Times New Roman"/>
          <w:noProof/>
          <w:sz w:val="24"/>
          <w:szCs w:val="24"/>
        </w:rPr>
        <w:t>[8]</w:t>
      </w:r>
      <w:r w:rsidRPr="00073727">
        <w:rPr>
          <w:rFonts w:cs="Times New Roman"/>
          <w:sz w:val="24"/>
          <w:szCs w:val="24"/>
        </w:rPr>
        <w:fldChar w:fldCharType="end"/>
      </w:r>
      <w:r w:rsidRPr="00073727">
        <w:rPr>
          <w:rFonts w:cs="Times New Roman"/>
          <w:sz w:val="24"/>
          <w:szCs w:val="24"/>
          <w:lang w:val="en-CH"/>
        </w:rPr>
        <w:t>.</w:t>
      </w:r>
    </w:p>
    <w:p w14:paraId="07E57364" w14:textId="77777777" w:rsidR="00223EDF" w:rsidRPr="00073727" w:rsidRDefault="00223EDF" w:rsidP="00942ED4">
      <w:pPr>
        <w:pStyle w:val="ListParagraph"/>
        <w:numPr>
          <w:ilvl w:val="0"/>
          <w:numId w:val="2"/>
        </w:numPr>
        <w:spacing w:after="0" w:line="360" w:lineRule="auto"/>
        <w:rPr>
          <w:rFonts w:cs="Times New Roman"/>
          <w:sz w:val="24"/>
          <w:szCs w:val="24"/>
        </w:rPr>
      </w:pPr>
      <w:r w:rsidRPr="00073727">
        <w:rPr>
          <w:rFonts w:cs="Times New Roman"/>
          <w:sz w:val="24"/>
          <w:szCs w:val="24"/>
        </w:rPr>
        <w:t xml:space="preserve">EMA Committee for medicinal products for human use (chmp): </w:t>
      </w:r>
      <w:r w:rsidRPr="00073727">
        <w:rPr>
          <w:rFonts w:cs="Times New Roman"/>
          <w:b/>
          <w:i/>
          <w:sz w:val="24"/>
          <w:szCs w:val="24"/>
        </w:rPr>
        <w:t>Guideline on the requirements to the chemical and pharmaceutical quality documentation concerning investigational medicinal products in clinical trials 2022</w:t>
      </w:r>
    </w:p>
    <w:p w14:paraId="088880FF" w14:textId="7AE55A2E" w:rsidR="00223EDF" w:rsidRPr="00073727" w:rsidRDefault="00223EDF" w:rsidP="00942ED4">
      <w:pPr>
        <w:pStyle w:val="ListParagraph"/>
        <w:numPr>
          <w:ilvl w:val="0"/>
          <w:numId w:val="2"/>
        </w:numPr>
        <w:spacing w:after="0" w:line="360" w:lineRule="auto"/>
        <w:rPr>
          <w:rFonts w:cs="Times New Roman"/>
          <w:sz w:val="24"/>
          <w:szCs w:val="24"/>
        </w:rPr>
      </w:pPr>
      <w:r w:rsidRPr="00073727">
        <w:rPr>
          <w:rFonts w:cs="Times New Roman"/>
          <w:sz w:val="24"/>
          <w:szCs w:val="24"/>
        </w:rPr>
        <w:lastRenderedPageBreak/>
        <w:t>(</w:t>
      </w:r>
      <w:hyperlink r:id="rId27" w:history="1">
        <w:r w:rsidRPr="00073727">
          <w:rPr>
            <w:rStyle w:val="Hyperlink"/>
            <w:rFonts w:cs="Times New Roman"/>
            <w:sz w:val="24"/>
            <w:szCs w:val="24"/>
            <w:lang w:val="en-CH"/>
          </w:rPr>
          <w:t>https://www.ema.europa.eu/en/requirements-chemical-pharmaceutical-quality-documentation-concerning-investigational-medicinal</w:t>
        </w:r>
      </w:hyperlink>
      <w:r w:rsidRPr="00073727">
        <w:rPr>
          <w:rFonts w:cs="Times New Roman"/>
          <w:sz w:val="24"/>
          <w:szCs w:val="24"/>
        </w:rPr>
        <w:t xml:space="preserve">) </w:t>
      </w:r>
      <w:r w:rsidRPr="00073727">
        <w:rPr>
          <w:rFonts w:cs="Times New Roman"/>
          <w:sz w:val="24"/>
          <w:szCs w:val="24"/>
        </w:rPr>
        <w:fldChar w:fldCharType="begin"/>
      </w:r>
      <w:r w:rsidR="001F04BE" w:rsidRPr="00073727">
        <w:rPr>
          <w:rFonts w:cs="Times New Roman"/>
          <w:sz w:val="24"/>
          <w:szCs w:val="24"/>
        </w:rPr>
        <w:instrText xml:space="preserve"> ADDIN ZOTERO_ITEM CSL_CITATION {"citationID":"4UUHhyRy","properties":{"formattedCitation":"[9]","plainCitation":"[9]","noteIndex":0},"citationItems":[{"id":876,"uris":["http://zotero.org/groups/4760334/items/2E3J3JTJ"],"itemData":{"id":876,"type":"document","title":"EMA: Guideline on the requirements to the chemical and pharmaceutical quality documentation concerning investigational medicinal products in clinical trials","URL":"https://www.ema.europa.eu/en/documents/scientific-guideline/guideline-requirements-chemical-pharmaceutical-quality-documentation-concerning-investigational_en-1.pdf"}}],"schema":"https://github.com/citation-style-language/schema/raw/master/csl-citation.json"} </w:instrText>
      </w:r>
      <w:r w:rsidRPr="00073727">
        <w:rPr>
          <w:rFonts w:cs="Times New Roman"/>
          <w:sz w:val="24"/>
          <w:szCs w:val="24"/>
        </w:rPr>
        <w:fldChar w:fldCharType="separate"/>
      </w:r>
      <w:r w:rsidR="001F04BE" w:rsidRPr="00073727">
        <w:rPr>
          <w:rFonts w:cs="Times New Roman"/>
          <w:noProof/>
          <w:sz w:val="24"/>
          <w:szCs w:val="24"/>
        </w:rPr>
        <w:t>[9]</w:t>
      </w:r>
      <w:r w:rsidRPr="00073727">
        <w:rPr>
          <w:rFonts w:cs="Times New Roman"/>
          <w:sz w:val="24"/>
          <w:szCs w:val="24"/>
        </w:rPr>
        <w:fldChar w:fldCharType="end"/>
      </w:r>
      <w:r w:rsidRPr="00073727">
        <w:rPr>
          <w:rFonts w:cs="Times New Roman"/>
          <w:sz w:val="24"/>
          <w:szCs w:val="24"/>
        </w:rPr>
        <w:t>.</w:t>
      </w:r>
    </w:p>
    <w:p w14:paraId="18BE7D36" w14:textId="571C18EF" w:rsidR="009B237F" w:rsidRPr="00073727" w:rsidRDefault="009B237F" w:rsidP="00942ED4">
      <w:pPr>
        <w:spacing w:line="360" w:lineRule="auto"/>
        <w:ind w:left="360"/>
      </w:pPr>
    </w:p>
    <w:p w14:paraId="07B328FE" w14:textId="4FBD9347" w:rsidR="00660E67" w:rsidRPr="00073727" w:rsidRDefault="00660E67" w:rsidP="00942ED4">
      <w:pPr>
        <w:pStyle w:val="Heading3"/>
        <w:spacing w:before="0" w:after="0" w:line="360" w:lineRule="auto"/>
        <w:rPr>
          <w:lang w:val="en-US"/>
        </w:rPr>
      </w:pPr>
    </w:p>
    <w:p w14:paraId="60BDB665" w14:textId="77777777" w:rsidR="00C03A15" w:rsidRPr="00073727" w:rsidRDefault="00C03A15" w:rsidP="00942ED4">
      <w:pPr>
        <w:spacing w:line="360" w:lineRule="auto"/>
        <w:ind w:left="360"/>
        <w:rPr>
          <w:lang w:val="en-US"/>
        </w:rPr>
      </w:pPr>
    </w:p>
    <w:p w14:paraId="06DD177A" w14:textId="77777777" w:rsidR="008110E1" w:rsidRPr="00073727" w:rsidRDefault="005836BF" w:rsidP="00942ED4">
      <w:pPr>
        <w:pStyle w:val="Heading1"/>
        <w:spacing w:before="0" w:line="360" w:lineRule="auto"/>
      </w:pPr>
      <w:bookmarkStart w:id="13" w:name="_Toc116316419"/>
      <w:r w:rsidRPr="00073727">
        <w:t>Part B: Clinical Plan</w:t>
      </w:r>
      <w:bookmarkEnd w:id="13"/>
    </w:p>
    <w:p w14:paraId="2FB775C3" w14:textId="2A66AA00" w:rsidR="0042421F" w:rsidRPr="00073727" w:rsidRDefault="005836BF" w:rsidP="00942ED4">
      <w:pPr>
        <w:pStyle w:val="ListParagraph"/>
        <w:numPr>
          <w:ilvl w:val="0"/>
          <w:numId w:val="5"/>
        </w:numPr>
        <w:spacing w:after="0" w:line="360" w:lineRule="auto"/>
        <w:rPr>
          <w:rFonts w:cs="Times New Roman"/>
          <w:b/>
          <w:bCs/>
          <w:iCs/>
          <w:u w:val="single"/>
        </w:rPr>
      </w:pPr>
      <w:r w:rsidRPr="00073727">
        <w:rPr>
          <w:rFonts w:cs="Times New Roman"/>
        </w:rPr>
        <w:t xml:space="preserve">Clinical Trial Protocol </w:t>
      </w:r>
      <w:r w:rsidR="008110E1" w:rsidRPr="00073727">
        <w:rPr>
          <w:rFonts w:cs="Times New Roman"/>
        </w:rPr>
        <w:t xml:space="preserve">will be drafted for </w:t>
      </w:r>
      <w:r w:rsidR="00A24B17" w:rsidRPr="00073727">
        <w:rPr>
          <w:rFonts w:cs="Times New Roman"/>
        </w:rPr>
        <w:t>inclusion</w:t>
      </w:r>
      <w:r w:rsidRPr="00073727">
        <w:rPr>
          <w:rFonts w:cs="Times New Roman"/>
        </w:rPr>
        <w:t xml:space="preserve"> in the application for the above-mentioned Investigational Medicinal Product.</w:t>
      </w:r>
      <w:r w:rsidR="00A24B17" w:rsidRPr="00073727">
        <w:rPr>
          <w:rFonts w:cs="Times New Roman"/>
        </w:rPr>
        <w:t xml:space="preserve"> </w:t>
      </w:r>
      <w:r w:rsidR="00A24B17" w:rsidRPr="00073727">
        <w:rPr>
          <w:rFonts w:cs="Times New Roman"/>
          <w:iCs/>
        </w:rPr>
        <w:t>In this we d</w:t>
      </w:r>
      <w:r w:rsidRPr="00073727">
        <w:rPr>
          <w:rFonts w:cs="Times New Roman"/>
          <w:iCs/>
        </w:rPr>
        <w:t xml:space="preserve">efine the main points of the clinical trial protocol </w:t>
      </w:r>
      <w:r w:rsidR="00A24B17" w:rsidRPr="00073727">
        <w:rPr>
          <w:rFonts w:cs="Times New Roman"/>
          <w:iCs/>
        </w:rPr>
        <w:t>and</w:t>
      </w:r>
      <w:r w:rsidRPr="00073727">
        <w:rPr>
          <w:rFonts w:cs="Times New Roman"/>
          <w:iCs/>
        </w:rPr>
        <w:t xml:space="preserve"> consider a </w:t>
      </w:r>
      <w:r w:rsidR="00A24B17" w:rsidRPr="00073727">
        <w:rPr>
          <w:rFonts w:cs="Times New Roman"/>
          <w:iCs/>
        </w:rPr>
        <w:t>m</w:t>
      </w:r>
      <w:r w:rsidRPr="00073727">
        <w:rPr>
          <w:rFonts w:cs="Times New Roman"/>
          <w:iCs/>
        </w:rPr>
        <w:t xml:space="preserve">aster </w:t>
      </w:r>
      <w:r w:rsidR="00A24B17" w:rsidRPr="00073727">
        <w:rPr>
          <w:rFonts w:cs="Times New Roman"/>
          <w:iCs/>
        </w:rPr>
        <w:t>p</w:t>
      </w:r>
      <w:r w:rsidRPr="00073727">
        <w:rPr>
          <w:rFonts w:cs="Times New Roman"/>
          <w:iCs/>
        </w:rPr>
        <w:t>rotoco</w:t>
      </w:r>
      <w:r w:rsidR="00DB4DA1" w:rsidRPr="00073727">
        <w:rPr>
          <w:rFonts w:cs="Times New Roman"/>
          <w:iCs/>
        </w:rPr>
        <w:t>l</w:t>
      </w:r>
      <w:r w:rsidR="00A24B17" w:rsidRPr="00073727">
        <w:rPr>
          <w:rFonts w:cs="Times New Roman"/>
          <w:iCs/>
        </w:rPr>
        <w:t>.</w:t>
      </w:r>
      <w:r w:rsidR="00DB4DA1" w:rsidRPr="00073727">
        <w:rPr>
          <w:rFonts w:cs="Times New Roman"/>
          <w:i/>
        </w:rPr>
        <w:t xml:space="preserve"> </w:t>
      </w:r>
      <w:hyperlink r:id="rId28" w:history="1">
        <w:r w:rsidR="0042421F" w:rsidRPr="00073727">
          <w:rPr>
            <w:rStyle w:val="Hyperlink"/>
            <w:rFonts w:cs="Times New Roman"/>
            <w:iCs/>
            <w:sz w:val="24"/>
            <w:szCs w:val="24"/>
          </w:rPr>
          <w:t>Ledford 2013</w:t>
        </w:r>
      </w:hyperlink>
      <w:r w:rsidR="0042421F" w:rsidRPr="00073727">
        <w:rPr>
          <w:rFonts w:cs="Times New Roman"/>
          <w:iCs/>
        </w:rPr>
        <w:t xml:space="preserve"> reports on “‘Master protocol’ aims to revamp cancer trials” </w:t>
      </w:r>
      <w:r w:rsidR="0042421F" w:rsidRPr="00073727">
        <w:rPr>
          <w:rFonts w:cs="Times New Roman"/>
          <w:iCs/>
        </w:rPr>
        <w:fldChar w:fldCharType="begin"/>
      </w:r>
      <w:r w:rsidR="001F04BE" w:rsidRPr="00073727">
        <w:rPr>
          <w:rFonts w:cs="Times New Roman"/>
          <w:iCs/>
        </w:rPr>
        <w:instrText xml:space="preserve"> ADDIN ZOTERO_ITEM CSL_CITATION {"citationID":"lbhTOL2X","properties":{"formattedCitation":"[10]","plainCitation":"[10]","noteIndex":0},"citationItems":[{"id":867,"uris":["http://zotero.org/groups/4760334/items/E7MUWIGJ"],"itemData":{"id":867,"type":"article-journal","container-title":"Nature","DOI":"10.1038/498146a","ISSN":"1476-4687 0028-0836","issue":"7453","journalAbbreviation":"Nature","language":"eng","note":"publisher-place: England\nPMID: 23765467","page":"146-147","title":"'Master protocol' aims to revamp cancer trials.","volume":"498","author":[{"family":"Ledford","given":"Heidi"}],"issued":{"date-parts":[["2013",6,13]]}}}],"schema":"https://github.com/citation-style-language/schema/raw/master/csl-citation.json"} </w:instrText>
      </w:r>
      <w:r w:rsidR="0042421F" w:rsidRPr="00073727">
        <w:rPr>
          <w:rFonts w:cs="Times New Roman"/>
          <w:iCs/>
        </w:rPr>
        <w:fldChar w:fldCharType="separate"/>
      </w:r>
      <w:r w:rsidR="001F04BE" w:rsidRPr="00073727">
        <w:rPr>
          <w:rFonts w:cs="Times New Roman"/>
          <w:iCs/>
          <w:noProof/>
        </w:rPr>
        <w:t>[10]</w:t>
      </w:r>
      <w:r w:rsidR="0042421F" w:rsidRPr="00073727">
        <w:rPr>
          <w:rFonts w:cs="Times New Roman"/>
          <w:iCs/>
        </w:rPr>
        <w:fldChar w:fldCharType="end"/>
      </w:r>
      <w:r w:rsidRPr="00073727">
        <w:rPr>
          <w:rFonts w:cs="Times New Roman"/>
          <w:iCs/>
        </w:rPr>
        <w:t xml:space="preserve"> </w:t>
      </w:r>
      <w:r w:rsidR="0042421F" w:rsidRPr="00073727">
        <w:rPr>
          <w:rFonts w:cs="Times New Roman"/>
          <w:iCs/>
        </w:rPr>
        <w:t xml:space="preserve">and </w:t>
      </w:r>
      <w:hyperlink r:id="rId29" w:anchor="t=article" w:history="1">
        <w:r w:rsidR="0042421F" w:rsidRPr="00073727">
          <w:rPr>
            <w:rStyle w:val="Hyperlink"/>
            <w:rFonts w:cs="Times New Roman"/>
            <w:iCs/>
            <w:sz w:val="24"/>
            <w:szCs w:val="24"/>
          </w:rPr>
          <w:t xml:space="preserve">Woodcock and </w:t>
        </w:r>
        <w:proofErr w:type="spellStart"/>
        <w:r w:rsidR="0042421F" w:rsidRPr="00073727">
          <w:rPr>
            <w:rStyle w:val="Hyperlink"/>
            <w:rFonts w:cs="Times New Roman"/>
            <w:iCs/>
            <w:sz w:val="24"/>
            <w:szCs w:val="24"/>
          </w:rPr>
          <w:t>LaVange</w:t>
        </w:r>
        <w:proofErr w:type="spellEnd"/>
        <w:r w:rsidR="0042421F" w:rsidRPr="00073727">
          <w:rPr>
            <w:rStyle w:val="Hyperlink"/>
            <w:rFonts w:cs="Times New Roman"/>
            <w:iCs/>
            <w:sz w:val="24"/>
            <w:szCs w:val="24"/>
          </w:rPr>
          <w:t xml:space="preserve"> 2017</w:t>
        </w:r>
      </w:hyperlink>
      <w:r w:rsidR="0042421F" w:rsidRPr="00073727">
        <w:rPr>
          <w:rFonts w:cs="Times New Roman"/>
          <w:iCs/>
        </w:rPr>
        <w:t xml:space="preserve"> on requirements to “Master Protocols to Study Multiple Therapies, Multiple Diseases, or Both” </w:t>
      </w:r>
      <w:r w:rsidR="0042421F" w:rsidRPr="00073727">
        <w:rPr>
          <w:rFonts w:cs="Times New Roman"/>
          <w:iCs/>
        </w:rPr>
        <w:fldChar w:fldCharType="begin"/>
      </w:r>
      <w:r w:rsidR="001F04BE" w:rsidRPr="00073727">
        <w:rPr>
          <w:rFonts w:cs="Times New Roman"/>
          <w:iCs/>
        </w:rPr>
        <w:instrText xml:space="preserve"> ADDIN ZOTERO_ITEM CSL_CITATION {"citationID":"ccPMnNB8","properties":{"formattedCitation":"[11]","plainCitation":"[11]","noteIndex":0},"citationItems":[{"id":866,"uris":["http://zotero.org/groups/4760334/items/3DHBIWM7"],"itemData":{"id":866,"type":"article-journal","container-title":"The New England journal of medicine","DOI":"10.1056/NEJMra1510062","ISSN":"1533-4406 0028-4793","issue":"1","journalAbbreviation":"N Engl J Med","language":"eng","note":"publisher-place: United States\nPMID: 28679092","page":"62-70","title":"Master Protocols to Study Multiple Therapies, Multiple Diseases, or Both.","volume":"377","author":[{"family":"Woodcock","given":"Janet"},{"family":"LaVange","given":"Lisa M."}],"issued":{"date-parts":[["2017",7,6]]}}}],"schema":"https://github.com/citation-style-language/schema/raw/master/csl-citation.json"} </w:instrText>
      </w:r>
      <w:r w:rsidR="0042421F" w:rsidRPr="00073727">
        <w:rPr>
          <w:rFonts w:cs="Times New Roman"/>
          <w:iCs/>
        </w:rPr>
        <w:fldChar w:fldCharType="separate"/>
      </w:r>
      <w:r w:rsidR="001F04BE" w:rsidRPr="00073727">
        <w:rPr>
          <w:rFonts w:cs="Times New Roman"/>
          <w:iCs/>
          <w:noProof/>
        </w:rPr>
        <w:t>[11]</w:t>
      </w:r>
      <w:r w:rsidR="0042421F" w:rsidRPr="00073727">
        <w:rPr>
          <w:rFonts w:cs="Times New Roman"/>
          <w:iCs/>
        </w:rPr>
        <w:fldChar w:fldCharType="end"/>
      </w:r>
      <w:r w:rsidR="0042421F" w:rsidRPr="00073727">
        <w:rPr>
          <w:rFonts w:cs="Times New Roman"/>
          <w:iCs/>
        </w:rPr>
        <w:t xml:space="preserve">. </w:t>
      </w:r>
      <w:r w:rsidRPr="00073727">
        <w:rPr>
          <w:rFonts w:cs="Times New Roman"/>
          <w:iCs/>
        </w:rPr>
        <w:t>Consider</w:t>
      </w:r>
      <w:r w:rsidRPr="00073727">
        <w:rPr>
          <w:rFonts w:cs="Times New Roman"/>
          <w:i/>
        </w:rPr>
        <w:t xml:space="preserve"> </w:t>
      </w:r>
      <w:hyperlink r:id="rId30" w:history="1">
        <w:r w:rsidRPr="00073727">
          <w:rPr>
            <w:rStyle w:val="Hyperlink"/>
            <w:rFonts w:cs="Times New Roman"/>
            <w:i/>
            <w:sz w:val="24"/>
            <w:szCs w:val="24"/>
          </w:rPr>
          <w:t>PRIME</w:t>
        </w:r>
      </w:hyperlink>
      <w:r w:rsidRPr="00073727">
        <w:rPr>
          <w:rFonts w:cs="Times New Roman"/>
          <w:i/>
        </w:rPr>
        <w:t xml:space="preserve"> </w:t>
      </w:r>
      <w:r w:rsidRPr="00073727">
        <w:rPr>
          <w:rFonts w:cs="Times New Roman"/>
          <w:iCs/>
        </w:rPr>
        <w:t>and</w:t>
      </w:r>
      <w:r w:rsidRPr="00073727">
        <w:rPr>
          <w:rFonts w:cs="Times New Roman"/>
          <w:i/>
        </w:rPr>
        <w:t xml:space="preserve"> </w:t>
      </w:r>
      <w:hyperlink r:id="rId31" w:history="1">
        <w:r w:rsidRPr="00073727">
          <w:rPr>
            <w:rStyle w:val="Hyperlink"/>
            <w:rFonts w:cs="Times New Roman"/>
            <w:i/>
            <w:sz w:val="24"/>
            <w:szCs w:val="24"/>
          </w:rPr>
          <w:t>Breakthrough Designations</w:t>
        </w:r>
      </w:hyperlink>
      <w:r w:rsidR="00A24B17" w:rsidRPr="00073727">
        <w:rPr>
          <w:rFonts w:cs="Times New Roman"/>
          <w:iCs/>
        </w:rPr>
        <w:t xml:space="preserve"> (for comparison see FAQ 24. </w:t>
      </w:r>
      <w:hyperlink r:id="rId32" w:history="1">
        <w:r w:rsidR="00A24B17" w:rsidRPr="00073727">
          <w:rPr>
            <w:rStyle w:val="Hyperlink"/>
            <w:rFonts w:cs="Times New Roman"/>
            <w:iCs/>
            <w:sz w:val="24"/>
            <w:szCs w:val="24"/>
          </w:rPr>
          <w:t>here</w:t>
        </w:r>
      </w:hyperlink>
      <w:r w:rsidR="00A24B17" w:rsidRPr="00073727">
        <w:rPr>
          <w:rFonts w:cs="Times New Roman"/>
          <w:iCs/>
        </w:rPr>
        <w:t>).</w:t>
      </w:r>
    </w:p>
    <w:p w14:paraId="48077993" w14:textId="1510E1CE" w:rsidR="008925E8" w:rsidRPr="00073727" w:rsidRDefault="005836BF" w:rsidP="00942ED4">
      <w:pPr>
        <w:pStyle w:val="ListParagraph"/>
        <w:numPr>
          <w:ilvl w:val="0"/>
          <w:numId w:val="3"/>
        </w:numPr>
        <w:spacing w:after="0" w:line="360" w:lineRule="auto"/>
        <w:rPr>
          <w:rFonts w:cs="Times New Roman"/>
          <w:color w:val="222222"/>
          <w:sz w:val="24"/>
          <w:szCs w:val="24"/>
        </w:rPr>
      </w:pPr>
      <w:r w:rsidRPr="00073727">
        <w:rPr>
          <w:rFonts w:eastAsia="Times New Roman" w:cs="Times New Roman"/>
          <w:color w:val="222222"/>
          <w:sz w:val="24"/>
          <w:szCs w:val="24"/>
        </w:rPr>
        <w:t>Guidance and reference</w:t>
      </w:r>
      <w:r w:rsidR="0042421F" w:rsidRPr="00073727">
        <w:rPr>
          <w:rFonts w:cs="Times New Roman"/>
          <w:color w:val="222222"/>
          <w:sz w:val="24"/>
          <w:szCs w:val="24"/>
        </w:rPr>
        <w:t xml:space="preserve"> is found in the </w:t>
      </w:r>
      <w:r w:rsidR="0042421F" w:rsidRPr="00073727">
        <w:rPr>
          <w:rFonts w:cs="Times New Roman"/>
          <w:sz w:val="24"/>
          <w:szCs w:val="24"/>
        </w:rPr>
        <w:t xml:space="preserve">ICH </w:t>
      </w:r>
      <w:proofErr w:type="spellStart"/>
      <w:r w:rsidR="0042421F" w:rsidRPr="00073727">
        <w:rPr>
          <w:rFonts w:cs="Times New Roman"/>
          <w:sz w:val="24"/>
          <w:szCs w:val="24"/>
        </w:rPr>
        <w:t>harmonised</w:t>
      </w:r>
      <w:proofErr w:type="spellEnd"/>
      <w:r w:rsidR="0042421F" w:rsidRPr="00073727">
        <w:rPr>
          <w:rFonts w:cs="Times New Roman"/>
          <w:sz w:val="24"/>
          <w:szCs w:val="24"/>
        </w:rPr>
        <w:t xml:space="preserve"> guideline: </w:t>
      </w:r>
      <w:r w:rsidR="0042421F" w:rsidRPr="00073727">
        <w:rPr>
          <w:rFonts w:cs="Times New Roman"/>
          <w:b/>
          <w:i/>
          <w:sz w:val="24"/>
          <w:szCs w:val="24"/>
        </w:rPr>
        <w:t>Integrated addendum to ICH e6(r1): guideline for good clinical practice</w:t>
      </w:r>
      <w:r w:rsidR="0042421F" w:rsidRPr="00073727">
        <w:rPr>
          <w:rFonts w:cs="Times New Roman"/>
          <w:sz w:val="24"/>
          <w:szCs w:val="24"/>
        </w:rPr>
        <w:t xml:space="preserve"> </w:t>
      </w:r>
      <w:r w:rsidR="0042421F" w:rsidRPr="00073727">
        <w:rPr>
          <w:rFonts w:cs="Times New Roman"/>
          <w:b/>
          <w:i/>
          <w:sz w:val="24"/>
          <w:szCs w:val="24"/>
        </w:rPr>
        <w:t>E6(r2)step 4 version 2016</w:t>
      </w:r>
      <w:r w:rsidR="0042421F" w:rsidRPr="00073727">
        <w:rPr>
          <w:rFonts w:cs="Times New Roman"/>
          <w:sz w:val="24"/>
          <w:szCs w:val="24"/>
        </w:rPr>
        <w:t xml:space="preserve"> </w:t>
      </w:r>
      <w:r w:rsidR="0042421F" w:rsidRPr="00073727">
        <w:rPr>
          <w:rFonts w:cs="Times New Roman"/>
          <w:sz w:val="24"/>
          <w:szCs w:val="24"/>
          <w:lang w:val="en-CH"/>
        </w:rPr>
        <w:t>(</w:t>
      </w:r>
      <w:r w:rsidR="00D303D4" w:rsidRPr="00073727">
        <w:rPr>
          <w:rFonts w:cs="Times New Roman"/>
        </w:rPr>
        <w:fldChar w:fldCharType="begin"/>
      </w:r>
      <w:r w:rsidR="00D303D4" w:rsidRPr="00073727">
        <w:rPr>
          <w:rFonts w:cs="Times New Roman"/>
        </w:rPr>
        <w:instrText xml:space="preserve"> HYPERLINK "https://database.ich.org/sites/default/files/E6_R2_Addendum.pdf" </w:instrText>
      </w:r>
      <w:r w:rsidR="00D303D4" w:rsidRPr="00073727">
        <w:rPr>
          <w:rFonts w:cs="Times New Roman"/>
        </w:rPr>
        <w:fldChar w:fldCharType="separate"/>
      </w:r>
      <w:r w:rsidR="0042421F" w:rsidRPr="00073727">
        <w:rPr>
          <w:rStyle w:val="Hyperlink"/>
          <w:rFonts w:cs="Times New Roman"/>
          <w:sz w:val="24"/>
          <w:szCs w:val="24"/>
          <w:lang w:val="en-CH"/>
        </w:rPr>
        <w:t>https://database.ich.org/sites/default/files/E6_R2_Addendum.pdf</w:t>
      </w:r>
      <w:r w:rsidR="00D303D4" w:rsidRPr="00073727">
        <w:rPr>
          <w:rStyle w:val="Hyperlink"/>
          <w:rFonts w:cs="Times New Roman"/>
          <w:sz w:val="24"/>
          <w:szCs w:val="24"/>
          <w:lang w:val="en-CH"/>
        </w:rPr>
        <w:fldChar w:fldCharType="end"/>
      </w:r>
      <w:r w:rsidR="0042421F" w:rsidRPr="00073727">
        <w:rPr>
          <w:rFonts w:cs="Times New Roman"/>
          <w:sz w:val="24"/>
          <w:szCs w:val="24"/>
          <w:lang w:val="en-CH"/>
        </w:rPr>
        <w:t>)</w:t>
      </w:r>
      <w:r w:rsidR="0042421F" w:rsidRPr="00073727">
        <w:rPr>
          <w:rFonts w:cs="Times New Roman"/>
          <w:sz w:val="24"/>
          <w:szCs w:val="24"/>
        </w:rPr>
        <w:t xml:space="preserve"> </w:t>
      </w:r>
      <w:r w:rsidR="0042421F" w:rsidRPr="00073727">
        <w:rPr>
          <w:rFonts w:cs="Times New Roman"/>
          <w:color w:val="222222"/>
          <w:sz w:val="24"/>
          <w:szCs w:val="24"/>
        </w:rPr>
        <w:fldChar w:fldCharType="begin"/>
      </w:r>
      <w:r w:rsidR="001F04BE" w:rsidRPr="00073727">
        <w:rPr>
          <w:rFonts w:cs="Times New Roman"/>
          <w:color w:val="222222"/>
          <w:sz w:val="24"/>
          <w:szCs w:val="24"/>
        </w:rPr>
        <w:instrText xml:space="preserve"> ADDIN ZOTERO_ITEM CSL_CITATION {"citationID":"Cv8jth29","properties":{"formattedCitation":"[8]","plainCitation":"[8]","noteIndex":0},"citationItems":[{"id":875,"uris":["http://zotero.org/groups/4760334/items/A2ZFTZEG"],"itemData":{"id":875,"type":"paper-conference","title":"ICH: E6(R2) Good Clinical Practice (GCP). ICH Efficacy Guidelines.","URL":"https://database.ich.org/sites/default/files/E6_R2_Addendum.pdf","author":[{"family":"Guideline","given":"International Conference Harmonisation"}],"issued":{"date-parts":[["2016"]]}}}],"schema":"https://github.com/citation-style-language/schema/raw/master/csl-citation.json"} </w:instrText>
      </w:r>
      <w:r w:rsidR="0042421F" w:rsidRPr="00073727">
        <w:rPr>
          <w:rFonts w:cs="Times New Roman"/>
          <w:color w:val="222222"/>
          <w:sz w:val="24"/>
          <w:szCs w:val="24"/>
        </w:rPr>
        <w:fldChar w:fldCharType="separate"/>
      </w:r>
      <w:r w:rsidR="001F04BE" w:rsidRPr="00073727">
        <w:rPr>
          <w:rFonts w:cs="Times New Roman"/>
          <w:noProof/>
          <w:color w:val="222222"/>
          <w:sz w:val="24"/>
          <w:szCs w:val="24"/>
        </w:rPr>
        <w:t>[8]</w:t>
      </w:r>
      <w:r w:rsidR="0042421F" w:rsidRPr="00073727">
        <w:rPr>
          <w:rFonts w:cs="Times New Roman"/>
          <w:color w:val="222222"/>
          <w:sz w:val="24"/>
          <w:szCs w:val="24"/>
        </w:rPr>
        <w:fldChar w:fldCharType="end"/>
      </w:r>
      <w:r w:rsidR="0042421F" w:rsidRPr="00073727">
        <w:rPr>
          <w:rFonts w:cs="Times New Roman"/>
          <w:color w:val="222222"/>
          <w:sz w:val="24"/>
          <w:szCs w:val="24"/>
        </w:rPr>
        <w:t>.</w:t>
      </w:r>
    </w:p>
    <w:p w14:paraId="5D2DFB1D" w14:textId="7999751F" w:rsidR="008925E8" w:rsidRPr="00073727" w:rsidRDefault="008925E8" w:rsidP="00942ED4">
      <w:pPr>
        <w:spacing w:line="360" w:lineRule="auto"/>
        <w:rPr>
          <w:color w:val="222222"/>
        </w:rPr>
      </w:pPr>
    </w:p>
    <w:p w14:paraId="0F2F0D24" w14:textId="4D715039" w:rsidR="001F04BE" w:rsidRPr="00073727" w:rsidRDefault="001F04BE" w:rsidP="00942ED4">
      <w:pPr>
        <w:pStyle w:val="ListParagraph"/>
        <w:numPr>
          <w:ilvl w:val="0"/>
          <w:numId w:val="3"/>
        </w:numPr>
        <w:spacing w:after="0" w:line="360" w:lineRule="auto"/>
        <w:rPr>
          <w:rFonts w:cs="Times New Roman"/>
          <w:color w:val="222222"/>
        </w:rPr>
      </w:pPr>
      <w:r w:rsidRPr="00073727">
        <w:rPr>
          <w:rFonts w:cs="Times New Roman"/>
          <w:color w:val="222222"/>
        </w:rPr>
        <w:t>See husid2011nejm_Trastuzumab - Table 1. Results of Studies of Trastuzumab as Monotherapy for Metastatic Breast Cancer.</w:t>
      </w:r>
    </w:p>
    <w:p w14:paraId="46B55A49" w14:textId="77777777" w:rsidR="001F04BE" w:rsidRPr="00073727" w:rsidRDefault="001F04BE" w:rsidP="00942ED4">
      <w:pPr>
        <w:pStyle w:val="ListParagraph"/>
        <w:spacing w:after="0" w:line="360" w:lineRule="auto"/>
        <w:rPr>
          <w:rFonts w:cs="Times New Roman"/>
          <w:color w:val="222222"/>
        </w:rPr>
      </w:pPr>
    </w:p>
    <w:p w14:paraId="0F1F8170" w14:textId="58B679CA" w:rsidR="001F04BE" w:rsidRPr="00073727" w:rsidRDefault="001F04BE" w:rsidP="00942ED4">
      <w:pPr>
        <w:pStyle w:val="ListParagraph"/>
        <w:numPr>
          <w:ilvl w:val="0"/>
          <w:numId w:val="3"/>
        </w:numPr>
        <w:spacing w:after="0" w:line="360" w:lineRule="auto"/>
        <w:rPr>
          <w:rFonts w:cs="Times New Roman"/>
          <w:color w:val="222222"/>
        </w:rPr>
      </w:pPr>
      <w:r w:rsidRPr="00073727">
        <w:rPr>
          <w:rFonts w:cs="Times New Roman"/>
          <w:color w:val="222222"/>
        </w:rPr>
        <w:t>See husid2011nejm_Trastuzumab - Table 2. Randomized Trials Comparing Chemotherapy Alone with Chemotherapy plus Trastuzumab for Metastatic Disease.</w:t>
      </w:r>
    </w:p>
    <w:p w14:paraId="549B1676" w14:textId="77777777" w:rsidR="001F04BE" w:rsidRPr="00073727" w:rsidRDefault="001F04BE" w:rsidP="00942ED4">
      <w:pPr>
        <w:spacing w:line="360" w:lineRule="auto"/>
        <w:rPr>
          <w:color w:val="222222"/>
          <w:lang w:val="en-US"/>
        </w:rPr>
      </w:pPr>
    </w:p>
    <w:p w14:paraId="7C236CDB" w14:textId="77777777" w:rsidR="005836BF" w:rsidRPr="00073727" w:rsidRDefault="005836BF" w:rsidP="00942ED4">
      <w:pPr>
        <w:pStyle w:val="Heading1"/>
        <w:spacing w:before="0" w:line="360" w:lineRule="auto"/>
      </w:pPr>
      <w:bookmarkStart w:id="14" w:name="_Toc116316420"/>
      <w:r w:rsidRPr="00073727">
        <w:t>Part C: Chemistry, Manufacturing and Controls, CMC</w:t>
      </w:r>
      <w:bookmarkEnd w:id="14"/>
    </w:p>
    <w:p w14:paraId="76140451" w14:textId="555563F6" w:rsidR="005836BF" w:rsidRPr="00073727" w:rsidRDefault="008925E8" w:rsidP="00942ED4">
      <w:pPr>
        <w:spacing w:line="360" w:lineRule="auto"/>
        <w:jc w:val="both"/>
        <w:rPr>
          <w:lang w:val="en-US"/>
        </w:rPr>
      </w:pPr>
      <w:r w:rsidRPr="00073727">
        <w:rPr>
          <w:lang w:val="en-US"/>
        </w:rPr>
        <w:t>Here we will write</w:t>
      </w:r>
      <w:r w:rsidR="005836BF" w:rsidRPr="00073727">
        <w:t xml:space="preserve"> a clear CMC plan on the work that needs to be done and included in the application for the above mentioned Investigational Medicinal Product. Emphasize the level of detail require</w:t>
      </w:r>
      <w:r w:rsidR="00761036" w:rsidRPr="00073727">
        <w:rPr>
          <w:lang w:val="en-US"/>
        </w:rPr>
        <w:t>d.</w:t>
      </w:r>
    </w:p>
    <w:p w14:paraId="78F693E1" w14:textId="56B442CA" w:rsidR="005836BF" w:rsidRPr="00073727" w:rsidRDefault="005836BF" w:rsidP="00942ED4">
      <w:pPr>
        <w:spacing w:line="360" w:lineRule="auto"/>
        <w:rPr>
          <w:color w:val="222222"/>
          <w:lang w:val="en-US"/>
        </w:rPr>
      </w:pPr>
      <w:r w:rsidRPr="00073727">
        <w:rPr>
          <w:color w:val="222222"/>
        </w:rPr>
        <w:t>Guidance and reference</w:t>
      </w:r>
      <w:r w:rsidR="008925E8" w:rsidRPr="00073727">
        <w:rPr>
          <w:color w:val="222222"/>
          <w:lang w:val="en-US"/>
        </w:rPr>
        <w:t xml:space="preserve"> can be found at</w:t>
      </w:r>
    </w:p>
    <w:p w14:paraId="46425563" w14:textId="04EEA01B" w:rsidR="008925E8" w:rsidRPr="00073727" w:rsidRDefault="008925E8" w:rsidP="00942ED4">
      <w:pPr>
        <w:pStyle w:val="ListParagraph"/>
        <w:numPr>
          <w:ilvl w:val="0"/>
          <w:numId w:val="2"/>
        </w:numPr>
        <w:spacing w:after="0" w:line="360" w:lineRule="auto"/>
        <w:rPr>
          <w:rFonts w:cs="Times New Roman"/>
          <w:sz w:val="24"/>
          <w:szCs w:val="24"/>
        </w:rPr>
      </w:pPr>
      <w:r w:rsidRPr="00073727">
        <w:rPr>
          <w:rFonts w:cs="Times New Roman"/>
          <w:sz w:val="24"/>
          <w:szCs w:val="24"/>
        </w:rPr>
        <w:t xml:space="preserve">European </w:t>
      </w:r>
      <w:r w:rsidR="009B237F" w:rsidRPr="00073727">
        <w:rPr>
          <w:rFonts w:cs="Times New Roman"/>
          <w:sz w:val="24"/>
          <w:szCs w:val="24"/>
        </w:rPr>
        <w:t>Commission</w:t>
      </w:r>
      <w:r w:rsidRPr="00073727">
        <w:rPr>
          <w:rFonts w:cs="Times New Roman"/>
          <w:sz w:val="24"/>
          <w:szCs w:val="24"/>
        </w:rPr>
        <w:t>:</w:t>
      </w:r>
      <w:r w:rsidRPr="00073727">
        <w:rPr>
          <w:rFonts w:cs="Times New Roman"/>
          <w:b/>
          <w:i/>
          <w:sz w:val="24"/>
          <w:szCs w:val="24"/>
        </w:rPr>
        <w:t xml:space="preserve"> EudraLex Volume 10 clinical trials guidelines</w:t>
      </w:r>
      <w:r w:rsidRPr="00073727">
        <w:rPr>
          <w:rFonts w:cs="Times New Roman"/>
          <w:sz w:val="24"/>
          <w:szCs w:val="24"/>
        </w:rPr>
        <w:t xml:space="preserve"> (</w:t>
      </w:r>
      <w:hyperlink r:id="rId33" w:history="1">
        <w:r w:rsidRPr="00073727">
          <w:rPr>
            <w:rStyle w:val="Hyperlink"/>
            <w:rFonts w:cs="Times New Roman"/>
            <w:sz w:val="24"/>
            <w:szCs w:val="24"/>
          </w:rPr>
          <w:t>https://ec.europa.eu/health/documents/eudralex/vol-10_en</w:t>
        </w:r>
      </w:hyperlink>
      <w:r w:rsidRPr="00073727">
        <w:rPr>
          <w:rFonts w:cs="Times New Roman"/>
          <w:sz w:val="24"/>
          <w:szCs w:val="24"/>
        </w:rPr>
        <w:t xml:space="preserve">) </w:t>
      </w:r>
      <w:r w:rsidRPr="00073727">
        <w:rPr>
          <w:rFonts w:cs="Times New Roman"/>
          <w:sz w:val="24"/>
          <w:szCs w:val="24"/>
        </w:rPr>
        <w:fldChar w:fldCharType="begin"/>
      </w:r>
      <w:r w:rsidR="001F04BE" w:rsidRPr="00073727">
        <w:rPr>
          <w:rFonts w:cs="Times New Roman"/>
          <w:sz w:val="24"/>
          <w:szCs w:val="24"/>
        </w:rPr>
        <w:instrText xml:space="preserve"> ADDIN ZOTERO_ITEM CSL_CITATION {"citationID":"71XpCmgX","properties":{"formattedCitation":"[6]","plainCitation":"[6]","noteIndex":0},"citationItems":[{"id":870,"uris":["http://zotero.org/groups/4760334/items/NQR5PXJZ"],"itemData":{"id":870,"type":"document","title":"EudraLex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073727">
        <w:rPr>
          <w:rFonts w:cs="Times New Roman"/>
          <w:sz w:val="24"/>
          <w:szCs w:val="24"/>
        </w:rPr>
        <w:fldChar w:fldCharType="separate"/>
      </w:r>
      <w:r w:rsidR="001F04BE" w:rsidRPr="00073727">
        <w:rPr>
          <w:rFonts w:cs="Times New Roman"/>
          <w:noProof/>
          <w:sz w:val="24"/>
          <w:szCs w:val="24"/>
        </w:rPr>
        <w:t>[6]</w:t>
      </w:r>
      <w:r w:rsidRPr="00073727">
        <w:rPr>
          <w:rFonts w:cs="Times New Roman"/>
          <w:sz w:val="24"/>
          <w:szCs w:val="24"/>
        </w:rPr>
        <w:fldChar w:fldCharType="end"/>
      </w:r>
      <w:r w:rsidRPr="00073727">
        <w:rPr>
          <w:rFonts w:cs="Times New Roman"/>
          <w:sz w:val="24"/>
          <w:szCs w:val="24"/>
        </w:rPr>
        <w:t>.</w:t>
      </w:r>
    </w:p>
    <w:p w14:paraId="413E4ABF" w14:textId="5FF54C17" w:rsidR="008B3A1A" w:rsidRPr="00073727" w:rsidRDefault="008925E8" w:rsidP="00942ED4">
      <w:pPr>
        <w:pStyle w:val="ListParagraph"/>
        <w:numPr>
          <w:ilvl w:val="0"/>
          <w:numId w:val="2"/>
        </w:numPr>
        <w:spacing w:after="0" w:line="360" w:lineRule="auto"/>
        <w:rPr>
          <w:rFonts w:cs="Times New Roman"/>
          <w:sz w:val="24"/>
          <w:szCs w:val="24"/>
        </w:rPr>
      </w:pPr>
      <w:r w:rsidRPr="00073727">
        <w:rPr>
          <w:rFonts w:cs="Times New Roman"/>
          <w:sz w:val="24"/>
          <w:szCs w:val="24"/>
        </w:rPr>
        <w:t xml:space="preserve">European </w:t>
      </w:r>
      <w:r w:rsidR="009B237F" w:rsidRPr="00073727">
        <w:rPr>
          <w:rFonts w:cs="Times New Roman"/>
          <w:sz w:val="24"/>
          <w:szCs w:val="24"/>
        </w:rPr>
        <w:t>Commission</w:t>
      </w:r>
      <w:r w:rsidRPr="00073727">
        <w:rPr>
          <w:rFonts w:cs="Times New Roman"/>
          <w:b/>
          <w:i/>
          <w:sz w:val="24"/>
          <w:szCs w:val="24"/>
        </w:rPr>
        <w:t xml:space="preserve"> EudraLex Volume 10 clinical trials guidelines</w:t>
      </w:r>
      <w:r w:rsidRPr="00073727">
        <w:rPr>
          <w:rFonts w:cs="Times New Roman"/>
          <w:sz w:val="24"/>
          <w:szCs w:val="24"/>
        </w:rPr>
        <w:t xml:space="preserve">: </w:t>
      </w:r>
      <w:r w:rsidRPr="00073727">
        <w:rPr>
          <w:rFonts w:cs="Times New Roman"/>
          <w:b/>
          <w:i/>
          <w:sz w:val="24"/>
          <w:szCs w:val="24"/>
        </w:rPr>
        <w:t>Guidance documents containing the common provisions on the conduct of GCP inspections by competent authorities of the different member states; To guidance for the conduct of good clinical practice inspections 2008</w:t>
      </w:r>
      <w:r w:rsidRPr="00073727">
        <w:rPr>
          <w:rFonts w:cs="Times New Roman"/>
          <w:sz w:val="24"/>
          <w:szCs w:val="24"/>
        </w:rPr>
        <w:t xml:space="preserve">. (see chapter 4 </w:t>
      </w:r>
      <w:hyperlink r:id="rId34" w:history="1">
        <w:r w:rsidRPr="00073727">
          <w:rPr>
            <w:rStyle w:val="Hyperlink"/>
            <w:rFonts w:cs="Times New Roman"/>
            <w:sz w:val="24"/>
            <w:szCs w:val="24"/>
          </w:rPr>
          <w:t>https://health.ec.europa.eu/medicinal-products/eudralex/eudralex-volume-10_en</w:t>
        </w:r>
      </w:hyperlink>
      <w:r w:rsidRPr="00073727">
        <w:rPr>
          <w:rFonts w:cs="Times New Roman"/>
          <w:sz w:val="24"/>
          <w:szCs w:val="24"/>
        </w:rPr>
        <w:t xml:space="preserve"> or PDF </w:t>
      </w:r>
      <w:hyperlink r:id="rId35" w:history="1">
        <w:r w:rsidRPr="00073727">
          <w:rPr>
            <w:rStyle w:val="Hyperlink"/>
            <w:rFonts w:cs="Times New Roman"/>
            <w:sz w:val="24"/>
            <w:szCs w:val="24"/>
          </w:rPr>
          <w:t>https://health.ec.europa.eu/system/files/2016-11/18540104en_en_0.pdf</w:t>
        </w:r>
      </w:hyperlink>
      <w:r w:rsidRPr="00073727">
        <w:rPr>
          <w:rFonts w:cs="Times New Roman"/>
          <w:sz w:val="24"/>
          <w:szCs w:val="24"/>
        </w:rPr>
        <w:t xml:space="preserve">) </w:t>
      </w:r>
      <w:r w:rsidRPr="00073727">
        <w:rPr>
          <w:rFonts w:cs="Times New Roman"/>
          <w:sz w:val="24"/>
          <w:szCs w:val="24"/>
        </w:rPr>
        <w:fldChar w:fldCharType="begin"/>
      </w:r>
      <w:r w:rsidR="001F04BE" w:rsidRPr="00073727">
        <w:rPr>
          <w:rFonts w:cs="Times New Roman"/>
          <w:sz w:val="24"/>
          <w:szCs w:val="24"/>
        </w:rPr>
        <w:instrText xml:space="preserve"> ADDIN ZOTERO_ITEM CSL_CITATION {"citationID":"iS55tvie","properties":{"formattedCitation":"[6]","plainCitation":"[6]","noteIndex":0},"citationItems":[{"id":870,"uris":["http://zotero.org/groups/4760334/items/NQR5PXJZ"],"itemData":{"id":870,"type":"document","title":"EudraLex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073727">
        <w:rPr>
          <w:rFonts w:cs="Times New Roman"/>
          <w:sz w:val="24"/>
          <w:szCs w:val="24"/>
        </w:rPr>
        <w:fldChar w:fldCharType="separate"/>
      </w:r>
      <w:r w:rsidR="001F04BE" w:rsidRPr="00073727">
        <w:rPr>
          <w:rFonts w:cs="Times New Roman"/>
          <w:noProof/>
          <w:sz w:val="24"/>
          <w:szCs w:val="24"/>
        </w:rPr>
        <w:t>[6]</w:t>
      </w:r>
      <w:r w:rsidRPr="00073727">
        <w:rPr>
          <w:rFonts w:cs="Times New Roman"/>
          <w:sz w:val="24"/>
          <w:szCs w:val="24"/>
        </w:rPr>
        <w:fldChar w:fldCharType="end"/>
      </w:r>
      <w:r w:rsidRPr="00073727">
        <w:rPr>
          <w:rFonts w:cs="Times New Roman"/>
          <w:sz w:val="24"/>
          <w:szCs w:val="24"/>
        </w:rPr>
        <w:t>.</w:t>
      </w:r>
    </w:p>
    <w:p w14:paraId="74AB40D0" w14:textId="77777777" w:rsidR="00C32691" w:rsidRPr="00073727" w:rsidRDefault="00C32691" w:rsidP="00942ED4">
      <w:pPr>
        <w:pStyle w:val="ListParagraph"/>
        <w:numPr>
          <w:ilvl w:val="0"/>
          <w:numId w:val="2"/>
        </w:numPr>
        <w:spacing w:after="0" w:line="360" w:lineRule="auto"/>
        <w:rPr>
          <w:rFonts w:cs="Times New Roman"/>
          <w:sz w:val="24"/>
          <w:szCs w:val="24"/>
        </w:rPr>
      </w:pPr>
    </w:p>
    <w:p w14:paraId="2888995F" w14:textId="6EF828B3" w:rsidR="005836BF" w:rsidRPr="00073727" w:rsidRDefault="005836BF" w:rsidP="00942ED4">
      <w:pPr>
        <w:pStyle w:val="Heading1"/>
        <w:spacing w:before="0" w:line="360" w:lineRule="auto"/>
      </w:pPr>
      <w:bookmarkStart w:id="15" w:name="_Toc116316421"/>
      <w:r w:rsidRPr="00073727">
        <w:t>Part D: Pre-IND Meeting / Scientific Advice</w:t>
      </w:r>
      <w:bookmarkEnd w:id="15"/>
    </w:p>
    <w:p w14:paraId="663DC521" w14:textId="77777777" w:rsidR="003A0507" w:rsidRPr="00073727" w:rsidRDefault="008B3A1A" w:rsidP="00942ED4">
      <w:pPr>
        <w:spacing w:line="360" w:lineRule="auto"/>
        <w:rPr>
          <w:iCs/>
          <w:lang w:val="en-US"/>
        </w:rPr>
      </w:pPr>
      <w:r w:rsidRPr="00073727">
        <w:rPr>
          <w:iCs/>
          <w:lang w:val="en-US"/>
        </w:rPr>
        <w:t xml:space="preserve">Here we will </w:t>
      </w:r>
      <w:r w:rsidR="003A0507" w:rsidRPr="00073727">
        <w:rPr>
          <w:iCs/>
          <w:lang w:val="en-US"/>
        </w:rPr>
        <w:t>include</w:t>
      </w:r>
      <w:r w:rsidR="005836BF" w:rsidRPr="00073727">
        <w:rPr>
          <w:iCs/>
        </w:rPr>
        <w:t xml:space="preserve"> a summary of the project background, the questions with the opinion of the company, number of attendees, and the time for the meeting (ideally)</w:t>
      </w:r>
      <w:r w:rsidRPr="00073727">
        <w:rPr>
          <w:iCs/>
          <w:lang w:val="en-US"/>
        </w:rPr>
        <w:t>.</w:t>
      </w:r>
      <w:r w:rsidR="003A0507" w:rsidRPr="00073727">
        <w:rPr>
          <w:iCs/>
          <w:lang w:val="en-US"/>
        </w:rPr>
        <w:t xml:space="preserve"> </w:t>
      </w:r>
    </w:p>
    <w:p w14:paraId="4878AB96" w14:textId="77777777" w:rsidR="00761036" w:rsidRPr="00073727" w:rsidRDefault="008B3A1A" w:rsidP="00942ED4">
      <w:pPr>
        <w:spacing w:line="360" w:lineRule="auto"/>
        <w:rPr>
          <w:iCs/>
          <w:lang w:val="en-US"/>
        </w:rPr>
      </w:pPr>
      <w:r w:rsidRPr="00073727">
        <w:rPr>
          <w:iCs/>
          <w:lang w:val="en-US"/>
        </w:rPr>
        <w:t xml:space="preserve">Advice can be found at </w:t>
      </w:r>
    </w:p>
    <w:p w14:paraId="03DF666A" w14:textId="77777777" w:rsidR="00761036" w:rsidRPr="00073727" w:rsidRDefault="008B3A1A" w:rsidP="00942ED4">
      <w:pPr>
        <w:pStyle w:val="ListParagraph"/>
        <w:numPr>
          <w:ilvl w:val="0"/>
          <w:numId w:val="4"/>
        </w:numPr>
        <w:spacing w:after="0" w:line="360" w:lineRule="auto"/>
        <w:rPr>
          <w:rFonts w:cs="Times New Roman"/>
          <w:iCs/>
        </w:rPr>
      </w:pPr>
      <w:r w:rsidRPr="00073727">
        <w:rPr>
          <w:rFonts w:cs="Times New Roman"/>
          <w:iCs/>
        </w:rPr>
        <w:t>Paul-Ehrlich-Institute, Federal Institute for Vaccines and Biomedicines webpage (</w:t>
      </w:r>
      <w:hyperlink r:id="rId36" w:history="1">
        <w:r w:rsidRPr="00073727">
          <w:rPr>
            <w:rStyle w:val="Hyperlink"/>
            <w:rFonts w:cs="Times New Roman"/>
          </w:rPr>
          <w:t>https://www.pei.de/EN/information/license-applicants/advice/scientific-advice/scientific-advice-node.html</w:t>
        </w:r>
      </w:hyperlink>
      <w:r w:rsidRPr="00073727">
        <w:rPr>
          <w:rFonts w:cs="Times New Roman"/>
        </w:rPr>
        <w:t>)</w:t>
      </w:r>
      <w:r w:rsidR="00761036" w:rsidRPr="00073727">
        <w:rPr>
          <w:rFonts w:cs="Times New Roman"/>
          <w:iCs/>
        </w:rPr>
        <w:t>.</w:t>
      </w:r>
    </w:p>
    <w:p w14:paraId="14AF3E74" w14:textId="1CDDCBC8" w:rsidR="008B3A1A" w:rsidRPr="00073727" w:rsidRDefault="008B3A1A" w:rsidP="00942ED4">
      <w:pPr>
        <w:pStyle w:val="ListParagraph"/>
        <w:numPr>
          <w:ilvl w:val="0"/>
          <w:numId w:val="4"/>
        </w:numPr>
        <w:spacing w:after="0" w:line="360" w:lineRule="auto"/>
        <w:rPr>
          <w:rFonts w:cs="Times New Roman"/>
          <w:iCs/>
        </w:rPr>
      </w:pPr>
      <w:r w:rsidRPr="00073727">
        <w:rPr>
          <w:rFonts w:cs="Times New Roman"/>
          <w:iCs/>
        </w:rPr>
        <w:t>EMA Human Regulatory webpage for Scientific advice and protocol assistance (</w:t>
      </w:r>
      <w:hyperlink r:id="rId37" w:history="1">
        <w:r w:rsidRPr="00073727">
          <w:rPr>
            <w:rStyle w:val="Hyperlink"/>
            <w:rFonts w:cs="Times New Roman"/>
          </w:rPr>
          <w:t>https://www.ema.europa.eu/en/human-regulatory/research-development/scientific-advice-protocol-assistance</w:t>
        </w:r>
      </w:hyperlink>
      <w:r w:rsidRPr="00073727">
        <w:rPr>
          <w:rFonts w:cs="Times New Roman"/>
        </w:rPr>
        <w:t>).</w:t>
      </w:r>
    </w:p>
    <w:p w14:paraId="4B2F1DD9" w14:textId="77777777" w:rsidR="008B3A1A" w:rsidRPr="00073727" w:rsidRDefault="008B3A1A" w:rsidP="00942ED4">
      <w:pPr>
        <w:spacing w:line="360" w:lineRule="auto"/>
        <w:rPr>
          <w:iCs/>
          <w:lang w:val="en-US"/>
        </w:rPr>
      </w:pPr>
    </w:p>
    <w:p w14:paraId="3E7E9ED7" w14:textId="21FB927A" w:rsidR="005836BF" w:rsidRPr="00073727" w:rsidRDefault="005836BF" w:rsidP="00942ED4">
      <w:pPr>
        <w:pStyle w:val="Heading1"/>
        <w:spacing w:before="0" w:line="360" w:lineRule="auto"/>
        <w:rPr>
          <w:iCs/>
          <w:lang w:val="en-US"/>
        </w:rPr>
      </w:pPr>
      <w:bookmarkStart w:id="16" w:name="_Toc116316422"/>
      <w:r w:rsidRPr="00073727">
        <w:t>Part E: Inspection Readiness</w:t>
      </w:r>
      <w:bookmarkEnd w:id="16"/>
    </w:p>
    <w:p w14:paraId="23979AA4" w14:textId="0A66E4D8" w:rsidR="005836BF" w:rsidRPr="00073727" w:rsidRDefault="003A0507" w:rsidP="00942ED4">
      <w:pPr>
        <w:spacing w:line="360" w:lineRule="auto"/>
      </w:pPr>
      <w:r w:rsidRPr="00073727">
        <w:rPr>
          <w:lang w:val="en-US"/>
        </w:rPr>
        <w:t>Here we will</w:t>
      </w:r>
      <w:r w:rsidR="005836BF" w:rsidRPr="00073727">
        <w:t xml:space="preserve"> write a summary of the work that a company needs to have ready before the inspection to ensure compliance to GxP. Extract some details from the Week 3 presentation. Important is </w:t>
      </w:r>
      <w:r w:rsidR="008501DA" w:rsidRPr="00073727">
        <w:rPr>
          <w:lang w:val="en-US"/>
        </w:rPr>
        <w:t>to</w:t>
      </w:r>
      <w:r w:rsidR="005836BF" w:rsidRPr="00073727">
        <w:t xml:space="preserve"> know the points the inspector normally go through during an inspection.</w:t>
      </w:r>
    </w:p>
    <w:p w14:paraId="228C75C4" w14:textId="77777777" w:rsidR="00C32691" w:rsidRPr="00073727" w:rsidRDefault="00C32691" w:rsidP="00942ED4">
      <w:pPr>
        <w:spacing w:line="360" w:lineRule="auto"/>
      </w:pPr>
    </w:p>
    <w:p w14:paraId="0A143E01" w14:textId="2993B4D1" w:rsidR="005836BF" w:rsidRPr="00073727" w:rsidRDefault="005836BF" w:rsidP="00942ED4">
      <w:pPr>
        <w:spacing w:line="360" w:lineRule="auto"/>
        <w:rPr>
          <w:lang w:val="en-US"/>
        </w:rPr>
      </w:pPr>
      <w:r w:rsidRPr="00073727">
        <w:t>Guidance</w:t>
      </w:r>
      <w:r w:rsidR="003A0507" w:rsidRPr="00073727">
        <w:rPr>
          <w:lang w:val="en-US"/>
        </w:rPr>
        <w:t xml:space="preserve"> can be found at</w:t>
      </w:r>
    </w:p>
    <w:p w14:paraId="5E6185C1" w14:textId="1D752472" w:rsidR="00822AF5" w:rsidRPr="00073727" w:rsidRDefault="003A0507" w:rsidP="00942ED4">
      <w:pPr>
        <w:pStyle w:val="ListParagraph"/>
        <w:numPr>
          <w:ilvl w:val="0"/>
          <w:numId w:val="2"/>
        </w:numPr>
        <w:spacing w:after="0" w:line="360" w:lineRule="auto"/>
        <w:rPr>
          <w:rFonts w:cs="Times New Roman"/>
          <w:sz w:val="24"/>
          <w:szCs w:val="24"/>
        </w:rPr>
      </w:pPr>
      <w:r w:rsidRPr="00073727">
        <w:rPr>
          <w:rFonts w:cs="Times New Roman"/>
          <w:sz w:val="24"/>
          <w:szCs w:val="24"/>
        </w:rPr>
        <w:t xml:space="preserve">European </w:t>
      </w:r>
      <w:r w:rsidR="009B237F" w:rsidRPr="00073727">
        <w:rPr>
          <w:rFonts w:cs="Times New Roman"/>
          <w:sz w:val="24"/>
          <w:szCs w:val="24"/>
        </w:rPr>
        <w:t>Commission</w:t>
      </w:r>
      <w:r w:rsidRPr="00073727">
        <w:rPr>
          <w:rFonts w:cs="Times New Roman"/>
          <w:b/>
          <w:i/>
          <w:sz w:val="24"/>
          <w:szCs w:val="24"/>
        </w:rPr>
        <w:t xml:space="preserve"> EudraLex Volume 10 clinical trials guidelines</w:t>
      </w:r>
      <w:r w:rsidRPr="00073727">
        <w:rPr>
          <w:rFonts w:cs="Times New Roman"/>
          <w:sz w:val="24"/>
          <w:szCs w:val="24"/>
        </w:rPr>
        <w:t xml:space="preserve">: </w:t>
      </w:r>
      <w:r w:rsidRPr="00073727">
        <w:rPr>
          <w:rFonts w:cs="Times New Roman"/>
          <w:b/>
          <w:i/>
          <w:sz w:val="24"/>
          <w:szCs w:val="24"/>
        </w:rPr>
        <w:t>Guidance documents containing the common provisions on the conduct of GCP inspections by competent authorities of the different member states; To guidance for the conduct of good clinical practice inspections 2008</w:t>
      </w:r>
      <w:r w:rsidRPr="00073727">
        <w:rPr>
          <w:rFonts w:cs="Times New Roman"/>
          <w:sz w:val="24"/>
          <w:szCs w:val="24"/>
        </w:rPr>
        <w:t xml:space="preserve">. (see chapter 4 </w:t>
      </w:r>
      <w:hyperlink r:id="rId38" w:history="1">
        <w:r w:rsidRPr="00073727">
          <w:rPr>
            <w:rStyle w:val="Hyperlink"/>
            <w:rFonts w:cs="Times New Roman"/>
            <w:sz w:val="24"/>
            <w:szCs w:val="24"/>
          </w:rPr>
          <w:t>https://health.ec.europa.eu/medicinal-products/eudralex/eudralex-volume-10_en</w:t>
        </w:r>
      </w:hyperlink>
      <w:r w:rsidR="00822AF5" w:rsidRPr="00073727">
        <w:rPr>
          <w:rFonts w:cs="Times New Roman"/>
          <w:sz w:val="24"/>
          <w:szCs w:val="24"/>
        </w:rPr>
        <w:t xml:space="preserve">) </w:t>
      </w:r>
      <w:r w:rsidRPr="00073727">
        <w:rPr>
          <w:rFonts w:cs="Times New Roman"/>
          <w:sz w:val="24"/>
          <w:szCs w:val="24"/>
        </w:rPr>
        <w:fldChar w:fldCharType="begin"/>
      </w:r>
      <w:r w:rsidR="001F04BE" w:rsidRPr="00073727">
        <w:rPr>
          <w:rFonts w:cs="Times New Roman"/>
          <w:sz w:val="24"/>
          <w:szCs w:val="24"/>
        </w:rPr>
        <w:instrText xml:space="preserve"> ADDIN ZOTERO_ITEM CSL_CITATION {"citationID":"yvnaUAgd","properties":{"formattedCitation":"[6]","plainCitation":"[6]","noteIndex":0},"citationItems":[{"id":870,"uris":["http://zotero.org/groups/4760334/items/NQR5PXJZ"],"itemData":{"id":870,"type":"document","title":"EudraLex Volume 10 Clinical trials guidelines.","URL":"https://health.ec.europa.eu/medicinal-products/eudralex/eudralex-volume-10_en","issued":{"date-parts":[["2014"]]}}}],"schema":"https://github.com/citation-style-language/schema/raw/master/csl-citation.json"} </w:instrText>
      </w:r>
      <w:r w:rsidRPr="00073727">
        <w:rPr>
          <w:rFonts w:cs="Times New Roman"/>
          <w:sz w:val="24"/>
          <w:szCs w:val="24"/>
        </w:rPr>
        <w:fldChar w:fldCharType="separate"/>
      </w:r>
      <w:r w:rsidR="001F04BE" w:rsidRPr="00073727">
        <w:rPr>
          <w:rFonts w:cs="Times New Roman"/>
          <w:noProof/>
          <w:sz w:val="24"/>
          <w:szCs w:val="24"/>
        </w:rPr>
        <w:t>[6]</w:t>
      </w:r>
      <w:r w:rsidRPr="00073727">
        <w:rPr>
          <w:rFonts w:cs="Times New Roman"/>
          <w:sz w:val="24"/>
          <w:szCs w:val="24"/>
        </w:rPr>
        <w:fldChar w:fldCharType="end"/>
      </w:r>
      <w:r w:rsidRPr="00073727">
        <w:rPr>
          <w:rFonts w:cs="Times New Roman"/>
          <w:sz w:val="24"/>
          <w:szCs w:val="24"/>
        </w:rPr>
        <w:t>.</w:t>
      </w:r>
    </w:p>
    <w:p w14:paraId="5F75D4F3" w14:textId="473A9E3E" w:rsidR="00822AF5" w:rsidRPr="00073727" w:rsidRDefault="00822AF5" w:rsidP="00942ED4">
      <w:pPr>
        <w:pStyle w:val="ListParagraph"/>
        <w:numPr>
          <w:ilvl w:val="0"/>
          <w:numId w:val="2"/>
        </w:numPr>
        <w:spacing w:after="0" w:line="360" w:lineRule="auto"/>
        <w:rPr>
          <w:rFonts w:cs="Times New Roman"/>
          <w:sz w:val="24"/>
          <w:szCs w:val="24"/>
        </w:rPr>
      </w:pPr>
      <w:r w:rsidRPr="00073727">
        <w:rPr>
          <w:rFonts w:cs="Times New Roman"/>
        </w:rPr>
        <w:t xml:space="preserve">European </w:t>
      </w:r>
      <w:r w:rsidR="009B237F" w:rsidRPr="00073727">
        <w:rPr>
          <w:rFonts w:cs="Times New Roman"/>
          <w:bCs/>
          <w:iCs/>
        </w:rPr>
        <w:t>Commission</w:t>
      </w:r>
      <w:r w:rsidRPr="00073727">
        <w:rPr>
          <w:rFonts w:cs="Times New Roman"/>
          <w:bCs/>
          <w:iCs/>
        </w:rPr>
        <w:t>: Guidance</w:t>
      </w:r>
      <w:r w:rsidRPr="00073727">
        <w:rPr>
          <w:rFonts w:cs="Times New Roman"/>
        </w:rPr>
        <w:t xml:space="preserve"> documents containing the common provisions on the conduct of GCP inspections by competent authorities of the different member states.</w:t>
      </w:r>
      <w:r w:rsidR="009B237F" w:rsidRPr="00073727">
        <w:rPr>
          <w:rFonts w:cs="Times New Roman"/>
        </w:rPr>
        <w:t xml:space="preserve"> </w:t>
      </w:r>
      <w:r w:rsidR="009B237F" w:rsidRPr="00073727">
        <w:rPr>
          <w:rFonts w:cs="Times New Roman"/>
          <w:b/>
          <w:bCs/>
          <w:i/>
          <w:iCs/>
        </w:rPr>
        <w:t>Gu</w:t>
      </w:r>
      <w:r w:rsidRPr="00073727">
        <w:rPr>
          <w:rFonts w:cs="Times New Roman"/>
          <w:b/>
          <w:bCs/>
          <w:i/>
          <w:iCs/>
        </w:rPr>
        <w:t>idance for the conduct of good clinical practice inspections</w:t>
      </w:r>
      <w:r w:rsidR="009B237F" w:rsidRPr="00073727">
        <w:rPr>
          <w:rFonts w:cs="Times New Roman"/>
          <w:b/>
          <w:bCs/>
          <w:i/>
          <w:iCs/>
        </w:rPr>
        <w:t xml:space="preserve"> </w:t>
      </w:r>
      <w:r w:rsidR="009B237F" w:rsidRPr="00073727">
        <w:rPr>
          <w:rFonts w:cs="Times New Roman"/>
        </w:rPr>
        <w:t>(</w:t>
      </w:r>
      <w:hyperlink r:id="rId39" w:history="1">
        <w:r w:rsidR="009B237F" w:rsidRPr="00073727">
          <w:rPr>
            <w:rStyle w:val="Hyperlink"/>
            <w:rFonts w:cs="Times New Roman"/>
            <w:sz w:val="24"/>
            <w:szCs w:val="24"/>
          </w:rPr>
          <w:t>https://ec.europa.eu/health/sites/health/files/files/eudralex/vol-10/2008_11/vpl10_an5_10-2008_en.pdf</w:t>
        </w:r>
      </w:hyperlink>
      <w:r w:rsidRPr="00073727">
        <w:rPr>
          <w:rFonts w:cs="Times New Roman"/>
        </w:rPr>
        <w:t>).</w:t>
      </w:r>
    </w:p>
    <w:p w14:paraId="07382EFB" w14:textId="0B33B129" w:rsidR="0007227B" w:rsidRPr="00073727" w:rsidRDefault="0007227B" w:rsidP="00942ED4">
      <w:pPr>
        <w:pStyle w:val="NormalWeb"/>
        <w:spacing w:before="0" w:beforeAutospacing="0" w:after="0" w:afterAutospacing="0" w:line="360" w:lineRule="auto"/>
        <w:rPr>
          <w:lang w:val="en-US"/>
        </w:rPr>
      </w:pPr>
    </w:p>
    <w:p w14:paraId="3C0335F0" w14:textId="4DD958F3" w:rsidR="005C1B7D" w:rsidRPr="00073727" w:rsidRDefault="005C1B7D" w:rsidP="00942ED4">
      <w:pPr>
        <w:pStyle w:val="Heading1"/>
        <w:spacing w:before="0" w:line="360" w:lineRule="auto"/>
      </w:pPr>
      <w:bookmarkStart w:id="17" w:name="_Toc116316423"/>
      <w:r w:rsidRPr="00073727">
        <w:lastRenderedPageBreak/>
        <w:t>Overall strategy</w:t>
      </w:r>
      <w:bookmarkEnd w:id="17"/>
    </w:p>
    <w:p w14:paraId="6239018A" w14:textId="77777777" w:rsidR="005C1B7D" w:rsidRPr="00073727" w:rsidRDefault="005C1B7D" w:rsidP="00942ED4">
      <w:pPr>
        <w:pStyle w:val="NormalWeb"/>
        <w:spacing w:before="0" w:beforeAutospacing="0" w:after="0" w:afterAutospacing="0" w:line="360" w:lineRule="auto"/>
      </w:pPr>
      <w:r w:rsidRPr="00073727">
        <w:t>Hints – With the above plans on the domains of preclinical, clinical and CMC, how would you accelerate submission process in Germany, with minimum questions from the health authorities and EC/IRB, and obtain rapid HA and EC/IRB approvals?</w:t>
      </w:r>
    </w:p>
    <w:p w14:paraId="3FFD04AB" w14:textId="77777777" w:rsidR="005C1B7D" w:rsidRPr="00073727" w:rsidRDefault="005C1B7D" w:rsidP="00942ED4">
      <w:pPr>
        <w:pStyle w:val="NormalWeb"/>
        <w:spacing w:before="0" w:beforeAutospacing="0" w:after="0" w:afterAutospacing="0" w:line="360" w:lineRule="auto"/>
      </w:pPr>
      <w:r w:rsidRPr="00073727">
        <w:t> </w:t>
      </w:r>
    </w:p>
    <w:p w14:paraId="68A8DF6C" w14:textId="26364165" w:rsidR="005C1B7D" w:rsidRPr="00073727" w:rsidRDefault="005C1B7D" w:rsidP="00942ED4">
      <w:pPr>
        <w:pStyle w:val="Heading1"/>
        <w:spacing w:before="0" w:line="360" w:lineRule="auto"/>
      </w:pPr>
      <w:bookmarkStart w:id="18" w:name="_Toc116316424"/>
      <w:r w:rsidRPr="00073727">
        <w:t>Advice to Management</w:t>
      </w:r>
      <w:bookmarkEnd w:id="18"/>
    </w:p>
    <w:p w14:paraId="31902121" w14:textId="6230C352" w:rsidR="005C1B7D" w:rsidRPr="00073727" w:rsidRDefault="005C1B7D" w:rsidP="00942ED4">
      <w:pPr>
        <w:pStyle w:val="NormalWeb"/>
        <w:spacing w:before="0" w:beforeAutospacing="0" w:after="0" w:afterAutospacing="0" w:line="360" w:lineRule="auto"/>
        <w:rPr>
          <w:lang w:val="en-US"/>
        </w:rPr>
      </w:pPr>
      <w:r w:rsidRPr="00073727">
        <w:t>Hints – A short cover letter to the management on the Development Plan</w:t>
      </w:r>
      <w:r w:rsidR="00C32691" w:rsidRPr="00073727">
        <w:rPr>
          <w:lang w:val="en-US"/>
        </w:rPr>
        <w:t>.</w:t>
      </w:r>
    </w:p>
    <w:p w14:paraId="3F927E2B" w14:textId="77777777" w:rsidR="00C32691" w:rsidRPr="00073727" w:rsidRDefault="00C32691" w:rsidP="00942ED4">
      <w:pPr>
        <w:pStyle w:val="NormalWeb"/>
        <w:spacing w:before="0" w:beforeAutospacing="0" w:after="0" w:afterAutospacing="0" w:line="360" w:lineRule="auto"/>
      </w:pPr>
    </w:p>
    <w:p w14:paraId="0153C23D" w14:textId="0A77957D" w:rsidR="005C1B7D" w:rsidRPr="00073727" w:rsidRDefault="005C1B7D" w:rsidP="00942ED4">
      <w:pPr>
        <w:pStyle w:val="Heading1"/>
        <w:spacing w:before="0" w:line="360" w:lineRule="auto"/>
      </w:pPr>
      <w:bookmarkStart w:id="19" w:name="_Toc116316425"/>
      <w:r w:rsidRPr="00073727">
        <w:t>Conclusion</w:t>
      </w:r>
      <w:bookmarkEnd w:id="19"/>
    </w:p>
    <w:p w14:paraId="59202C56" w14:textId="0FF143D3" w:rsidR="005C1B7D" w:rsidRPr="00073727" w:rsidRDefault="005C1B7D" w:rsidP="00942ED4">
      <w:pPr>
        <w:pStyle w:val="NormalWeb"/>
        <w:spacing w:before="0" w:beforeAutospacing="0" w:after="0" w:afterAutospacing="0" w:line="360" w:lineRule="auto"/>
      </w:pPr>
      <w:r w:rsidRPr="00073727">
        <w:t>Hints – A very short (two paragraphs) on why you think the regulatory strategy is well thought through and has the maximum chance of success.</w:t>
      </w:r>
    </w:p>
    <w:p w14:paraId="35C39ECA" w14:textId="2CAF7A82" w:rsidR="00820322" w:rsidRPr="00073727" w:rsidRDefault="00820322" w:rsidP="00942ED4">
      <w:pPr>
        <w:pStyle w:val="NormalWeb"/>
        <w:spacing w:before="0" w:beforeAutospacing="0" w:after="0" w:afterAutospacing="0" w:line="360" w:lineRule="auto"/>
      </w:pPr>
    </w:p>
    <w:p w14:paraId="62FB9FDF" w14:textId="3C2A539F" w:rsidR="00820322" w:rsidRPr="00073727" w:rsidRDefault="00820322" w:rsidP="00942ED4">
      <w:pPr>
        <w:pStyle w:val="Heading1"/>
        <w:spacing w:before="0" w:line="360" w:lineRule="auto"/>
        <w:rPr>
          <w:rFonts w:ascii="Times New Roman" w:hAnsi="Times New Roman" w:cs="Times New Roman"/>
          <w:lang w:val="en-US"/>
        </w:rPr>
      </w:pPr>
      <w:bookmarkStart w:id="20" w:name="_Toc116316426"/>
      <w:r w:rsidRPr="00073727">
        <w:rPr>
          <w:rFonts w:ascii="Times New Roman" w:hAnsi="Times New Roman" w:cs="Times New Roman"/>
          <w:lang w:val="en-US"/>
        </w:rPr>
        <w:t>Supplemental</w:t>
      </w:r>
      <w:bookmarkEnd w:id="20"/>
    </w:p>
    <w:p w14:paraId="12EB1834" w14:textId="4AF723A7" w:rsidR="00820322" w:rsidRPr="00073727" w:rsidRDefault="00820322" w:rsidP="00942ED4">
      <w:pPr>
        <w:pStyle w:val="Heading2"/>
        <w:spacing w:before="0" w:after="0" w:line="360" w:lineRule="auto"/>
        <w:rPr>
          <w:rFonts w:ascii="Times New Roman" w:hAnsi="Times New Roman"/>
          <w:lang w:val="en-US"/>
        </w:rPr>
      </w:pPr>
      <w:bookmarkStart w:id="21" w:name="_Toc116316427"/>
      <w:r w:rsidRPr="00073727">
        <w:rPr>
          <w:rFonts w:ascii="Times New Roman" w:hAnsi="Times New Roman"/>
          <w:lang w:val="en-US"/>
        </w:rPr>
        <w:t>Introduction</w:t>
      </w:r>
      <w:r w:rsidR="00660E67" w:rsidRPr="00073727">
        <w:rPr>
          <w:rFonts w:ascii="Times New Roman" w:hAnsi="Times New Roman"/>
          <w:lang w:val="en-US"/>
        </w:rPr>
        <w:t xml:space="preserve"> on therapeutic </w:t>
      </w:r>
      <w:proofErr w:type="spellStart"/>
      <w:r w:rsidR="00660E67" w:rsidRPr="00073727">
        <w:rPr>
          <w:rFonts w:ascii="Times New Roman" w:hAnsi="Times New Roman"/>
          <w:lang w:val="en-US"/>
        </w:rPr>
        <w:t>mAb</w:t>
      </w:r>
      <w:bookmarkEnd w:id="21"/>
      <w:proofErr w:type="spellEnd"/>
    </w:p>
    <w:p w14:paraId="600C2C53" w14:textId="7DC8B5E8" w:rsidR="00820322" w:rsidRPr="00073727" w:rsidRDefault="00820322" w:rsidP="00942ED4">
      <w:pPr>
        <w:pStyle w:val="NormalWeb"/>
        <w:spacing w:before="0" w:beforeAutospacing="0" w:after="0" w:afterAutospacing="0" w:line="360" w:lineRule="auto"/>
        <w:rPr>
          <w:lang w:val="en-US"/>
        </w:rPr>
      </w:pPr>
      <w:r w:rsidRPr="00073727">
        <w:rPr>
          <w:lang w:val="en-US"/>
        </w:rPr>
        <w:t>Monoclonal antibodies (</w:t>
      </w:r>
      <w:proofErr w:type="spellStart"/>
      <w:r w:rsidRPr="00073727">
        <w:rPr>
          <w:lang w:val="en-US"/>
        </w:rPr>
        <w:t>mAb</w:t>
      </w:r>
      <w:proofErr w:type="spellEnd"/>
      <w:r w:rsidRPr="00073727">
        <w:rPr>
          <w:lang w:val="en-US"/>
        </w:rPr>
        <w:t xml:space="preserve">) are well established as cancer therapies. As early as 1890, the neutralizing effect on diphtheria was known </w:t>
      </w:r>
      <w:r w:rsidRPr="00073727">
        <w:rPr>
          <w:lang w:val="en-US"/>
        </w:rPr>
        <w:fldChar w:fldCharType="begin"/>
      </w:r>
      <w:r w:rsidR="001F04BE" w:rsidRPr="00073727">
        <w:rPr>
          <w:lang w:val="en-US"/>
        </w:rPr>
        <w:instrText xml:space="preserve"> ADDIN ZOTERO_ITEM CSL_CITATION {"citationID":"by5z454O","properties":{"formattedCitation":"[12]","plainCitation":"[12]","noteIndex":0},"citationItems":[{"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sidRPr="00073727">
        <w:rPr>
          <w:lang w:val="en-US"/>
        </w:rPr>
        <w:fldChar w:fldCharType="separate"/>
      </w:r>
      <w:r w:rsidR="001F04BE" w:rsidRPr="00073727">
        <w:rPr>
          <w:noProof/>
          <w:lang w:val="en-US"/>
        </w:rPr>
        <w:t>[12]</w:t>
      </w:r>
      <w:r w:rsidRPr="00073727">
        <w:rPr>
          <w:lang w:val="en-US"/>
        </w:rPr>
        <w:fldChar w:fldCharType="end"/>
      </w:r>
      <w:r w:rsidRPr="00073727">
        <w:rPr>
          <w:lang w:val="en-US"/>
        </w:rPr>
        <w:t xml:space="preserve">. In 1980, human trials of </w:t>
      </w:r>
      <w:proofErr w:type="spellStart"/>
      <w:r w:rsidRPr="00073727">
        <w:rPr>
          <w:lang w:val="en-US"/>
        </w:rPr>
        <w:t>mAb</w:t>
      </w:r>
      <w:proofErr w:type="spellEnd"/>
      <w:r w:rsidRPr="00073727">
        <w:rPr>
          <w:lang w:val="en-US"/>
        </w:rPr>
        <w:t xml:space="preserve"> therapy for the treatment of lymphoma were performed and with the advent of antibody humanization later that decade, this treatment strategy became a powerful tool for precision medicine </w:t>
      </w:r>
      <w:r w:rsidRPr="00073727">
        <w:rPr>
          <w:lang w:val="en-US"/>
        </w:rPr>
        <w:fldChar w:fldCharType="begin"/>
      </w:r>
      <w:r w:rsidR="001F04BE" w:rsidRPr="00073727">
        <w:rPr>
          <w:lang w:val="en-US"/>
        </w:rPr>
        <w:instrText xml:space="preserve"> ADDIN ZOTERO_ITEM CSL_CITATION {"citationID":"PU969LiO","properties":{"formattedCitation":"[12]","plainCitation":"[12]","noteIndex":0},"citationItems":[{"id":858,"uris":["http://zotero.org/groups/4760334/items/R3Y6RV9H"],"itemData":{"id":858,"type":"article-journal","container-title":"Antibodies","issue":"3","note":"ISBN: 2073-4468\npublisher: MDPI","page":"34","title":"Monoclonal antibodies in cancer therapy","volume":"9","author":[{"family":"Zahavi","given":"David"},{"family":"Weiner","given":"Louis"}],"issued":{"date-parts":[["2020"]]}}}],"schema":"https://github.com/citation-style-language/schema/raw/master/csl-citation.json"} </w:instrText>
      </w:r>
      <w:r w:rsidRPr="00073727">
        <w:rPr>
          <w:lang w:val="en-US"/>
        </w:rPr>
        <w:fldChar w:fldCharType="separate"/>
      </w:r>
      <w:r w:rsidR="001F04BE" w:rsidRPr="00073727">
        <w:rPr>
          <w:noProof/>
          <w:lang w:val="en-US"/>
        </w:rPr>
        <w:t>[12]</w:t>
      </w:r>
      <w:r w:rsidRPr="00073727">
        <w:rPr>
          <w:lang w:val="en-US"/>
        </w:rPr>
        <w:fldChar w:fldCharType="end"/>
      </w:r>
      <w:r w:rsidRPr="00073727">
        <w:rPr>
          <w:lang w:val="en-US"/>
        </w:rPr>
        <w:t xml:space="preserve">. </w:t>
      </w:r>
    </w:p>
    <w:p w14:paraId="4E0D5726" w14:textId="77777777" w:rsidR="00820322" w:rsidRPr="00073727" w:rsidRDefault="00820322" w:rsidP="00942ED4">
      <w:pPr>
        <w:pStyle w:val="NormalWeb"/>
        <w:spacing w:before="0" w:beforeAutospacing="0" w:after="0" w:afterAutospacing="0" w:line="360" w:lineRule="auto"/>
        <w:rPr>
          <w:lang w:val="en-US"/>
        </w:rPr>
      </w:pPr>
    </w:p>
    <w:p w14:paraId="70D53554" w14:textId="22B53D7E" w:rsidR="00820322" w:rsidRPr="00073727" w:rsidRDefault="00820322" w:rsidP="00942ED4">
      <w:pPr>
        <w:pStyle w:val="NormalWeb"/>
        <w:spacing w:before="0" w:beforeAutospacing="0" w:after="0" w:afterAutospacing="0" w:line="360" w:lineRule="auto"/>
        <w:rPr>
          <w:rFonts w:eastAsia="Calibri"/>
          <w:color w:val="000000"/>
          <w:lang w:val="en-US"/>
        </w:rPr>
      </w:pPr>
      <w:r w:rsidRPr="00073727">
        <w:rPr>
          <w:lang w:val="en-US"/>
        </w:rPr>
        <w:t xml:space="preserve">The advent and rise of mAb is a triumph for clinical medicine. Since the beginning of their modern understanding, the applications for </w:t>
      </w:r>
      <w:proofErr w:type="spellStart"/>
      <w:r w:rsidRPr="00073727">
        <w:rPr>
          <w:lang w:val="en-US"/>
        </w:rPr>
        <w:t>mAb</w:t>
      </w:r>
      <w:proofErr w:type="spellEnd"/>
      <w:r w:rsidRPr="00073727">
        <w:rPr>
          <w:lang w:val="en-US"/>
        </w:rPr>
        <w:t xml:space="preserve"> have been recognized; “</w:t>
      </w:r>
      <w:r w:rsidRPr="00073727">
        <w:rPr>
          <w:rFonts w:eastAsia="Calibri"/>
          <w:color w:val="000000"/>
          <w:lang w:val="en-US"/>
        </w:rPr>
        <w:t xml:space="preserve">a 1975 Nature paper reported how cell lines could be made that produce an antibody of known specificity” </w:t>
      </w:r>
      <w:r w:rsidRPr="00073727">
        <w:rPr>
          <w:rFonts w:eastAsia="Calibri"/>
          <w:color w:val="000000"/>
          <w:lang w:val="en-US"/>
        </w:rPr>
        <w:fldChar w:fldCharType="begin"/>
      </w:r>
      <w:r w:rsidR="001F04BE" w:rsidRPr="00073727">
        <w:rPr>
          <w:rFonts w:eastAsia="Calibri"/>
          <w:color w:val="000000"/>
          <w:lang w:val="en-US"/>
        </w:rPr>
        <w:instrText xml:space="preserve"> ADDIN ZOTERO_ITEM CSL_CITATION {"citationID":"8TxQ6EfX","properties":{"formattedCitation":"[13]","plainCitation":"[13]","noteIndex":0},"citationItems":[{"id":861,"uris":["http://zotero.org/groups/4760334/items/NJSCJNSR"],"itemData":{"id":861,"type":"book","publisher":"Nature Publishing Group","title":"The advent and rise of monoclonal antibodies","author":[{"family":"Rajewsky","given":"Klaus"}],"issued":{"date-parts":[["2019"]]}}}],"schema":"https://github.com/citation-style-language/schema/raw/master/csl-citation.json"} </w:instrText>
      </w:r>
      <w:r w:rsidRPr="00073727">
        <w:rPr>
          <w:rFonts w:eastAsia="Calibri"/>
          <w:color w:val="000000"/>
          <w:lang w:val="en-US"/>
        </w:rPr>
        <w:fldChar w:fldCharType="separate"/>
      </w:r>
      <w:r w:rsidR="001F04BE" w:rsidRPr="00073727">
        <w:rPr>
          <w:rFonts w:eastAsia="Calibri"/>
          <w:noProof/>
          <w:color w:val="000000"/>
          <w:lang w:val="en-US"/>
        </w:rPr>
        <w:t>[13]</w:t>
      </w:r>
      <w:r w:rsidRPr="00073727">
        <w:rPr>
          <w:rFonts w:eastAsia="Calibri"/>
          <w:color w:val="000000"/>
          <w:lang w:val="en-US"/>
        </w:rPr>
        <w:fldChar w:fldCharType="end"/>
      </w:r>
      <w:r w:rsidRPr="00073727">
        <w:rPr>
          <w:rFonts w:eastAsia="Calibri"/>
          <w:color w:val="000000"/>
          <w:lang w:val="en-US"/>
        </w:rPr>
        <w:t xml:space="preserve">. While these early days of antibody production - relying on hybridoma technology - were challenging, today </w:t>
      </w:r>
      <w:proofErr w:type="spellStart"/>
      <w:r w:rsidRPr="00073727">
        <w:rPr>
          <w:rFonts w:eastAsia="Calibri"/>
          <w:color w:val="000000"/>
          <w:lang w:val="en-US"/>
        </w:rPr>
        <w:t>mAb</w:t>
      </w:r>
      <w:proofErr w:type="spellEnd"/>
      <w:r w:rsidRPr="00073727">
        <w:rPr>
          <w:rFonts w:eastAsia="Calibri"/>
          <w:color w:val="000000"/>
          <w:lang w:val="en-US"/>
        </w:rPr>
        <w:t xml:space="preserve"> are often produced by isolation or transformation of Ab-producing cells taken directly from immunized animals or humans. The immunoglobulin genes responsible for the Ab of interest are subsequently transplanted into cell lines </w:t>
      </w:r>
      <w:r w:rsidRPr="00073727">
        <w:rPr>
          <w:rFonts w:eastAsia="Calibri"/>
          <w:color w:val="000000"/>
          <w:lang w:val="en-US"/>
        </w:rPr>
        <w:fldChar w:fldCharType="begin"/>
      </w:r>
      <w:r w:rsidR="001F04BE" w:rsidRPr="00073727">
        <w:rPr>
          <w:rFonts w:eastAsia="Calibri"/>
          <w:color w:val="000000"/>
          <w:lang w:val="en-US"/>
        </w:rPr>
        <w:instrText xml:space="preserve"> ADDIN ZOTERO_ITEM CSL_CITATION {"citationID":"zQFw42CO","properties":{"formattedCitation":"[13]","plainCitation":"[13]","noteIndex":0},"citationItems":[{"id":861,"uris":["http://zotero.org/groups/4760334/items/NJSCJNSR"],"itemData":{"id":861,"type":"book","publisher":"Nature Publishing Group","title":"The advent and rise of monoclonal antibodies","author":[{"family":"Rajewsky","given":"Klaus"}],"issued":{"date-parts":[["2019"]]}}}],"schema":"https://github.com/citation-style-language/schema/raw/master/csl-citation.json"} </w:instrText>
      </w:r>
      <w:r w:rsidRPr="00073727">
        <w:rPr>
          <w:rFonts w:eastAsia="Calibri"/>
          <w:color w:val="000000"/>
          <w:lang w:val="en-US"/>
        </w:rPr>
        <w:fldChar w:fldCharType="separate"/>
      </w:r>
      <w:r w:rsidR="001F04BE" w:rsidRPr="00073727">
        <w:rPr>
          <w:rFonts w:eastAsia="Calibri"/>
          <w:noProof/>
          <w:color w:val="000000"/>
          <w:lang w:val="en-US"/>
        </w:rPr>
        <w:t>[13]</w:t>
      </w:r>
      <w:r w:rsidRPr="00073727">
        <w:rPr>
          <w:rFonts w:eastAsia="Calibri"/>
          <w:color w:val="000000"/>
          <w:lang w:val="en-US"/>
        </w:rPr>
        <w:fldChar w:fldCharType="end"/>
      </w:r>
      <w:r w:rsidRPr="00073727">
        <w:rPr>
          <w:rFonts w:eastAsia="Calibri"/>
          <w:color w:val="000000"/>
          <w:lang w:val="en-US"/>
        </w:rPr>
        <w:t>.</w:t>
      </w:r>
    </w:p>
    <w:p w14:paraId="3E6BC044" w14:textId="77777777" w:rsidR="00820322" w:rsidRPr="00073727" w:rsidRDefault="00820322" w:rsidP="00942ED4">
      <w:pPr>
        <w:pStyle w:val="NormalWeb"/>
        <w:spacing w:before="0" w:beforeAutospacing="0" w:after="0" w:afterAutospacing="0" w:line="360" w:lineRule="auto"/>
        <w:rPr>
          <w:lang w:val="en-US"/>
        </w:rPr>
      </w:pPr>
    </w:p>
    <w:p w14:paraId="46BBC825" w14:textId="409F1227" w:rsidR="00820322" w:rsidRPr="00073727" w:rsidRDefault="00820322" w:rsidP="00942ED4">
      <w:pPr>
        <w:pStyle w:val="NormalWeb"/>
        <w:spacing w:before="0" w:beforeAutospacing="0" w:after="0" w:afterAutospacing="0" w:line="360" w:lineRule="auto"/>
        <w:rPr>
          <w:lang w:val="en-US"/>
        </w:rPr>
      </w:pPr>
      <w:r w:rsidRPr="00073727">
        <w:rPr>
          <w:lang w:val="en-US"/>
        </w:rPr>
        <w:t>Recently (2021), the FDA approved the 100</w:t>
      </w:r>
      <w:r w:rsidRPr="00073727">
        <w:rPr>
          <w:vertAlign w:val="superscript"/>
          <w:lang w:val="en-US"/>
        </w:rPr>
        <w:t>th</w:t>
      </w:r>
      <w:r w:rsidRPr="00073727">
        <w:rPr>
          <w:lang w:val="en-US"/>
        </w:rPr>
        <w:t xml:space="preserve"> </w:t>
      </w:r>
      <w:proofErr w:type="spellStart"/>
      <w:r w:rsidRPr="00073727">
        <w:rPr>
          <w:lang w:val="en-US"/>
        </w:rPr>
        <w:t>mAb</w:t>
      </w:r>
      <w:proofErr w:type="spellEnd"/>
      <w:r w:rsidRPr="00073727">
        <w:rPr>
          <w:lang w:val="en-US"/>
        </w:rPr>
        <w:t xml:space="preserve"> product </w:t>
      </w:r>
      <w:r w:rsidRPr="00073727">
        <w:rPr>
          <w:lang w:val="en-US"/>
        </w:rPr>
        <w:fldChar w:fldCharType="begin"/>
      </w:r>
      <w:r w:rsidR="001F04BE" w:rsidRPr="00073727">
        <w:rPr>
          <w:lang w:val="en-US"/>
        </w:rPr>
        <w:instrText xml:space="preserve"> ADDIN ZOTERO_ITEM CSL_CITATION {"citationID":"VE4ggX3I","properties":{"formattedCitation":"[14]","plainCitation":"[14]","noteIndex":0},"citationItems":[{"id":860,"uris":["http://zotero.org/groups/4760334/items/4HPTIV3Z"],"itemData":{"id":860,"type":"article-journal","container-title":"Nature reviews. Drug discovery","note":"ISBN: 1474-1776","title":"FDA approves 100th monoclonal antibody product.","author":[{"family":"Mullard","given":"Asher"}],"issued":{"date-parts":[["2021"]]}}}],"schema":"https://github.com/citation-style-language/schema/raw/master/csl-citation.json"} </w:instrText>
      </w:r>
      <w:r w:rsidRPr="00073727">
        <w:rPr>
          <w:lang w:val="en-US"/>
        </w:rPr>
        <w:fldChar w:fldCharType="separate"/>
      </w:r>
      <w:r w:rsidR="001F04BE" w:rsidRPr="00073727">
        <w:rPr>
          <w:noProof/>
          <w:lang w:val="en-US"/>
        </w:rPr>
        <w:t>[14]</w:t>
      </w:r>
      <w:r w:rsidRPr="00073727">
        <w:rPr>
          <w:lang w:val="en-US"/>
        </w:rPr>
        <w:fldChar w:fldCharType="end"/>
      </w:r>
      <w:r w:rsidRPr="00073727">
        <w:rPr>
          <w:lang w:val="en-US"/>
        </w:rPr>
        <w:t xml:space="preserve">. The timeline starts in 1986 with the majority of products consisting of canonical antibodies, and a small number of alternative constructs including antibody–drug conjugates, bispecific Abs, fragment Abs, and others. While a high potential exists, the hurdles for biological drug approvals limit the number of products available thus far. “Just ten targets… account for 42% of the approvals to </w:t>
      </w:r>
      <w:r w:rsidRPr="00073727">
        <w:rPr>
          <w:lang w:val="en-US"/>
        </w:rPr>
        <w:lastRenderedPageBreak/>
        <w:t xml:space="preserve">date”: PD1/PDL1, CD20, TNF, HER2, CGRP/CGRPR, VEGF/VEGFR, IL-6/IL-6R, IL-23 p19, EGFR, and CD19 </w:t>
      </w:r>
      <w:r w:rsidRPr="00073727">
        <w:rPr>
          <w:lang w:val="en-US"/>
        </w:rPr>
        <w:fldChar w:fldCharType="begin"/>
      </w:r>
      <w:r w:rsidR="001F04BE" w:rsidRPr="00073727">
        <w:rPr>
          <w:lang w:val="en-US"/>
        </w:rPr>
        <w:instrText xml:space="preserve"> ADDIN ZOTERO_ITEM CSL_CITATION {"citationID":"eA5WLgif","properties":{"formattedCitation":"[14]","plainCitation":"[14]","noteIndex":0},"citationItems":[{"id":860,"uris":["http://zotero.org/groups/4760334/items/4HPTIV3Z"],"itemData":{"id":860,"type":"article-journal","container-title":"Nature reviews. Drug discovery","note":"ISBN: 1474-1776","title":"FDA approves 100th monoclonal antibody product.","author":[{"family":"Mullard","given":"Asher"}],"issued":{"date-parts":[["2021"]]}}}],"schema":"https://github.com/citation-style-language/schema/raw/master/csl-citation.json"} </w:instrText>
      </w:r>
      <w:r w:rsidRPr="00073727">
        <w:rPr>
          <w:lang w:val="en-US"/>
        </w:rPr>
        <w:fldChar w:fldCharType="separate"/>
      </w:r>
      <w:r w:rsidR="001F04BE" w:rsidRPr="00073727">
        <w:rPr>
          <w:noProof/>
          <w:lang w:val="en-US"/>
        </w:rPr>
        <w:t>[14]</w:t>
      </w:r>
      <w:r w:rsidRPr="00073727">
        <w:rPr>
          <w:lang w:val="en-US"/>
        </w:rPr>
        <w:fldChar w:fldCharType="end"/>
      </w:r>
      <w:r w:rsidRPr="00073727">
        <w:rPr>
          <w:lang w:val="en-US"/>
        </w:rPr>
        <w:t xml:space="preserve">. </w:t>
      </w:r>
    </w:p>
    <w:p w14:paraId="2CFA0C4F" w14:textId="77777777" w:rsidR="00820322" w:rsidRPr="00073727" w:rsidRDefault="00820322" w:rsidP="00942ED4">
      <w:pPr>
        <w:pStyle w:val="NormalWeb"/>
        <w:spacing w:before="0" w:beforeAutospacing="0" w:after="0" w:afterAutospacing="0" w:line="360" w:lineRule="auto"/>
        <w:rPr>
          <w:lang w:val="en-US"/>
        </w:rPr>
      </w:pPr>
    </w:p>
    <w:p w14:paraId="0FB6F683" w14:textId="617C6762" w:rsidR="00820322" w:rsidRPr="00073727" w:rsidRDefault="00820322" w:rsidP="00942ED4">
      <w:pPr>
        <w:pStyle w:val="NormalWeb"/>
        <w:spacing w:before="0" w:beforeAutospacing="0" w:after="0" w:afterAutospacing="0" w:line="360" w:lineRule="auto"/>
        <w:rPr>
          <w:lang w:val="en-US"/>
        </w:rPr>
      </w:pPr>
      <w:r w:rsidRPr="00073727">
        <w:rPr>
          <w:lang w:val="en-US"/>
        </w:rPr>
        <w:t xml:space="preserve">The pharmacokinetics (PK) of monoclonal antibodies is generally well understood. The major drug disposition processes relevant for </w:t>
      </w:r>
      <w:proofErr w:type="spellStart"/>
      <w:r w:rsidRPr="00073727">
        <w:rPr>
          <w:lang w:val="en-US"/>
        </w:rPr>
        <w:t>mAbs</w:t>
      </w:r>
      <w:proofErr w:type="spellEnd"/>
      <w:r w:rsidRPr="00073727">
        <w:rPr>
          <w:lang w:val="en-US"/>
        </w:rPr>
        <w:t xml:space="preserve"> can be estimated in preclinical development. The product-specific and patient-specific factors that can affect PK behavior can be considered for successful clinical therapy </w:t>
      </w:r>
      <w:r w:rsidRPr="00073727">
        <w:rPr>
          <w:lang w:val="en-US"/>
        </w:rPr>
        <w:fldChar w:fldCharType="begin"/>
      </w:r>
      <w:r w:rsidR="001F04BE" w:rsidRPr="00073727">
        <w:rPr>
          <w:lang w:val="en-US"/>
        </w:rPr>
        <w:instrText xml:space="preserve"> ADDIN ZOTERO_ITEM CSL_CITATION {"citationID":"kgo6zgdK","properties":{"formattedCitation":"[15]","plainCitation":"[15]","noteIndex":0},"citationItems":[{"id":857,"uris":["http://zotero.org/groups/4760334/items/S3VH9ZEP"],"itemData":{"id":857,"type":"article-journal","container-title":"CPT: pharmacometrics &amp; systems pharmacology","issue":"9","note":"ISBN: 2163-8306\npublisher: Wiley Online Library","page":"576-588","title":"Pharmacokinetics of monoclonal antibodies","volume":"6","author":[{"family":"Ryman","given":"Josiah T."},{"family":"Meibohm","given":"Bernd"}],"issued":{"date-parts":[["2017"]]}}}],"schema":"https://github.com/citation-style-language/schema/raw/master/csl-citation.json"} </w:instrText>
      </w:r>
      <w:r w:rsidRPr="00073727">
        <w:rPr>
          <w:lang w:val="en-US"/>
        </w:rPr>
        <w:fldChar w:fldCharType="separate"/>
      </w:r>
      <w:r w:rsidR="001F04BE" w:rsidRPr="00073727">
        <w:rPr>
          <w:noProof/>
          <w:lang w:val="en-US"/>
        </w:rPr>
        <w:t>[15]</w:t>
      </w:r>
      <w:r w:rsidRPr="00073727">
        <w:rPr>
          <w:lang w:val="en-US"/>
        </w:rPr>
        <w:fldChar w:fldCharType="end"/>
      </w:r>
      <w:r w:rsidRPr="00073727">
        <w:rPr>
          <w:lang w:val="en-US"/>
        </w:rPr>
        <w:t>.</w:t>
      </w:r>
    </w:p>
    <w:p w14:paraId="791BC1D3" w14:textId="77777777" w:rsidR="00820322" w:rsidRPr="00073727" w:rsidRDefault="00820322" w:rsidP="00942ED4">
      <w:pPr>
        <w:pStyle w:val="NormalWeb"/>
        <w:spacing w:before="0" w:beforeAutospacing="0" w:after="0" w:afterAutospacing="0" w:line="360" w:lineRule="auto"/>
        <w:rPr>
          <w:lang w:val="en-US"/>
        </w:rPr>
      </w:pPr>
    </w:p>
    <w:p w14:paraId="38E7AB5F" w14:textId="584E7BFF" w:rsidR="00820322" w:rsidRPr="00073727" w:rsidRDefault="00820322" w:rsidP="00942ED4">
      <w:pPr>
        <w:pStyle w:val="NormalWeb"/>
        <w:spacing w:before="0" w:beforeAutospacing="0" w:after="0" w:afterAutospacing="0" w:line="360" w:lineRule="auto"/>
        <w:rPr>
          <w:lang w:val="en-US"/>
        </w:rPr>
      </w:pPr>
      <w:r w:rsidRPr="00073727">
        <w:rPr>
          <w:lang w:val="en-US"/>
        </w:rPr>
        <w:t xml:space="preserve">Each particular </w:t>
      </w:r>
      <w:proofErr w:type="spellStart"/>
      <w:r w:rsidRPr="00073727">
        <w:rPr>
          <w:lang w:val="en-US"/>
        </w:rPr>
        <w:t>mAb</w:t>
      </w:r>
      <w:proofErr w:type="spellEnd"/>
      <w:r w:rsidRPr="00073727">
        <w:rPr>
          <w:lang w:val="en-US"/>
        </w:rPr>
        <w:t xml:space="preserve"> has unique risks. The steps to identify and minimize potential adverse effects must be clear and accurate. preclinical and clinical protocols must be established to avoid infusion reactions </w:t>
      </w:r>
      <w:r w:rsidRPr="00073727">
        <w:rPr>
          <w:lang w:val="en-US"/>
        </w:rPr>
        <w:fldChar w:fldCharType="begin"/>
      </w:r>
      <w:r w:rsidR="001F04BE" w:rsidRPr="00073727">
        <w:rPr>
          <w:lang w:val="en-US"/>
        </w:rPr>
        <w:instrText xml:space="preserve"> ADDIN ZOTERO_ITEM CSL_CITATION {"citationID":"iZpfXsUX","properties":{"formattedCitation":"[16]","plainCitation":"[16]","noteIndex":0},"citationItems":[{"id":859,"uris":["http://zotero.org/groups/4760334/items/TFCSS3PZ"],"itemData":{"id":859,"type":"article-journal","container-title":"Nature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rsidRPr="00073727">
        <w:rPr>
          <w:lang w:val="en-US"/>
        </w:rPr>
        <w:fldChar w:fldCharType="separate"/>
      </w:r>
      <w:r w:rsidR="001F04BE" w:rsidRPr="00073727">
        <w:rPr>
          <w:noProof/>
          <w:lang w:val="en-US"/>
        </w:rPr>
        <w:t>[16]</w:t>
      </w:r>
      <w:r w:rsidRPr="00073727">
        <w:rPr>
          <w:lang w:val="en-US"/>
        </w:rPr>
        <w:fldChar w:fldCharType="end"/>
      </w:r>
      <w:r w:rsidRPr="00073727">
        <w:rPr>
          <w:lang w:val="en-US"/>
        </w:rPr>
        <w:t xml:space="preserve">. Preclinical validation of in vitro safety using human tissues is necessary to predict potential outcome for administration to humans. For clinical trial volunteer safety, communication must be maintained between scientists and clinicians both in </w:t>
      </w:r>
      <w:proofErr w:type="spellStart"/>
      <w:r w:rsidRPr="00073727">
        <w:rPr>
          <w:lang w:val="en-US"/>
        </w:rPr>
        <w:t>phama</w:t>
      </w:r>
      <w:proofErr w:type="spellEnd"/>
      <w:r w:rsidRPr="00073727">
        <w:rPr>
          <w:lang w:val="en-US"/>
        </w:rPr>
        <w:t xml:space="preserve">/biotech companies and those performing clinical studies </w:t>
      </w:r>
      <w:r w:rsidRPr="00073727">
        <w:rPr>
          <w:lang w:val="en-US"/>
        </w:rPr>
        <w:fldChar w:fldCharType="begin"/>
      </w:r>
      <w:r w:rsidR="001F04BE" w:rsidRPr="00073727">
        <w:rPr>
          <w:lang w:val="en-US"/>
        </w:rPr>
        <w:instrText xml:space="preserve"> ADDIN ZOTERO_ITEM CSL_CITATION {"citationID":"sw34sIRM","properties":{"formattedCitation":"[16]","plainCitation":"[16]","noteIndex":0},"citationItems":[{"id":859,"uris":["http://zotero.org/groups/4760334/items/TFCSS3PZ"],"itemData":{"id":859,"type":"article-journal","container-title":"Nature reviews Drug discovery","issue":"4","note":"ISBN: 1474-1784\npublisher: Nature Publishing Group","page":"325-338","title":"The safety and side effects of monoclonal antibodies","volume":"9","author":[{"family":"Hansel","given":"Trevor T."},{"family":"Kropshofer","given":"Harald"},{"family":"Singer","given":"Thomas"},{"family":"Mitchell","given":"Jane A."},{"family":"George","given":"Andrew JT"}],"issued":{"date-parts":[["2010"]]}}}],"schema":"https://github.com/citation-style-language/schema/raw/master/csl-citation.json"} </w:instrText>
      </w:r>
      <w:r w:rsidRPr="00073727">
        <w:rPr>
          <w:lang w:val="en-US"/>
        </w:rPr>
        <w:fldChar w:fldCharType="separate"/>
      </w:r>
      <w:r w:rsidR="001F04BE" w:rsidRPr="00073727">
        <w:rPr>
          <w:noProof/>
          <w:lang w:val="en-US"/>
        </w:rPr>
        <w:t>[16]</w:t>
      </w:r>
      <w:r w:rsidRPr="00073727">
        <w:rPr>
          <w:lang w:val="en-US"/>
        </w:rPr>
        <w:fldChar w:fldCharType="end"/>
      </w:r>
      <w:r w:rsidRPr="00073727">
        <w:rPr>
          <w:lang w:val="en-US"/>
        </w:rPr>
        <w:t>.</w:t>
      </w:r>
    </w:p>
    <w:p w14:paraId="2AA62EC2" w14:textId="77777777" w:rsidR="00820322" w:rsidRPr="00073727" w:rsidRDefault="00820322" w:rsidP="00942ED4">
      <w:pPr>
        <w:pStyle w:val="NormalWeb"/>
        <w:spacing w:before="0" w:beforeAutospacing="0" w:after="0" w:afterAutospacing="0" w:line="360" w:lineRule="auto"/>
        <w:rPr>
          <w:lang w:val="en-US"/>
        </w:rPr>
      </w:pPr>
    </w:p>
    <w:p w14:paraId="445C9ABF" w14:textId="753E9E6A" w:rsidR="00820322" w:rsidRPr="00073727" w:rsidRDefault="00820322" w:rsidP="00942ED4">
      <w:pPr>
        <w:pStyle w:val="NormalWeb"/>
        <w:spacing w:before="0" w:beforeAutospacing="0" w:after="0" w:afterAutospacing="0" w:line="360" w:lineRule="auto"/>
        <w:rPr>
          <w:lang w:val="en-US"/>
        </w:rPr>
      </w:pPr>
      <w:r w:rsidRPr="00073727">
        <w:rPr>
          <w:lang w:val="en-US"/>
        </w:rPr>
        <w:t xml:space="preserve">The serious risks of off-target antigen binding are well-known, particularly after the adverse outcome seen during the phase 1 trial of anti-CD28 </w:t>
      </w:r>
      <w:proofErr w:type="spellStart"/>
      <w:r w:rsidRPr="00073727">
        <w:rPr>
          <w:lang w:val="en-US"/>
        </w:rPr>
        <w:t>mAb</w:t>
      </w:r>
      <w:proofErr w:type="spellEnd"/>
      <w:r w:rsidRPr="00073727">
        <w:rPr>
          <w:lang w:val="en-US"/>
        </w:rPr>
        <w:t xml:space="preserve"> TGN1412 resulting in systemic inflammatory response in all six volunteers </w:t>
      </w:r>
      <w:r w:rsidRPr="00073727">
        <w:rPr>
          <w:lang w:val="en-US"/>
        </w:rPr>
        <w:fldChar w:fldCharType="begin"/>
      </w:r>
      <w:r w:rsidR="001F04BE" w:rsidRPr="00073727">
        <w:rPr>
          <w:lang w:val="en-US"/>
        </w:rPr>
        <w:instrText xml:space="preserve"> ADDIN ZOTERO_ITEM CSL_CITATION {"citationID":"IqH3mzNG","properties":{"formattedCitation":"[17]","plainCitation":"[17]","noteIndex":0},"citationItems":[{"id":865,"uris":["http://zotero.org/groups/4760334/items/EL3X2BD8"],"itemData":{"id":865,"type":"article-journal","abstract":"Six healthy young male volunteers at a contract research organization were enrolled in the first phase 1 clinical trial of TGN1412, a novel superagonist  anti-CD28 monoclonal antibody that directly stimulates T cells. Within 90 minutes  after receiving a single intravenous dose of the drug, all six volunteers had a  systemic inflammatory response characterized by a rapid induction of  proinflammatory cytokines and accompanied by headache, myalgias, nausea,  diarrhea, erythema, vasodilatation, and hypotension. Within 12 to 16 hours after  infusion, they became critically ill, with pulmonary infiltrates and lung injury,  renal failure, and disseminated intravascular coagulation. Severe and unexpected  depletion of lymphocytes and monocytes occurred within 24 hours after infusion.  All six patients were transferred to the care of the authors at an intensive care  unit at a public hospital, where they received intensive cardiopulmonary support  (including dialysis), high-dose methylprednisolone, and an anti-interleukin-2  receptor antagonist antibody. Prolonged cardiovascular shock and acute  respiratory distress syndrome developed in two patients, who required intensive  organ support for 8 and 16 days. Despite evidence of the multiple  cytokine-release syndrome, all six patients survived. Documentation of the  clinical course occurring over the 30 days after infusion offers insight into the  systemic inflammatory response syndrome in the absence of contaminating  pathogens, endotoxin, or underlying disease.","container-title":"The New England journal of medicine","DOI":"10.1056/NEJMoa063842","ISSN":"1533-4406 0028-4793","issue":"10","journalAbbreviation":"N Engl J Med","language":"eng","license":"Copyright 2006 Massachusetts Medical Society.","note":"publisher-place: United States\nPMID: 16908486","page":"1018-1028","title":"Cytokine storm in a phase 1 trial of the anti-CD28 monoclonal antibody TGN1412.","volume":"355","author":[{"family":"Suntharalingam","given":"Ganesh"},{"family":"Perry","given":"Meghan R."},{"family":"Ward","given":"Stephen"},{"family":"Brett","given":"Stephen J."},{"family":"Castello-Cortes","given":"Andrew"},{"family":"Brunner","given":"Michael D."},{"family":"Panoskaltsis","given":"Nicki"}],"issued":{"date-parts":[["2006",9,7]]}}}],"schema":"https://github.com/citation-style-language/schema/raw/master/csl-citation.json"} </w:instrText>
      </w:r>
      <w:r w:rsidRPr="00073727">
        <w:rPr>
          <w:lang w:val="en-US"/>
        </w:rPr>
        <w:fldChar w:fldCharType="separate"/>
      </w:r>
      <w:r w:rsidR="001F04BE" w:rsidRPr="00073727">
        <w:rPr>
          <w:noProof/>
          <w:lang w:val="en-US"/>
        </w:rPr>
        <w:t>[17]</w:t>
      </w:r>
      <w:r w:rsidRPr="00073727">
        <w:rPr>
          <w:lang w:val="en-US"/>
        </w:rPr>
        <w:fldChar w:fldCharType="end"/>
      </w:r>
      <w:r w:rsidRPr="00073727">
        <w:rPr>
          <w:lang w:val="en-US"/>
        </w:rPr>
        <w:t xml:space="preserve">. </w:t>
      </w:r>
    </w:p>
    <w:p w14:paraId="2FA97C29" w14:textId="77777777" w:rsidR="00820322" w:rsidRPr="00073727" w:rsidRDefault="00820322" w:rsidP="00942ED4">
      <w:pPr>
        <w:pStyle w:val="NormalWeb"/>
        <w:spacing w:before="0" w:beforeAutospacing="0" w:after="0" w:afterAutospacing="0" w:line="360" w:lineRule="auto"/>
        <w:rPr>
          <w:lang w:val="en-US"/>
        </w:rPr>
      </w:pPr>
    </w:p>
    <w:p w14:paraId="140D0484" w14:textId="77777777" w:rsidR="00820322" w:rsidRPr="00073727" w:rsidRDefault="00820322" w:rsidP="00942ED4">
      <w:pPr>
        <w:pStyle w:val="NormalWeb"/>
        <w:spacing w:before="0" w:beforeAutospacing="0" w:after="0" w:afterAutospacing="0" w:line="360" w:lineRule="auto"/>
        <w:rPr>
          <w:lang w:val="en-US"/>
        </w:rPr>
      </w:pPr>
      <w:r w:rsidRPr="00073727">
        <w:rPr>
          <w:lang w:val="en-US"/>
        </w:rPr>
        <w:t xml:space="preserve">Despite the known potential for first-in-human studies there is no current robust way to ensure complete safety. Therefore, adherence to guidance and regulatory protocols are vital for safe and successful trials. </w:t>
      </w:r>
    </w:p>
    <w:p w14:paraId="52730AB4" w14:textId="77777777" w:rsidR="00820322" w:rsidRPr="00073727" w:rsidRDefault="00820322" w:rsidP="00942ED4">
      <w:pPr>
        <w:pStyle w:val="NormalWeb"/>
        <w:spacing w:before="0" w:beforeAutospacing="0" w:after="0" w:afterAutospacing="0" w:line="360" w:lineRule="auto"/>
        <w:rPr>
          <w:lang w:val="en-US"/>
        </w:rPr>
      </w:pPr>
    </w:p>
    <w:p w14:paraId="226E718F" w14:textId="26152E7D" w:rsidR="00820322" w:rsidRPr="00073727" w:rsidRDefault="00820322" w:rsidP="00942ED4">
      <w:pPr>
        <w:pStyle w:val="NormalWeb"/>
        <w:spacing w:before="0" w:beforeAutospacing="0" w:after="0" w:afterAutospacing="0" w:line="360" w:lineRule="auto"/>
        <w:rPr>
          <w:lang w:val="en-US"/>
        </w:rPr>
      </w:pPr>
      <w:proofErr w:type="spellStart"/>
      <w:r w:rsidRPr="00073727">
        <w:rPr>
          <w:lang w:val="en-US"/>
        </w:rPr>
        <w:t>mAb</w:t>
      </w:r>
      <w:proofErr w:type="spellEnd"/>
      <w:r w:rsidRPr="00073727">
        <w:rPr>
          <w:lang w:val="en-US"/>
        </w:rPr>
        <w:t xml:space="preserve"> are recognized as versatile platforms for cancer immunotherapy by directly stimulating or inhibiting immunological protein pathways </w:t>
      </w:r>
      <w:r w:rsidRPr="00073727">
        <w:rPr>
          <w:lang w:val="en-US"/>
        </w:rPr>
        <w:fldChar w:fldCharType="begin"/>
      </w:r>
      <w:r w:rsidR="001F04BE" w:rsidRPr="00073727">
        <w:rPr>
          <w:lang w:val="en-US"/>
        </w:rPr>
        <w:instrText xml:space="preserve"> ADDIN ZOTERO_ITEM CSL_CITATION {"citationID":"RghT0zd1","properties":{"formattedCitation":"[18]","plainCitation":"[18]","noteIndex":0},"citationItems":[{"id":862,"uris":["http://zotero.org/groups/4760334/items/3EB5U7FI"],"itemData":{"id":862,"type":"article-journal","container-title":"Nature Reviews Immunology","issue":"5","note":"ISBN: 1474-1741\npublisher: Nature Publishing Group","page":"317-327","title":"Monoclonal antibodies: versatile platforms for cancer immunotherapy","volume":"10","author":[{"family":"Weiner","given":"Louis M."},{"family":"Surana","given":"Rishi"},{"family":"Wang","given":"Shangzi"}],"issued":{"date-parts":[["2010"]]}}}],"schema":"https://github.com/citation-style-language/schema/raw/master/csl-citation.json"} </w:instrText>
      </w:r>
      <w:r w:rsidRPr="00073727">
        <w:rPr>
          <w:lang w:val="en-US"/>
        </w:rPr>
        <w:fldChar w:fldCharType="separate"/>
      </w:r>
      <w:r w:rsidR="001F04BE" w:rsidRPr="00073727">
        <w:rPr>
          <w:noProof/>
          <w:lang w:val="en-US"/>
        </w:rPr>
        <w:t>[18]</w:t>
      </w:r>
      <w:r w:rsidRPr="00073727">
        <w:rPr>
          <w:lang w:val="en-US"/>
        </w:rPr>
        <w:fldChar w:fldCharType="end"/>
      </w:r>
      <w:r w:rsidRPr="00073727">
        <w:rPr>
          <w:lang w:val="en-US"/>
        </w:rPr>
        <w:t xml:space="preserve">. The induction of antitumor immune responses can be exploited to develop new cancer treatment strategies based on tumor-specific response of natural or engineered </w:t>
      </w:r>
      <w:proofErr w:type="spellStart"/>
      <w:r w:rsidRPr="00073727">
        <w:rPr>
          <w:lang w:val="en-US"/>
        </w:rPr>
        <w:t>mAb</w:t>
      </w:r>
      <w:proofErr w:type="spellEnd"/>
      <w:r w:rsidRPr="00073727">
        <w:rPr>
          <w:lang w:val="en-US"/>
        </w:rPr>
        <w:t xml:space="preserve"> </w:t>
      </w:r>
      <w:r w:rsidRPr="00073727">
        <w:rPr>
          <w:lang w:val="en-US"/>
        </w:rPr>
        <w:fldChar w:fldCharType="begin"/>
      </w:r>
      <w:r w:rsidR="001F04BE" w:rsidRPr="00073727">
        <w:rPr>
          <w:lang w:val="en-US"/>
        </w:rPr>
        <w:instrText xml:space="preserve"> ADDIN ZOTERO_ITEM CSL_CITATION {"citationID":"9VqqKj2p","properties":{"formattedCitation":"[18]","plainCitation":"[18]","noteIndex":0},"citationItems":[{"id":862,"uris":["http://zotero.org/groups/4760334/items/3EB5U7FI"],"itemData":{"id":862,"type":"article-journal","container-title":"Nature Reviews Immunology","issue":"5","note":"ISBN: 1474-1741\npublisher: Nature Publishing Group","page":"317-327","title":"Monoclonal antibodies: versatile platforms for cancer immunotherapy","volume":"10","author":[{"family":"Weiner","given":"Louis M."},{"family":"Surana","given":"Rishi"},{"family":"Wang","given":"Shangzi"}],"issued":{"date-parts":[["2010"]]}}}],"schema":"https://github.com/citation-style-language/schema/raw/master/csl-citation.json"} </w:instrText>
      </w:r>
      <w:r w:rsidRPr="00073727">
        <w:rPr>
          <w:lang w:val="en-US"/>
        </w:rPr>
        <w:fldChar w:fldCharType="separate"/>
      </w:r>
      <w:r w:rsidR="001F04BE" w:rsidRPr="00073727">
        <w:rPr>
          <w:noProof/>
          <w:lang w:val="en-US"/>
        </w:rPr>
        <w:t>[18]</w:t>
      </w:r>
      <w:r w:rsidRPr="00073727">
        <w:rPr>
          <w:lang w:val="en-US"/>
        </w:rPr>
        <w:fldChar w:fldCharType="end"/>
      </w:r>
      <w:r w:rsidRPr="00073727">
        <w:rPr>
          <w:lang w:val="en-US"/>
        </w:rPr>
        <w:t>.</w:t>
      </w:r>
    </w:p>
    <w:p w14:paraId="02075072" w14:textId="77777777" w:rsidR="00820322" w:rsidRPr="00073727" w:rsidRDefault="00820322" w:rsidP="00942ED4">
      <w:pPr>
        <w:pStyle w:val="NormalWeb"/>
        <w:spacing w:before="0" w:beforeAutospacing="0" w:after="0" w:afterAutospacing="0" w:line="360" w:lineRule="auto"/>
        <w:rPr>
          <w:lang w:val="en-US"/>
        </w:rPr>
      </w:pPr>
    </w:p>
    <w:p w14:paraId="0271AEF9" w14:textId="1E53915E" w:rsidR="000D2D86" w:rsidRPr="00073727" w:rsidRDefault="00820322" w:rsidP="00942ED4">
      <w:pPr>
        <w:spacing w:line="360" w:lineRule="auto"/>
        <w:rPr>
          <w:lang w:val="en-US"/>
        </w:rPr>
      </w:pPr>
      <w:r w:rsidRPr="00073727">
        <w:rPr>
          <w:lang w:val="en-US"/>
        </w:rPr>
        <w:t>The nomenclature for our drug is defined according to the WHO International Nonproprietary Names (INN) (</w:t>
      </w:r>
      <w:proofErr w:type="spellStart"/>
      <w:r w:rsidRPr="00073727">
        <w:rPr>
          <w:lang w:val="en-US"/>
        </w:rPr>
        <w:t>Programme</w:t>
      </w:r>
      <w:proofErr w:type="spellEnd"/>
      <w:r w:rsidRPr="00073727">
        <w:rPr>
          <w:lang w:val="en-US"/>
        </w:rPr>
        <w:t xml:space="preserve"> and Classification of Medical Product) </w:t>
      </w:r>
      <w:r w:rsidRPr="00073727">
        <w:rPr>
          <w:lang w:val="en-US"/>
        </w:rPr>
        <w:fldChar w:fldCharType="begin"/>
      </w:r>
      <w:r w:rsidR="001F04BE" w:rsidRPr="00073727">
        <w:rPr>
          <w:lang w:val="en-US"/>
        </w:rPr>
        <w:instrText xml:space="preserve"> ADDIN ZOTERO_ITEM CSL_CITATION {"citationID":"GKM4LLpF","properties":{"formattedCitation":"[19]","plainCitation":"[19]","noteIndex":0},"citationItems":[{"id":877,"uris":["http://zotero.org/groups/4760334/items/5R2S4RIC"],"itemData":{"id":877,"type":"article-journal","container-title":"The Lancet","issue":"10319","note":"ISBN: 0140-6736\npublisher: Elsevier","page":"24","title":"New INN nomenclature for monoclonal antibodies","volume":"399","author":[{"family":"Balocco","given":"Raffaella"},{"family":"Koch","given":"Sofia De Sousa Guimaraes"},{"family":"Thorpe","given":"Robin"},{"family":"Weisser","given":"Karin"},{"family":"Malan","given":"Sarel"}],"issued":{"date-parts":[["2022"]]}}}],"schema":"https://github.com/citation-style-language/schema/raw/master/csl-citation.json"} </w:instrText>
      </w:r>
      <w:r w:rsidRPr="00073727">
        <w:rPr>
          <w:lang w:val="en-US"/>
        </w:rPr>
        <w:fldChar w:fldCharType="separate"/>
      </w:r>
      <w:r w:rsidR="001F04BE" w:rsidRPr="00073727">
        <w:rPr>
          <w:noProof/>
          <w:lang w:val="en-US"/>
        </w:rPr>
        <w:t>[19]</w:t>
      </w:r>
      <w:r w:rsidRPr="00073727">
        <w:rPr>
          <w:lang w:val="en-US"/>
        </w:rPr>
        <w:fldChar w:fldCharType="end"/>
      </w:r>
      <w:r w:rsidRPr="00073727">
        <w:rPr>
          <w:lang w:val="en-US"/>
        </w:rPr>
        <w:t>. The current state of the art in anti-cancer monoclonal antibodies (</w:t>
      </w:r>
      <w:proofErr w:type="spellStart"/>
      <w:r w:rsidRPr="00073727">
        <w:rPr>
          <w:lang w:val="en-US"/>
        </w:rPr>
        <w:t>mAbs</w:t>
      </w:r>
      <w:proofErr w:type="spellEnd"/>
      <w:r w:rsidRPr="00073727">
        <w:rPr>
          <w:lang w:val="en-US"/>
        </w:rPr>
        <w:t xml:space="preserve">) is overviewed by </w:t>
      </w:r>
      <w:hyperlink r:id="rId40" w:history="1">
        <w:proofErr w:type="spellStart"/>
        <w:r w:rsidRPr="00073727">
          <w:rPr>
            <w:rStyle w:val="Hyperlink"/>
            <w:lang w:val="en-US"/>
          </w:rPr>
          <w:t>Chiavernna</w:t>
        </w:r>
        <w:proofErr w:type="spellEnd"/>
        <w:r w:rsidRPr="00073727">
          <w:rPr>
            <w:rStyle w:val="Hyperlink"/>
            <w:lang w:val="en-US"/>
          </w:rPr>
          <w:t>, et al</w:t>
        </w:r>
      </w:hyperlink>
      <w:r w:rsidRPr="00073727">
        <w:rPr>
          <w:lang w:val="en-US"/>
        </w:rPr>
        <w:t xml:space="preserve">. </w:t>
      </w:r>
      <w:r w:rsidRPr="00073727">
        <w:fldChar w:fldCharType="begin"/>
      </w:r>
      <w:r w:rsidR="001F04BE" w:rsidRPr="00073727">
        <w:instrText xml:space="preserve"> ADDIN ZOTERO_ITEM CSL_CITATION {"citationID":"YsPXwEnc","properties":{"formattedCitation":"[20]","plainCitation":"[20]","noteIndex":0},"citationItems":[{"id":832,"uris":["http://zotero.org/users/9928140/items/6QMSBGXT"],"itemData":{"id":832,"type":"article-journal","abstract":"Following Milstein's discovery, the monoclonal antibodies (mAbs) became a basic tool for biomedical science. In cancer field, since the first mAb was approved by  the FDA a great improvement took place making of them a therapeutic option for  many cancer types in the current clinical practice. Today, mAbs are being  developed to target different molecules with different mechanisms of action and  its target potential is unlimited. However, this huge and fast growing new field  needs to be organized to better understand the treatment options we have to  confront different cancer diseases. Current cancer targeted immunotherapies aim  to achieve different goals like the regulation of osteoclast function, the  delivery of cytotoxic drugs into tumor cells and the blockade of oncogenic  pathways, neo-angiogenesis and immune checkpoints. Here, we reviewed the most  relevant therapeutic mAbs for solid tumors available in current clinical  practice.","container-title":"Journal of biomedical science","DOI":"10.1186/s12929-016-0311-y","ISSN":"1423-0127 1021-7770","issue":"1","journalAbbreviation":"J Biomed Sci","language":"eng","note":"PMID: 28219375 \nPMCID: PMC5319201","page":"15","title":"State of the art in anti-cancer mAbs.","volume":"24","author":[{"family":"Chiavenna","given":"S. M."},{"family":"Jaworski","given":"J. P."},{"family":"Vendrell","given":"A."}],"issued":{"date-parts":[["2017",2,20]]}}}],"schema":"https://github.com/citation-style-language/schema/raw/master/csl-citation.json"} </w:instrText>
      </w:r>
      <w:r w:rsidRPr="00073727">
        <w:fldChar w:fldCharType="separate"/>
      </w:r>
      <w:r w:rsidR="001F04BE" w:rsidRPr="00073727">
        <w:rPr>
          <w:noProof/>
        </w:rPr>
        <w:t>[20]</w:t>
      </w:r>
      <w:r w:rsidRPr="00073727">
        <w:fldChar w:fldCharType="end"/>
      </w:r>
      <w:r w:rsidRPr="00073727">
        <w:rPr>
          <w:lang w:val="en-US"/>
        </w:rPr>
        <w:t xml:space="preserve">. </w:t>
      </w:r>
    </w:p>
    <w:p w14:paraId="0490BF2B" w14:textId="4002845A" w:rsidR="004F6057" w:rsidRPr="00073727" w:rsidRDefault="004F6057" w:rsidP="00942ED4">
      <w:pPr>
        <w:spacing w:line="360" w:lineRule="auto"/>
        <w:rPr>
          <w:lang w:val="en-US"/>
        </w:rPr>
      </w:pPr>
    </w:p>
    <w:p w14:paraId="21CBFC7F" w14:textId="53E0098C" w:rsidR="004F6057" w:rsidRPr="00073727" w:rsidRDefault="004F6057" w:rsidP="00942ED4">
      <w:pPr>
        <w:spacing w:line="360" w:lineRule="auto"/>
      </w:pPr>
      <w:r w:rsidRPr="00073727">
        <w:lastRenderedPageBreak/>
        <w:fldChar w:fldCharType="begin"/>
      </w:r>
      <w:r w:rsidRPr="00073727">
        <w:instrText xml:space="preserve"> INCLUDEPICTURE "/var/folders/q1/dqlsvrz16hv3v1pqyr_5xx700000gp/T/com.microsoft.Word/WebArchiveCopyPasteTempFiles/onc0051108140001.jpg" \* MERGEFORMATINET </w:instrText>
      </w:r>
      <w:r w:rsidRPr="00073727">
        <w:fldChar w:fldCharType="separate"/>
      </w:r>
      <w:r w:rsidRPr="00073727">
        <w:rPr>
          <w:noProof/>
        </w:rPr>
        <w:drawing>
          <wp:inline distT="0" distB="0" distL="0" distR="0" wp14:anchorId="51B181C3" wp14:editId="480DC8E0">
            <wp:extent cx="5731510" cy="70065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7006590"/>
                    </a:xfrm>
                    <a:prstGeom prst="rect">
                      <a:avLst/>
                    </a:prstGeom>
                    <a:noFill/>
                    <a:ln>
                      <a:noFill/>
                    </a:ln>
                  </pic:spPr>
                </pic:pic>
              </a:graphicData>
            </a:graphic>
          </wp:inline>
        </w:drawing>
      </w:r>
      <w:r w:rsidRPr="00073727">
        <w:fldChar w:fldCharType="end"/>
      </w:r>
    </w:p>
    <w:p w14:paraId="799EC3ED" w14:textId="6BE6F225" w:rsidR="005B2D24" w:rsidRPr="00073727" w:rsidRDefault="004F6057" w:rsidP="00942ED4">
      <w:pPr>
        <w:spacing w:line="360" w:lineRule="auto"/>
        <w:rPr>
          <w:lang w:val="en-US"/>
        </w:rPr>
      </w:pPr>
      <w:r w:rsidRPr="00073727">
        <w:rPr>
          <w:lang w:val="en-US"/>
        </w:rPr>
        <w:t xml:space="preserve">Figure 1. Signal transduction by the HER family and potential mechanisms of action of trastuzumab. Abbreviations: EGFR, epidermal growth factor receptor; HER, human epidermal growth factor receptor; MAPK, mitogen-activated protein kinase; MEK, MAPK/extracellular signal–related kinase </w:t>
      </w:r>
      <w:proofErr w:type="spellStart"/>
      <w:r w:rsidRPr="00073727">
        <w:rPr>
          <w:lang w:val="en-US"/>
        </w:rPr>
        <w:t>kinase</w:t>
      </w:r>
      <w:proofErr w:type="spellEnd"/>
      <w:r w:rsidRPr="00073727">
        <w:rPr>
          <w:lang w:val="en-US"/>
        </w:rPr>
        <w:t xml:space="preserve">; PI3K, phosphoinositide 3-kinase; SOS, son of </w:t>
      </w:r>
      <w:proofErr w:type="spellStart"/>
      <w:r w:rsidRPr="00073727">
        <w:rPr>
          <w:lang w:val="en-US"/>
        </w:rPr>
        <w:t>sevenless</w:t>
      </w:r>
      <w:proofErr w:type="spellEnd"/>
      <w:r w:rsidRPr="00073727">
        <w:rPr>
          <w:lang w:val="en-US"/>
        </w:rPr>
        <w:t xml:space="preserve">; VEGF, vascular endothelial growth factor. Reprinted from </w:t>
      </w:r>
      <w:proofErr w:type="spellStart"/>
      <w:r w:rsidRPr="00073727">
        <w:rPr>
          <w:lang w:val="en-US"/>
        </w:rPr>
        <w:t>Hudis</w:t>
      </w:r>
      <w:proofErr w:type="spellEnd"/>
      <w:r w:rsidRPr="00073727">
        <w:rPr>
          <w:lang w:val="en-US"/>
        </w:rPr>
        <w:t xml:space="preserve"> CA. Trastuzumab—Mechanism of action and use in clinical practice. N </w:t>
      </w:r>
      <w:proofErr w:type="spellStart"/>
      <w:r w:rsidRPr="00073727">
        <w:rPr>
          <w:lang w:val="en-US"/>
        </w:rPr>
        <w:t>Engl</w:t>
      </w:r>
      <w:proofErr w:type="spellEnd"/>
      <w:r w:rsidRPr="00073727">
        <w:rPr>
          <w:lang w:val="en-US"/>
        </w:rPr>
        <w:t xml:space="preserve"> J Med 2007; 357:39-51 DOI: 10.1056/NEJMra043186</w:t>
      </w:r>
      <w:r w:rsidR="005B2D24" w:rsidRPr="00073727">
        <w:rPr>
          <w:lang w:val="en-US"/>
        </w:rPr>
        <w:t>.</w:t>
      </w:r>
    </w:p>
    <w:p w14:paraId="72817809" w14:textId="76017F93" w:rsidR="005B2D24" w:rsidRPr="00073727" w:rsidRDefault="005B2D24" w:rsidP="00942ED4">
      <w:pPr>
        <w:spacing w:line="360" w:lineRule="auto"/>
        <w:rPr>
          <w:lang w:val="en-US"/>
        </w:rPr>
      </w:pPr>
    </w:p>
    <w:p w14:paraId="3288316D" w14:textId="7F98B8E2" w:rsidR="00073727" w:rsidRPr="00073727" w:rsidRDefault="00073727" w:rsidP="00942ED4">
      <w:pPr>
        <w:pStyle w:val="Heading2"/>
        <w:spacing w:before="0" w:after="0" w:line="360" w:lineRule="auto"/>
        <w:rPr>
          <w:lang w:val="en-US"/>
        </w:rPr>
      </w:pPr>
      <w:bookmarkStart w:id="22" w:name="_Toc116316428"/>
      <w:r w:rsidRPr="00073727">
        <w:rPr>
          <w:lang w:val="en-US"/>
        </w:rPr>
        <w:t>Open access</w:t>
      </w:r>
      <w:bookmarkEnd w:id="22"/>
    </w:p>
    <w:p w14:paraId="1CE3CE11" w14:textId="1DDAF97A" w:rsidR="00073727" w:rsidRPr="00073727" w:rsidRDefault="00073727" w:rsidP="00942ED4">
      <w:pPr>
        <w:pStyle w:val="ListParagraph"/>
        <w:numPr>
          <w:ilvl w:val="0"/>
          <w:numId w:val="13"/>
        </w:numPr>
        <w:spacing w:after="0" w:line="360" w:lineRule="auto"/>
        <w:rPr>
          <w:rFonts w:cs="Times New Roman"/>
        </w:rPr>
      </w:pPr>
      <w:r w:rsidRPr="00073727">
        <w:rPr>
          <w:rFonts w:cs="Times New Roman"/>
        </w:rPr>
        <w:t>The protocol</w:t>
      </w:r>
      <w:r w:rsidRPr="00073727">
        <w:rPr>
          <w:rFonts w:cs="Times New Roman"/>
        </w:rPr>
        <w:t>,</w:t>
      </w:r>
      <w:r w:rsidRPr="00073727">
        <w:rPr>
          <w:rFonts w:cs="Times New Roman"/>
        </w:rPr>
        <w:t xml:space="preserve"> study design, specific aims</w:t>
      </w:r>
    </w:p>
    <w:p w14:paraId="6A652037" w14:textId="132D041B" w:rsidR="00073727" w:rsidRPr="00073727" w:rsidRDefault="00073727" w:rsidP="00942ED4">
      <w:pPr>
        <w:pStyle w:val="ListParagraph"/>
        <w:numPr>
          <w:ilvl w:val="0"/>
          <w:numId w:val="13"/>
        </w:numPr>
        <w:spacing w:after="0" w:line="360" w:lineRule="auto"/>
        <w:rPr>
          <w:rFonts w:cs="Times New Roman"/>
        </w:rPr>
      </w:pPr>
      <w:r w:rsidRPr="00073727">
        <w:rPr>
          <w:rFonts w:cs="Times New Roman"/>
        </w:rPr>
        <w:t xml:space="preserve">The raw data collected (as appropriate) and </w:t>
      </w:r>
      <w:proofErr w:type="spellStart"/>
      <w:r w:rsidRPr="00073727">
        <w:rPr>
          <w:rFonts w:cs="Times New Roman"/>
        </w:rPr>
        <w:t>analysable</w:t>
      </w:r>
      <w:proofErr w:type="spellEnd"/>
      <w:r w:rsidRPr="00073727">
        <w:rPr>
          <w:rFonts w:cs="Times New Roman"/>
        </w:rPr>
        <w:t xml:space="preserve"> data</w:t>
      </w:r>
    </w:p>
    <w:p w14:paraId="4491C71B" w14:textId="4DE3C714" w:rsidR="00073727" w:rsidRPr="00073727" w:rsidRDefault="00073727" w:rsidP="00942ED4">
      <w:pPr>
        <w:pStyle w:val="ListParagraph"/>
        <w:numPr>
          <w:ilvl w:val="0"/>
          <w:numId w:val="13"/>
        </w:numPr>
        <w:spacing w:after="0" w:line="360" w:lineRule="auto"/>
        <w:rPr>
          <w:rFonts w:cs="Times New Roman"/>
        </w:rPr>
      </w:pPr>
      <w:r w:rsidRPr="00073727">
        <w:rPr>
          <w:rFonts w:cs="Times New Roman"/>
        </w:rPr>
        <w:t>The data sharing plan</w:t>
      </w:r>
    </w:p>
    <w:p w14:paraId="27902A95" w14:textId="48447F91" w:rsidR="00073727" w:rsidRPr="00073727" w:rsidRDefault="00073727" w:rsidP="00942ED4">
      <w:pPr>
        <w:pStyle w:val="ListParagraph"/>
        <w:numPr>
          <w:ilvl w:val="0"/>
          <w:numId w:val="13"/>
        </w:numPr>
        <w:spacing w:after="0" w:line="360" w:lineRule="auto"/>
        <w:rPr>
          <w:rFonts w:cs="Times New Roman"/>
        </w:rPr>
      </w:pPr>
      <w:r w:rsidRPr="00073727">
        <w:rPr>
          <w:rFonts w:cs="Times New Roman"/>
        </w:rPr>
        <w:t>Statistical analysis methods</w:t>
      </w:r>
    </w:p>
    <w:p w14:paraId="20F9A320" w14:textId="15E53622" w:rsidR="00073727" w:rsidRPr="00073727" w:rsidRDefault="00073727" w:rsidP="00942ED4">
      <w:pPr>
        <w:pStyle w:val="ListParagraph"/>
        <w:numPr>
          <w:ilvl w:val="0"/>
          <w:numId w:val="13"/>
        </w:numPr>
        <w:spacing w:after="0" w:line="360" w:lineRule="auto"/>
        <w:rPr>
          <w:rFonts w:cs="Times New Roman"/>
        </w:rPr>
      </w:pPr>
      <w:r w:rsidRPr="00073727">
        <w:rPr>
          <w:rFonts w:cs="Times New Roman"/>
        </w:rPr>
        <w:t xml:space="preserve">An overall study report </w:t>
      </w:r>
      <w:proofErr w:type="spellStart"/>
      <w:r w:rsidRPr="00073727">
        <w:rPr>
          <w:rFonts w:cs="Times New Roman"/>
        </w:rPr>
        <w:t>summarising</w:t>
      </w:r>
      <w:proofErr w:type="spellEnd"/>
      <w:r w:rsidRPr="00073727">
        <w:rPr>
          <w:rFonts w:cs="Times New Roman"/>
        </w:rPr>
        <w:t xml:space="preserve"> the key findings and next steps</w:t>
      </w:r>
    </w:p>
    <w:p w14:paraId="7120A285" w14:textId="1A316F51" w:rsidR="005B2D24" w:rsidRPr="00073727" w:rsidRDefault="005B2D24" w:rsidP="00942ED4">
      <w:pPr>
        <w:pStyle w:val="Heading2"/>
        <w:spacing w:before="0" w:after="0" w:line="360" w:lineRule="auto"/>
      </w:pPr>
      <w:bookmarkStart w:id="23" w:name="_Toc116316429"/>
      <w:r w:rsidRPr="00073727">
        <w:t>Guidelines (remove in final version)</w:t>
      </w:r>
      <w:bookmarkEnd w:id="23"/>
    </w:p>
    <w:p w14:paraId="0C07B3D8" w14:textId="77777777" w:rsidR="005B2D24" w:rsidRPr="00073727" w:rsidRDefault="005B2D24" w:rsidP="00942ED4">
      <w:pPr>
        <w:spacing w:line="360" w:lineRule="auto"/>
        <w:rPr>
          <w:i/>
          <w:iCs/>
          <w:color w:val="000000" w:themeColor="text1"/>
        </w:rPr>
      </w:pPr>
      <w:r w:rsidRPr="00073727">
        <w:rPr>
          <w:i/>
          <w:iCs/>
          <w:color w:val="000000" w:themeColor="text1"/>
        </w:rPr>
        <w:t>The Individual Case Study Report (ICSR) should be based on the case study description linked above and written using the provided template.</w:t>
      </w:r>
    </w:p>
    <w:p w14:paraId="1E8B0BC2" w14:textId="77777777" w:rsidR="005B2D24" w:rsidRPr="00073727" w:rsidRDefault="005B2D24" w:rsidP="00942ED4">
      <w:pPr>
        <w:spacing w:line="360" w:lineRule="auto"/>
        <w:rPr>
          <w:i/>
          <w:iCs/>
          <w:color w:val="000000" w:themeColor="text1"/>
        </w:rPr>
      </w:pPr>
      <w:r w:rsidRPr="00073727">
        <w:rPr>
          <w:i/>
          <w:iCs/>
          <w:color w:val="000000" w:themeColor="text1"/>
          <w:lang w:val="en-US"/>
        </w:rPr>
        <w:t>R</w:t>
      </w:r>
      <w:r w:rsidRPr="00073727">
        <w:rPr>
          <w:i/>
          <w:iCs/>
          <w:color w:val="000000" w:themeColor="text1"/>
        </w:rPr>
        <w:t>equirements:</w:t>
      </w:r>
    </w:p>
    <w:p w14:paraId="574EE459" w14:textId="77777777" w:rsidR="005B2D24" w:rsidRPr="00073727" w:rsidRDefault="005B2D24" w:rsidP="00942ED4">
      <w:pPr>
        <w:spacing w:line="360" w:lineRule="auto"/>
        <w:rPr>
          <w:i/>
          <w:iCs/>
          <w:color w:val="000000" w:themeColor="text1"/>
        </w:rPr>
      </w:pPr>
      <w:r w:rsidRPr="00073727">
        <w:rPr>
          <w:i/>
          <w:iCs/>
          <w:color w:val="000000" w:themeColor="text1"/>
        </w:rPr>
        <w:t>• 4 pages in length</w:t>
      </w:r>
    </w:p>
    <w:p w14:paraId="089B0021" w14:textId="77777777" w:rsidR="005B2D24" w:rsidRPr="00073727" w:rsidRDefault="005B2D24" w:rsidP="00942ED4">
      <w:pPr>
        <w:spacing w:line="360" w:lineRule="auto"/>
        <w:rPr>
          <w:i/>
          <w:iCs/>
          <w:color w:val="000000" w:themeColor="text1"/>
        </w:rPr>
      </w:pPr>
      <w:r w:rsidRPr="00073727">
        <w:rPr>
          <w:i/>
          <w:iCs/>
          <w:color w:val="000000" w:themeColor="text1"/>
        </w:rPr>
        <w:t>• double-spaced (not including references)</w:t>
      </w:r>
    </w:p>
    <w:p w14:paraId="3D60A4A4" w14:textId="77777777" w:rsidR="005B2D24" w:rsidRPr="00073727" w:rsidRDefault="005B2D24" w:rsidP="00942ED4">
      <w:pPr>
        <w:spacing w:line="360" w:lineRule="auto"/>
        <w:rPr>
          <w:i/>
          <w:iCs/>
          <w:color w:val="000000" w:themeColor="text1"/>
        </w:rPr>
      </w:pPr>
      <w:r w:rsidRPr="00073727">
        <w:rPr>
          <w:i/>
          <w:iCs/>
          <w:color w:val="000000" w:themeColor="text1"/>
        </w:rPr>
        <w:t xml:space="preserve">• </w:t>
      </w:r>
      <w:r w:rsidRPr="00073727">
        <w:rPr>
          <w:i/>
          <w:iCs/>
          <w:color w:val="000000" w:themeColor="text1"/>
          <w:lang w:val="en-US"/>
        </w:rPr>
        <w:t xml:space="preserve">minimum </w:t>
      </w:r>
      <w:r w:rsidRPr="00073727">
        <w:rPr>
          <w:i/>
          <w:iCs/>
          <w:color w:val="000000" w:themeColor="text1"/>
        </w:rPr>
        <w:t xml:space="preserve">two obligatory EU Health Authority requirements (following, among other references, the EU and ICH guidelines, as referenced in the required readings) for the each of the following five sections </w:t>
      </w:r>
    </w:p>
    <w:p w14:paraId="3F98F953" w14:textId="77777777" w:rsidR="005B2D24" w:rsidRPr="00073727" w:rsidRDefault="005B2D24" w:rsidP="00942ED4">
      <w:pPr>
        <w:spacing w:line="360" w:lineRule="auto"/>
        <w:rPr>
          <w:i/>
          <w:iCs/>
          <w:color w:val="000000" w:themeColor="text1"/>
        </w:rPr>
      </w:pPr>
      <w:r w:rsidRPr="00073727">
        <w:rPr>
          <w:i/>
          <w:iCs/>
          <w:color w:val="000000" w:themeColor="text1"/>
        </w:rPr>
        <w:t xml:space="preserve">• and write a short executive summary and a conclusion by himself or herself.  </w:t>
      </w:r>
    </w:p>
    <w:p w14:paraId="6AA1C582" w14:textId="77777777" w:rsidR="005B2D24" w:rsidRPr="00073727" w:rsidRDefault="005B2D24" w:rsidP="00942ED4">
      <w:pPr>
        <w:spacing w:line="360" w:lineRule="auto"/>
        <w:rPr>
          <w:i/>
          <w:iCs/>
          <w:color w:val="000000" w:themeColor="text1"/>
        </w:rPr>
      </w:pPr>
      <w:r w:rsidRPr="00073727">
        <w:rPr>
          <w:i/>
          <w:iCs/>
          <w:color w:val="000000" w:themeColor="text1"/>
        </w:rPr>
        <w:t>Required sections for ICSR-Track on Drugs:</w:t>
      </w:r>
    </w:p>
    <w:p w14:paraId="5B22FCB1" w14:textId="77777777" w:rsidR="005B2D24" w:rsidRPr="00073727" w:rsidRDefault="005B2D24" w:rsidP="00942ED4">
      <w:pPr>
        <w:spacing w:line="360" w:lineRule="auto"/>
        <w:rPr>
          <w:i/>
          <w:iCs/>
          <w:color w:val="000000" w:themeColor="text1"/>
        </w:rPr>
      </w:pPr>
      <w:r w:rsidRPr="00073727">
        <w:rPr>
          <w:i/>
          <w:iCs/>
          <w:color w:val="000000" w:themeColor="text1"/>
        </w:rPr>
        <w:t>1.</w:t>
      </w:r>
      <w:r w:rsidRPr="00073727">
        <w:rPr>
          <w:i/>
          <w:iCs/>
          <w:color w:val="000000" w:themeColor="text1"/>
        </w:rPr>
        <w:tab/>
        <w:t>Preclinical Plan</w:t>
      </w:r>
    </w:p>
    <w:p w14:paraId="684504CA" w14:textId="77777777" w:rsidR="005B2D24" w:rsidRPr="00073727" w:rsidRDefault="005B2D24" w:rsidP="00942ED4">
      <w:pPr>
        <w:spacing w:line="360" w:lineRule="auto"/>
        <w:rPr>
          <w:i/>
          <w:iCs/>
          <w:color w:val="000000" w:themeColor="text1"/>
        </w:rPr>
      </w:pPr>
      <w:r w:rsidRPr="00073727">
        <w:rPr>
          <w:i/>
          <w:iCs/>
          <w:color w:val="000000" w:themeColor="text1"/>
        </w:rPr>
        <w:t>2.</w:t>
      </w:r>
      <w:r w:rsidRPr="00073727">
        <w:rPr>
          <w:i/>
          <w:iCs/>
          <w:color w:val="000000" w:themeColor="text1"/>
        </w:rPr>
        <w:tab/>
        <w:t>Clinical Plan</w:t>
      </w:r>
    </w:p>
    <w:p w14:paraId="3AD5A834" w14:textId="77777777" w:rsidR="005B2D24" w:rsidRPr="00073727" w:rsidRDefault="005B2D24" w:rsidP="00942ED4">
      <w:pPr>
        <w:spacing w:line="360" w:lineRule="auto"/>
        <w:rPr>
          <w:i/>
          <w:iCs/>
          <w:color w:val="000000" w:themeColor="text1"/>
        </w:rPr>
      </w:pPr>
      <w:r w:rsidRPr="00073727">
        <w:rPr>
          <w:i/>
          <w:iCs/>
          <w:color w:val="000000" w:themeColor="text1"/>
        </w:rPr>
        <w:t>3.</w:t>
      </w:r>
      <w:r w:rsidRPr="00073727">
        <w:rPr>
          <w:i/>
          <w:iCs/>
          <w:color w:val="000000" w:themeColor="text1"/>
        </w:rPr>
        <w:tab/>
        <w:t>Chemistry, Manufacturing and Controls (CMC)</w:t>
      </w:r>
    </w:p>
    <w:p w14:paraId="31A29F2B" w14:textId="77777777" w:rsidR="005B2D24" w:rsidRPr="00073727" w:rsidRDefault="005B2D24" w:rsidP="00942ED4">
      <w:pPr>
        <w:spacing w:line="360" w:lineRule="auto"/>
        <w:rPr>
          <w:i/>
          <w:iCs/>
          <w:color w:val="000000" w:themeColor="text1"/>
        </w:rPr>
      </w:pPr>
      <w:r w:rsidRPr="00073727">
        <w:rPr>
          <w:i/>
          <w:iCs/>
          <w:color w:val="000000" w:themeColor="text1"/>
        </w:rPr>
        <w:t>4.</w:t>
      </w:r>
      <w:r w:rsidRPr="00073727">
        <w:rPr>
          <w:i/>
          <w:iCs/>
          <w:color w:val="000000" w:themeColor="text1"/>
        </w:rPr>
        <w:tab/>
        <w:t>Pre-IND Meeting / Scientific Advice</w:t>
      </w:r>
    </w:p>
    <w:p w14:paraId="46C10B03" w14:textId="0078276A" w:rsidR="005B2D24" w:rsidRPr="00073727" w:rsidRDefault="005B2D24" w:rsidP="00942ED4">
      <w:pPr>
        <w:spacing w:line="360" w:lineRule="auto"/>
        <w:rPr>
          <w:i/>
          <w:iCs/>
          <w:color w:val="000000" w:themeColor="text1"/>
        </w:rPr>
      </w:pPr>
      <w:r w:rsidRPr="00073727">
        <w:rPr>
          <w:i/>
          <w:iCs/>
          <w:color w:val="000000" w:themeColor="text1"/>
        </w:rPr>
        <w:t>5.</w:t>
      </w:r>
      <w:r w:rsidRPr="00073727">
        <w:rPr>
          <w:i/>
          <w:iCs/>
          <w:color w:val="000000" w:themeColor="text1"/>
        </w:rPr>
        <w:tab/>
        <w:t>Inspection Readiness</w:t>
      </w:r>
    </w:p>
    <w:p w14:paraId="1C8CCCE6" w14:textId="609D60A8" w:rsidR="00A504E2" w:rsidRPr="00073727" w:rsidRDefault="00A504E2" w:rsidP="00942ED4">
      <w:pPr>
        <w:spacing w:line="360" w:lineRule="auto"/>
        <w:rPr>
          <w:i/>
          <w:iCs/>
          <w:color w:val="000000" w:themeColor="text1"/>
        </w:rPr>
      </w:pPr>
    </w:p>
    <w:p w14:paraId="1091EEDA" w14:textId="12D82EFF" w:rsidR="00A504E2" w:rsidRPr="00073727" w:rsidRDefault="00A504E2" w:rsidP="00942ED4">
      <w:pPr>
        <w:spacing w:line="360" w:lineRule="auto"/>
        <w:rPr>
          <w:i/>
          <w:iCs/>
          <w:color w:val="000000" w:themeColor="text1"/>
          <w:lang w:val="en-US"/>
        </w:rPr>
      </w:pPr>
      <w:r w:rsidRPr="00073727">
        <w:rPr>
          <w:i/>
          <w:iCs/>
          <w:color w:val="000000" w:themeColor="text1"/>
          <w:lang w:val="en-US"/>
        </w:rPr>
        <w:t xml:space="preserve">Medical device requires comparison of EU and US (MDR, IVDR) are more complex than drug and therefore more critical comparison of FDA/EMA. </w:t>
      </w:r>
    </w:p>
    <w:p w14:paraId="47FE3007" w14:textId="76D05C7C" w:rsidR="004F6057" w:rsidRPr="00073727" w:rsidRDefault="004F6057" w:rsidP="00942ED4">
      <w:pPr>
        <w:pStyle w:val="Heading1"/>
        <w:spacing w:before="0" w:line="360" w:lineRule="auto"/>
        <w:rPr>
          <w:rFonts w:ascii="Times New Roman" w:eastAsia="Times New Roman" w:hAnsi="Times New Roman" w:cs="Times New Roman"/>
          <w:color w:val="auto"/>
          <w:sz w:val="24"/>
          <w:szCs w:val="24"/>
          <w:lang w:val="en-US"/>
        </w:rPr>
      </w:pPr>
    </w:p>
    <w:p w14:paraId="6780B786" w14:textId="15390840" w:rsidR="00822AF5" w:rsidRPr="00073727" w:rsidRDefault="00822AF5" w:rsidP="00942ED4">
      <w:pPr>
        <w:pStyle w:val="Heading1"/>
        <w:spacing w:before="0" w:line="360" w:lineRule="auto"/>
        <w:rPr>
          <w:rFonts w:ascii="Times New Roman" w:eastAsia="Times New Roman" w:hAnsi="Times New Roman" w:cs="Times New Roman"/>
          <w:sz w:val="24"/>
          <w:szCs w:val="24"/>
          <w:lang w:val="en-US"/>
        </w:rPr>
      </w:pPr>
      <w:bookmarkStart w:id="24" w:name="_Toc116316430"/>
      <w:r w:rsidRPr="00073727">
        <w:rPr>
          <w:rFonts w:ascii="Times New Roman" w:hAnsi="Times New Roman" w:cs="Times New Roman"/>
        </w:rPr>
        <w:t>References</w:t>
      </w:r>
      <w:bookmarkEnd w:id="24"/>
    </w:p>
    <w:p w14:paraId="5562228C" w14:textId="77777777" w:rsidR="005836BF" w:rsidRPr="00073727" w:rsidRDefault="005836BF" w:rsidP="00942ED4">
      <w:pPr>
        <w:spacing w:line="360" w:lineRule="auto"/>
      </w:pPr>
    </w:p>
    <w:p w14:paraId="27258193" w14:textId="77777777" w:rsidR="00C4514B" w:rsidRPr="00073727" w:rsidRDefault="00DD3EB6" w:rsidP="00942ED4">
      <w:pPr>
        <w:pStyle w:val="Bibliography"/>
        <w:spacing w:line="360" w:lineRule="auto"/>
        <w:rPr>
          <w:lang w:val="en-US"/>
        </w:rPr>
      </w:pPr>
      <w:r w:rsidRPr="00073727">
        <w:fldChar w:fldCharType="begin"/>
      </w:r>
      <w:r w:rsidR="000D2D86" w:rsidRPr="00073727">
        <w:instrText xml:space="preserve"> ADDIN ZOTERO_BIBL {"uncited":[],"omitted":[],"custom":[]} CSL_BIBLIOGRAPHY </w:instrText>
      </w:r>
      <w:r w:rsidRPr="00073727">
        <w:fldChar w:fldCharType="separate"/>
      </w:r>
      <w:r w:rsidR="00C4514B" w:rsidRPr="00073727">
        <w:rPr>
          <w:lang w:val="en-US"/>
        </w:rPr>
        <w:t>[1]</w:t>
      </w:r>
      <w:r w:rsidR="00C4514B" w:rsidRPr="00073727">
        <w:rPr>
          <w:lang w:val="en-US"/>
        </w:rPr>
        <w:tab/>
        <w:t xml:space="preserve">A. </w:t>
      </w:r>
      <w:proofErr w:type="spellStart"/>
      <w:r w:rsidR="00C4514B" w:rsidRPr="00073727">
        <w:rPr>
          <w:lang w:val="en-US"/>
        </w:rPr>
        <w:t>Nürnberg</w:t>
      </w:r>
      <w:proofErr w:type="spellEnd"/>
      <w:r w:rsidR="00C4514B" w:rsidRPr="00073727">
        <w:rPr>
          <w:lang w:val="en-US"/>
        </w:rPr>
        <w:t xml:space="preserve"> and H. Pierre, “An introduction to little-known aspects of nonclinical regulatory writing,” </w:t>
      </w:r>
      <w:r w:rsidR="00C4514B" w:rsidRPr="00073727">
        <w:rPr>
          <w:i/>
          <w:iCs/>
          <w:lang w:val="en-US"/>
        </w:rPr>
        <w:t>Medical Writing</w:t>
      </w:r>
      <w:r w:rsidR="00C4514B" w:rsidRPr="00073727">
        <w:rPr>
          <w:lang w:val="en-US"/>
        </w:rPr>
        <w:t>, vol. 26, pp. 9–19, 2017.</w:t>
      </w:r>
    </w:p>
    <w:p w14:paraId="64E8B58C" w14:textId="77777777" w:rsidR="00C4514B" w:rsidRPr="00073727" w:rsidRDefault="00C4514B" w:rsidP="00942ED4">
      <w:pPr>
        <w:pStyle w:val="Bibliography"/>
        <w:spacing w:line="360" w:lineRule="auto"/>
        <w:rPr>
          <w:lang w:val="en-US"/>
        </w:rPr>
      </w:pPr>
      <w:r w:rsidRPr="00073727">
        <w:rPr>
          <w:lang w:val="en-US"/>
        </w:rPr>
        <w:t>[2]</w:t>
      </w:r>
      <w:r w:rsidRPr="00073727">
        <w:rPr>
          <w:lang w:val="en-US"/>
        </w:rPr>
        <w:tab/>
        <w:t xml:space="preserve">I. C. H. Guideline, “ICH: Guidance on nonclinical safety studies for the conduct of human clinical trials and marketing authorization for pharmaceuticals M3 (R2). Version </w:t>
      </w:r>
      <w:r w:rsidRPr="00073727">
        <w:rPr>
          <w:lang w:val="en-US"/>
        </w:rPr>
        <w:lastRenderedPageBreak/>
        <w:t>step 4 2009.,” 2009. [Online]. Available: https://database.ich.org/sites/default/files/M3_R2__Guideline.pdf</w:t>
      </w:r>
    </w:p>
    <w:p w14:paraId="4E89B132" w14:textId="77777777" w:rsidR="00C4514B" w:rsidRPr="00073727" w:rsidRDefault="00C4514B" w:rsidP="00942ED4">
      <w:pPr>
        <w:pStyle w:val="Bibliography"/>
        <w:spacing w:line="360" w:lineRule="auto"/>
        <w:rPr>
          <w:lang w:val="en-US"/>
        </w:rPr>
      </w:pPr>
      <w:r w:rsidRPr="00073727">
        <w:rPr>
          <w:lang w:val="en-US"/>
        </w:rPr>
        <w:t>[3]</w:t>
      </w:r>
      <w:r w:rsidRPr="00073727">
        <w:rPr>
          <w:lang w:val="en-US"/>
        </w:rPr>
        <w:tab/>
        <w:t xml:space="preserve">K. B. Meyer-Tamaki, “Chapter 23 - Preclinical Development of Monoclonal Antibodies,” in </w:t>
      </w:r>
      <w:r w:rsidRPr="00073727">
        <w:rPr>
          <w:i/>
          <w:iCs/>
          <w:lang w:val="en-US"/>
        </w:rPr>
        <w:t>A Comprehensive Guide to Toxicology in Nonclinical Drug Development (Second Edition)</w:t>
      </w:r>
      <w:r w:rsidRPr="00073727">
        <w:rPr>
          <w:lang w:val="en-US"/>
        </w:rPr>
        <w:t xml:space="preserve">, Second Edition., A. S. </w:t>
      </w:r>
      <w:proofErr w:type="spellStart"/>
      <w:r w:rsidRPr="00073727">
        <w:rPr>
          <w:lang w:val="en-US"/>
        </w:rPr>
        <w:t>Faqi</w:t>
      </w:r>
      <w:proofErr w:type="spellEnd"/>
      <w:r w:rsidRPr="00073727">
        <w:rPr>
          <w:lang w:val="en-US"/>
        </w:rPr>
        <w:t xml:space="preserve">, Ed. Boston: Academic Press, 2017, pp. 617–645. </w:t>
      </w:r>
      <w:proofErr w:type="spellStart"/>
      <w:r w:rsidRPr="00073727">
        <w:rPr>
          <w:lang w:val="en-US"/>
        </w:rPr>
        <w:t>doi</w:t>
      </w:r>
      <w:proofErr w:type="spellEnd"/>
      <w:r w:rsidRPr="00073727">
        <w:rPr>
          <w:lang w:val="en-US"/>
        </w:rPr>
        <w:t>: https://doi.org/10.1016/B978-0-12-803620-4.00023-2.</w:t>
      </w:r>
    </w:p>
    <w:p w14:paraId="135FB63D" w14:textId="77777777" w:rsidR="00C4514B" w:rsidRPr="00073727" w:rsidRDefault="00C4514B" w:rsidP="00942ED4">
      <w:pPr>
        <w:pStyle w:val="Bibliography"/>
        <w:spacing w:line="360" w:lineRule="auto"/>
        <w:rPr>
          <w:lang w:val="en-US"/>
        </w:rPr>
      </w:pPr>
      <w:r w:rsidRPr="00073727">
        <w:rPr>
          <w:lang w:val="en-US"/>
        </w:rPr>
        <w:t>[4]</w:t>
      </w:r>
      <w:r w:rsidRPr="00073727">
        <w:rPr>
          <w:lang w:val="en-US"/>
        </w:rPr>
        <w:tab/>
        <w:t xml:space="preserve">E. D. Lobo, R. J. Hansen, and J. P. Balthasar, “Antibody Pharmacokinetics and Pharmacodynamics,” </w:t>
      </w:r>
      <w:r w:rsidRPr="00073727">
        <w:rPr>
          <w:i/>
          <w:iCs/>
          <w:lang w:val="en-US"/>
        </w:rPr>
        <w:t>Journal of Pharmaceutical Sciences</w:t>
      </w:r>
      <w:r w:rsidRPr="00073727">
        <w:rPr>
          <w:lang w:val="en-US"/>
        </w:rPr>
        <w:t xml:space="preserve">, vol. 93, no. 11, pp. 2645–2668, 2004, </w:t>
      </w:r>
      <w:proofErr w:type="spellStart"/>
      <w:r w:rsidRPr="00073727">
        <w:rPr>
          <w:lang w:val="en-US"/>
        </w:rPr>
        <w:t>doi</w:t>
      </w:r>
      <w:proofErr w:type="spellEnd"/>
      <w:r w:rsidRPr="00073727">
        <w:rPr>
          <w:lang w:val="en-US"/>
        </w:rPr>
        <w:t>: https://doi.org/10.1002/jps.20178.</w:t>
      </w:r>
    </w:p>
    <w:p w14:paraId="59DF0B4A" w14:textId="77777777" w:rsidR="00C4514B" w:rsidRPr="00073727" w:rsidRDefault="00C4514B" w:rsidP="00942ED4">
      <w:pPr>
        <w:pStyle w:val="Bibliography"/>
        <w:spacing w:line="360" w:lineRule="auto"/>
        <w:rPr>
          <w:lang w:val="en-US"/>
        </w:rPr>
      </w:pPr>
      <w:r w:rsidRPr="00073727">
        <w:rPr>
          <w:lang w:val="en-US"/>
        </w:rPr>
        <w:t>[5]</w:t>
      </w:r>
      <w:r w:rsidRPr="00073727">
        <w:rPr>
          <w:lang w:val="en-US"/>
        </w:rPr>
        <w:tab/>
        <w:t xml:space="preserve">D. R. </w:t>
      </w:r>
      <w:proofErr w:type="spellStart"/>
      <w:r w:rsidRPr="00073727">
        <w:rPr>
          <w:lang w:val="en-US"/>
        </w:rPr>
        <w:t>Mould</w:t>
      </w:r>
      <w:proofErr w:type="spellEnd"/>
      <w:r w:rsidRPr="00073727">
        <w:rPr>
          <w:lang w:val="en-US"/>
        </w:rPr>
        <w:t xml:space="preserve"> and B. Green, “Pharmacokinetics and Pharmacodynamics of Monoclonal Antibodies,” </w:t>
      </w:r>
      <w:proofErr w:type="spellStart"/>
      <w:r w:rsidRPr="00073727">
        <w:rPr>
          <w:i/>
          <w:iCs/>
          <w:lang w:val="en-US"/>
        </w:rPr>
        <w:t>BioDrugs</w:t>
      </w:r>
      <w:proofErr w:type="spellEnd"/>
      <w:r w:rsidRPr="00073727">
        <w:rPr>
          <w:lang w:val="en-US"/>
        </w:rPr>
        <w:t xml:space="preserve">, vol. 24, no. 1, pp. 23–39, Feb. 2010, </w:t>
      </w:r>
      <w:proofErr w:type="spellStart"/>
      <w:r w:rsidRPr="00073727">
        <w:rPr>
          <w:lang w:val="en-US"/>
        </w:rPr>
        <w:t>doi</w:t>
      </w:r>
      <w:proofErr w:type="spellEnd"/>
      <w:r w:rsidRPr="00073727">
        <w:rPr>
          <w:lang w:val="en-US"/>
        </w:rPr>
        <w:t>: 10.2165/11530560-000000000-00000.</w:t>
      </w:r>
    </w:p>
    <w:p w14:paraId="5CC0FA83" w14:textId="77777777" w:rsidR="00C4514B" w:rsidRPr="00073727" w:rsidRDefault="00C4514B" w:rsidP="00942ED4">
      <w:pPr>
        <w:pStyle w:val="Bibliography"/>
        <w:spacing w:line="360" w:lineRule="auto"/>
        <w:rPr>
          <w:lang w:val="en-US"/>
        </w:rPr>
      </w:pPr>
      <w:r w:rsidRPr="00073727">
        <w:rPr>
          <w:lang w:val="en-US"/>
        </w:rPr>
        <w:t>[6]</w:t>
      </w:r>
      <w:r w:rsidRPr="00073727">
        <w:rPr>
          <w:lang w:val="en-US"/>
        </w:rPr>
        <w:tab/>
        <w:t>“EudraLex Volume 10 Clinical trials guidelines.” 2014. [Online]. Available: https://health.ec.europa.eu/medicinal-products/eudralex/eudralex-volume-10_en</w:t>
      </w:r>
    </w:p>
    <w:p w14:paraId="72574B41" w14:textId="77777777" w:rsidR="00C4514B" w:rsidRPr="00073727" w:rsidRDefault="00C4514B" w:rsidP="00942ED4">
      <w:pPr>
        <w:pStyle w:val="Bibliography"/>
        <w:spacing w:line="360" w:lineRule="auto"/>
        <w:rPr>
          <w:lang w:val="en-US"/>
        </w:rPr>
      </w:pPr>
      <w:r w:rsidRPr="00073727">
        <w:rPr>
          <w:lang w:val="en-US"/>
        </w:rPr>
        <w:t>[7]</w:t>
      </w:r>
      <w:r w:rsidRPr="00073727">
        <w:rPr>
          <w:lang w:val="en-US"/>
        </w:rPr>
        <w:tab/>
        <w:t>I. C. H. Guideline, “ICH: S9 Nonclinical evaluation for anticancer pharmaceuticals. Guidance on nonclinical safety studies for the conduct of human clinical trials and marketing authorization for pharmaceuticals M3 (R2). Version step 4 2009.,” 2009. [Online]. Available: https://database.ich.org/sites/default/files/S9_Guideline.pdf</w:t>
      </w:r>
    </w:p>
    <w:p w14:paraId="19EEEA63" w14:textId="77777777" w:rsidR="00C4514B" w:rsidRPr="00073727" w:rsidRDefault="00C4514B" w:rsidP="00942ED4">
      <w:pPr>
        <w:pStyle w:val="Bibliography"/>
        <w:spacing w:line="360" w:lineRule="auto"/>
        <w:rPr>
          <w:lang w:val="en-US"/>
        </w:rPr>
      </w:pPr>
      <w:r w:rsidRPr="00073727">
        <w:rPr>
          <w:lang w:val="en-US"/>
        </w:rPr>
        <w:t>[8]</w:t>
      </w:r>
      <w:r w:rsidRPr="00073727">
        <w:rPr>
          <w:lang w:val="en-US"/>
        </w:rPr>
        <w:tab/>
        <w:t>I. C. H. Guideline, “ICH: E6(R2) Good Clinical Practice (GCP). ICH Efficacy Guidelines.,” 2016. [Online]. Available: https://database.ich.org/sites/default/files/E6_R2_Addendum.pdf</w:t>
      </w:r>
    </w:p>
    <w:p w14:paraId="7DA28F7C" w14:textId="77777777" w:rsidR="00C4514B" w:rsidRPr="00073727" w:rsidRDefault="00C4514B" w:rsidP="00942ED4">
      <w:pPr>
        <w:pStyle w:val="Bibliography"/>
        <w:spacing w:line="360" w:lineRule="auto"/>
        <w:rPr>
          <w:lang w:val="fr-CH"/>
        </w:rPr>
      </w:pPr>
      <w:r w:rsidRPr="00073727">
        <w:rPr>
          <w:lang w:val="en-US"/>
        </w:rPr>
        <w:t>[9]</w:t>
      </w:r>
      <w:r w:rsidRPr="00073727">
        <w:rPr>
          <w:lang w:val="en-US"/>
        </w:rPr>
        <w:tab/>
        <w:t xml:space="preserve">“EMA: Guideline on the requirements to the chemical and pharmaceutical quality documentation concerning investigational medicinal products in clinical trials.” </w:t>
      </w:r>
      <w:r w:rsidRPr="00073727">
        <w:rPr>
          <w:lang w:val="fr-CH"/>
        </w:rPr>
        <w:t xml:space="preserve">[Online]. </w:t>
      </w:r>
      <w:proofErr w:type="spellStart"/>
      <w:proofErr w:type="gramStart"/>
      <w:r w:rsidRPr="00073727">
        <w:rPr>
          <w:lang w:val="fr-CH"/>
        </w:rPr>
        <w:t>Available</w:t>
      </w:r>
      <w:proofErr w:type="spellEnd"/>
      <w:r w:rsidRPr="00073727">
        <w:rPr>
          <w:lang w:val="fr-CH"/>
        </w:rPr>
        <w:t>:</w:t>
      </w:r>
      <w:proofErr w:type="gramEnd"/>
      <w:r w:rsidRPr="00073727">
        <w:rPr>
          <w:lang w:val="fr-CH"/>
        </w:rPr>
        <w:t xml:space="preserve"> https://www.ema.europa.eu/en/documents/scientific-guideline/guideline-requirements-chemical-pharmaceutical-quality-documentation-concerning-investigational_en-1.pdf</w:t>
      </w:r>
    </w:p>
    <w:p w14:paraId="606778BD" w14:textId="77777777" w:rsidR="00C4514B" w:rsidRPr="00073727" w:rsidRDefault="00C4514B" w:rsidP="00942ED4">
      <w:pPr>
        <w:pStyle w:val="Bibliography"/>
        <w:spacing w:line="360" w:lineRule="auto"/>
        <w:rPr>
          <w:lang w:val="en-US"/>
        </w:rPr>
      </w:pPr>
      <w:r w:rsidRPr="00073727">
        <w:rPr>
          <w:lang w:val="en-US"/>
        </w:rPr>
        <w:t>[10]</w:t>
      </w:r>
      <w:r w:rsidRPr="00073727">
        <w:rPr>
          <w:lang w:val="en-US"/>
        </w:rPr>
        <w:tab/>
        <w:t xml:space="preserve">H. Ledford, “‘Master protocol’ aims to revamp cancer trials.,” </w:t>
      </w:r>
      <w:r w:rsidRPr="00073727">
        <w:rPr>
          <w:i/>
          <w:iCs/>
          <w:lang w:val="en-US"/>
        </w:rPr>
        <w:t>Nature</w:t>
      </w:r>
      <w:r w:rsidRPr="00073727">
        <w:rPr>
          <w:lang w:val="en-US"/>
        </w:rPr>
        <w:t xml:space="preserve">, vol. 498, no. 7453, pp. 146–147, Jun. 2013, </w:t>
      </w:r>
      <w:proofErr w:type="spellStart"/>
      <w:r w:rsidRPr="00073727">
        <w:rPr>
          <w:lang w:val="en-US"/>
        </w:rPr>
        <w:t>doi</w:t>
      </w:r>
      <w:proofErr w:type="spellEnd"/>
      <w:r w:rsidRPr="00073727">
        <w:rPr>
          <w:lang w:val="en-US"/>
        </w:rPr>
        <w:t>: 10.1038/498146a.</w:t>
      </w:r>
    </w:p>
    <w:p w14:paraId="7C8FCBB0" w14:textId="77777777" w:rsidR="00C4514B" w:rsidRPr="00073727" w:rsidRDefault="00C4514B" w:rsidP="00942ED4">
      <w:pPr>
        <w:pStyle w:val="Bibliography"/>
        <w:spacing w:line="360" w:lineRule="auto"/>
        <w:rPr>
          <w:lang w:val="en-US"/>
        </w:rPr>
      </w:pPr>
      <w:r w:rsidRPr="00073727">
        <w:rPr>
          <w:lang w:val="en-US"/>
        </w:rPr>
        <w:t>[11]</w:t>
      </w:r>
      <w:r w:rsidRPr="00073727">
        <w:rPr>
          <w:lang w:val="en-US"/>
        </w:rPr>
        <w:tab/>
        <w:t xml:space="preserve">J. Woodcock and L. M. </w:t>
      </w:r>
      <w:proofErr w:type="spellStart"/>
      <w:r w:rsidRPr="00073727">
        <w:rPr>
          <w:lang w:val="en-US"/>
        </w:rPr>
        <w:t>LaVange</w:t>
      </w:r>
      <w:proofErr w:type="spellEnd"/>
      <w:r w:rsidRPr="00073727">
        <w:rPr>
          <w:lang w:val="en-US"/>
        </w:rPr>
        <w:t xml:space="preserve">, “Master Protocols to Study Multiple Therapies, Multiple Diseases, or Both.,” </w:t>
      </w:r>
      <w:r w:rsidRPr="00073727">
        <w:rPr>
          <w:i/>
          <w:iCs/>
          <w:lang w:val="en-US"/>
        </w:rPr>
        <w:t xml:space="preserve">N </w:t>
      </w:r>
      <w:proofErr w:type="spellStart"/>
      <w:r w:rsidRPr="00073727">
        <w:rPr>
          <w:i/>
          <w:iCs/>
          <w:lang w:val="en-US"/>
        </w:rPr>
        <w:t>Engl</w:t>
      </w:r>
      <w:proofErr w:type="spellEnd"/>
      <w:r w:rsidRPr="00073727">
        <w:rPr>
          <w:i/>
          <w:iCs/>
          <w:lang w:val="en-US"/>
        </w:rPr>
        <w:t xml:space="preserve"> J Med</w:t>
      </w:r>
      <w:r w:rsidRPr="00073727">
        <w:rPr>
          <w:lang w:val="en-US"/>
        </w:rPr>
        <w:t xml:space="preserve">, vol. 377, no. 1, pp. 62–70, Jul. 2017, </w:t>
      </w:r>
      <w:proofErr w:type="spellStart"/>
      <w:r w:rsidRPr="00073727">
        <w:rPr>
          <w:lang w:val="en-US"/>
        </w:rPr>
        <w:t>doi</w:t>
      </w:r>
      <w:proofErr w:type="spellEnd"/>
      <w:r w:rsidRPr="00073727">
        <w:rPr>
          <w:lang w:val="en-US"/>
        </w:rPr>
        <w:t>: 10.1056/NEJMra1510062.</w:t>
      </w:r>
    </w:p>
    <w:p w14:paraId="338627C2" w14:textId="77777777" w:rsidR="00C4514B" w:rsidRPr="00073727" w:rsidRDefault="00C4514B" w:rsidP="00942ED4">
      <w:pPr>
        <w:pStyle w:val="Bibliography"/>
        <w:spacing w:line="360" w:lineRule="auto"/>
        <w:rPr>
          <w:lang w:val="en-US"/>
        </w:rPr>
      </w:pPr>
      <w:r w:rsidRPr="00073727">
        <w:rPr>
          <w:lang w:val="en-US"/>
        </w:rPr>
        <w:t>[12]</w:t>
      </w:r>
      <w:r w:rsidRPr="00073727">
        <w:rPr>
          <w:lang w:val="en-US"/>
        </w:rPr>
        <w:tab/>
        <w:t xml:space="preserve">D. </w:t>
      </w:r>
      <w:proofErr w:type="spellStart"/>
      <w:r w:rsidRPr="00073727">
        <w:rPr>
          <w:lang w:val="en-US"/>
        </w:rPr>
        <w:t>Zahavi</w:t>
      </w:r>
      <w:proofErr w:type="spellEnd"/>
      <w:r w:rsidRPr="00073727">
        <w:rPr>
          <w:lang w:val="en-US"/>
        </w:rPr>
        <w:t xml:space="preserve"> and L. Weiner, “Monoclonal antibodies in cancer therapy,” </w:t>
      </w:r>
      <w:r w:rsidRPr="00073727">
        <w:rPr>
          <w:i/>
          <w:iCs/>
          <w:lang w:val="en-US"/>
        </w:rPr>
        <w:t>Antibodies</w:t>
      </w:r>
      <w:r w:rsidRPr="00073727">
        <w:rPr>
          <w:lang w:val="en-US"/>
        </w:rPr>
        <w:t>, vol. 9, no. 3, p. 34, 2020.</w:t>
      </w:r>
    </w:p>
    <w:p w14:paraId="3CB00B07" w14:textId="77777777" w:rsidR="00C4514B" w:rsidRPr="00073727" w:rsidRDefault="00C4514B" w:rsidP="00942ED4">
      <w:pPr>
        <w:pStyle w:val="Bibliography"/>
        <w:spacing w:line="360" w:lineRule="auto"/>
        <w:rPr>
          <w:lang w:val="en-US"/>
        </w:rPr>
      </w:pPr>
      <w:r w:rsidRPr="00073727">
        <w:rPr>
          <w:lang w:val="en-US"/>
        </w:rPr>
        <w:lastRenderedPageBreak/>
        <w:t>[13]</w:t>
      </w:r>
      <w:r w:rsidRPr="00073727">
        <w:rPr>
          <w:lang w:val="en-US"/>
        </w:rPr>
        <w:tab/>
        <w:t xml:space="preserve">K. </w:t>
      </w:r>
      <w:proofErr w:type="spellStart"/>
      <w:r w:rsidRPr="00073727">
        <w:rPr>
          <w:lang w:val="en-US"/>
        </w:rPr>
        <w:t>Rajewsky</w:t>
      </w:r>
      <w:proofErr w:type="spellEnd"/>
      <w:r w:rsidRPr="00073727">
        <w:rPr>
          <w:lang w:val="en-US"/>
        </w:rPr>
        <w:t xml:space="preserve">, </w:t>
      </w:r>
      <w:proofErr w:type="gramStart"/>
      <w:r w:rsidRPr="00073727">
        <w:rPr>
          <w:i/>
          <w:iCs/>
          <w:lang w:val="en-US"/>
        </w:rPr>
        <w:t>The</w:t>
      </w:r>
      <w:proofErr w:type="gramEnd"/>
      <w:r w:rsidRPr="00073727">
        <w:rPr>
          <w:i/>
          <w:iCs/>
          <w:lang w:val="en-US"/>
        </w:rPr>
        <w:t xml:space="preserve"> advent and rise of monoclonal antibodies</w:t>
      </w:r>
      <w:r w:rsidRPr="00073727">
        <w:rPr>
          <w:lang w:val="en-US"/>
        </w:rPr>
        <w:t>. Nature Publishing Group, 2019.</w:t>
      </w:r>
    </w:p>
    <w:p w14:paraId="48A3E54F" w14:textId="77777777" w:rsidR="00C4514B" w:rsidRPr="00073727" w:rsidRDefault="00C4514B" w:rsidP="00942ED4">
      <w:pPr>
        <w:pStyle w:val="Bibliography"/>
        <w:spacing w:line="360" w:lineRule="auto"/>
        <w:rPr>
          <w:lang w:val="en-US"/>
        </w:rPr>
      </w:pPr>
      <w:r w:rsidRPr="00073727">
        <w:rPr>
          <w:lang w:val="en-US"/>
        </w:rPr>
        <w:t>[14]</w:t>
      </w:r>
      <w:r w:rsidRPr="00073727">
        <w:rPr>
          <w:lang w:val="en-US"/>
        </w:rPr>
        <w:tab/>
        <w:t xml:space="preserve">A. </w:t>
      </w:r>
      <w:proofErr w:type="spellStart"/>
      <w:r w:rsidRPr="00073727">
        <w:rPr>
          <w:lang w:val="en-US"/>
        </w:rPr>
        <w:t>Mullard</w:t>
      </w:r>
      <w:proofErr w:type="spellEnd"/>
      <w:r w:rsidRPr="00073727">
        <w:rPr>
          <w:lang w:val="en-US"/>
        </w:rPr>
        <w:t xml:space="preserve">, “FDA approves 100th monoclonal antibody product.,” </w:t>
      </w:r>
      <w:r w:rsidRPr="00073727">
        <w:rPr>
          <w:i/>
          <w:iCs/>
          <w:lang w:val="en-US"/>
        </w:rPr>
        <w:t>Nature reviews. Drug discovery</w:t>
      </w:r>
      <w:r w:rsidRPr="00073727">
        <w:rPr>
          <w:lang w:val="en-US"/>
        </w:rPr>
        <w:t>, 2021.</w:t>
      </w:r>
    </w:p>
    <w:p w14:paraId="52A0D267" w14:textId="77777777" w:rsidR="00C4514B" w:rsidRPr="00073727" w:rsidRDefault="00C4514B" w:rsidP="00942ED4">
      <w:pPr>
        <w:pStyle w:val="Bibliography"/>
        <w:spacing w:line="360" w:lineRule="auto"/>
        <w:rPr>
          <w:lang w:val="en-US"/>
        </w:rPr>
      </w:pPr>
      <w:r w:rsidRPr="00073727">
        <w:rPr>
          <w:lang w:val="en-US"/>
        </w:rPr>
        <w:t>[15]</w:t>
      </w:r>
      <w:r w:rsidRPr="00073727">
        <w:rPr>
          <w:lang w:val="en-US"/>
        </w:rPr>
        <w:tab/>
        <w:t xml:space="preserve">J. T. Ryman and B. </w:t>
      </w:r>
      <w:proofErr w:type="spellStart"/>
      <w:r w:rsidRPr="00073727">
        <w:rPr>
          <w:lang w:val="en-US"/>
        </w:rPr>
        <w:t>Meibohm</w:t>
      </w:r>
      <w:proofErr w:type="spellEnd"/>
      <w:r w:rsidRPr="00073727">
        <w:rPr>
          <w:lang w:val="en-US"/>
        </w:rPr>
        <w:t xml:space="preserve">, “Pharmacokinetics of monoclonal antibodies,” </w:t>
      </w:r>
      <w:r w:rsidRPr="00073727">
        <w:rPr>
          <w:i/>
          <w:iCs/>
          <w:lang w:val="en-US"/>
        </w:rPr>
        <w:t>CPT: pharmacometrics &amp; systems pharmacology</w:t>
      </w:r>
      <w:r w:rsidRPr="00073727">
        <w:rPr>
          <w:lang w:val="en-US"/>
        </w:rPr>
        <w:t>, vol. 6, no. 9, pp. 576–588, 2017.</w:t>
      </w:r>
    </w:p>
    <w:p w14:paraId="7EB496ED" w14:textId="77777777" w:rsidR="00C4514B" w:rsidRPr="00073727" w:rsidRDefault="00C4514B" w:rsidP="00942ED4">
      <w:pPr>
        <w:pStyle w:val="Bibliography"/>
        <w:spacing w:line="360" w:lineRule="auto"/>
        <w:rPr>
          <w:lang w:val="en-US"/>
        </w:rPr>
      </w:pPr>
      <w:r w:rsidRPr="00073727">
        <w:rPr>
          <w:lang w:val="en-US"/>
        </w:rPr>
        <w:t>[16]</w:t>
      </w:r>
      <w:r w:rsidRPr="00073727">
        <w:rPr>
          <w:lang w:val="en-US"/>
        </w:rPr>
        <w:tab/>
        <w:t xml:space="preserve">T. T. Hansel, H. </w:t>
      </w:r>
      <w:proofErr w:type="spellStart"/>
      <w:r w:rsidRPr="00073727">
        <w:rPr>
          <w:lang w:val="en-US"/>
        </w:rPr>
        <w:t>Kropshofer</w:t>
      </w:r>
      <w:proofErr w:type="spellEnd"/>
      <w:r w:rsidRPr="00073727">
        <w:rPr>
          <w:lang w:val="en-US"/>
        </w:rPr>
        <w:t xml:space="preserve">, T. Singer, J. A. Mitchell, and A. J. George, “The safety and side effects of monoclonal antibodies,” </w:t>
      </w:r>
      <w:r w:rsidRPr="00073727">
        <w:rPr>
          <w:i/>
          <w:iCs/>
          <w:lang w:val="en-US"/>
        </w:rPr>
        <w:t>Nature reviews Drug discovery</w:t>
      </w:r>
      <w:r w:rsidRPr="00073727">
        <w:rPr>
          <w:lang w:val="en-US"/>
        </w:rPr>
        <w:t>, vol. 9, no. 4, pp. 325–338, 2010.</w:t>
      </w:r>
    </w:p>
    <w:p w14:paraId="710EF64F" w14:textId="77777777" w:rsidR="00C4514B" w:rsidRPr="00073727" w:rsidRDefault="00C4514B" w:rsidP="00942ED4">
      <w:pPr>
        <w:pStyle w:val="Bibliography"/>
        <w:spacing w:line="360" w:lineRule="auto"/>
        <w:rPr>
          <w:lang w:val="en-US"/>
        </w:rPr>
      </w:pPr>
      <w:r w:rsidRPr="00073727">
        <w:rPr>
          <w:lang w:val="en-US"/>
        </w:rPr>
        <w:t>[17]</w:t>
      </w:r>
      <w:r w:rsidRPr="00073727">
        <w:rPr>
          <w:lang w:val="en-US"/>
        </w:rPr>
        <w:tab/>
        <w:t xml:space="preserve">G. </w:t>
      </w:r>
      <w:proofErr w:type="spellStart"/>
      <w:r w:rsidRPr="00073727">
        <w:rPr>
          <w:lang w:val="en-US"/>
        </w:rPr>
        <w:t>Suntharalingam</w:t>
      </w:r>
      <w:proofErr w:type="spellEnd"/>
      <w:r w:rsidRPr="00073727">
        <w:rPr>
          <w:lang w:val="en-US"/>
        </w:rPr>
        <w:t xml:space="preserve"> </w:t>
      </w:r>
      <w:r w:rsidRPr="00073727">
        <w:rPr>
          <w:i/>
          <w:iCs/>
          <w:lang w:val="en-US"/>
        </w:rPr>
        <w:t>et al.</w:t>
      </w:r>
      <w:r w:rsidRPr="00073727">
        <w:rPr>
          <w:lang w:val="en-US"/>
        </w:rPr>
        <w:t xml:space="preserve">, “Cytokine storm in a phase 1 trial of the anti-CD28 monoclonal antibody TGN1412.,” </w:t>
      </w:r>
      <w:r w:rsidRPr="00073727">
        <w:rPr>
          <w:i/>
          <w:iCs/>
          <w:lang w:val="en-US"/>
        </w:rPr>
        <w:t xml:space="preserve">N </w:t>
      </w:r>
      <w:proofErr w:type="spellStart"/>
      <w:r w:rsidRPr="00073727">
        <w:rPr>
          <w:i/>
          <w:iCs/>
          <w:lang w:val="en-US"/>
        </w:rPr>
        <w:t>Engl</w:t>
      </w:r>
      <w:proofErr w:type="spellEnd"/>
      <w:r w:rsidRPr="00073727">
        <w:rPr>
          <w:i/>
          <w:iCs/>
          <w:lang w:val="en-US"/>
        </w:rPr>
        <w:t xml:space="preserve"> J Med</w:t>
      </w:r>
      <w:r w:rsidRPr="00073727">
        <w:rPr>
          <w:lang w:val="en-US"/>
        </w:rPr>
        <w:t xml:space="preserve">, vol. 355, no. 10, pp. 1018–1028, Sep. 2006, </w:t>
      </w:r>
      <w:proofErr w:type="spellStart"/>
      <w:r w:rsidRPr="00073727">
        <w:rPr>
          <w:lang w:val="en-US"/>
        </w:rPr>
        <w:t>doi</w:t>
      </w:r>
      <w:proofErr w:type="spellEnd"/>
      <w:r w:rsidRPr="00073727">
        <w:rPr>
          <w:lang w:val="en-US"/>
        </w:rPr>
        <w:t>: 10.1056/NEJMoa063842.</w:t>
      </w:r>
    </w:p>
    <w:p w14:paraId="660C2A69" w14:textId="77777777" w:rsidR="00C4514B" w:rsidRPr="00073727" w:rsidRDefault="00C4514B" w:rsidP="00942ED4">
      <w:pPr>
        <w:pStyle w:val="Bibliography"/>
        <w:spacing w:line="360" w:lineRule="auto"/>
        <w:rPr>
          <w:lang w:val="en-US"/>
        </w:rPr>
      </w:pPr>
      <w:r w:rsidRPr="00073727">
        <w:rPr>
          <w:lang w:val="en-US"/>
        </w:rPr>
        <w:t>[18]</w:t>
      </w:r>
      <w:r w:rsidRPr="00073727">
        <w:rPr>
          <w:lang w:val="en-US"/>
        </w:rPr>
        <w:tab/>
        <w:t xml:space="preserve">L. M. Weiner, R. Surana, and S. Wang, “Monoclonal antibodies: versatile platforms for cancer immunotherapy,” </w:t>
      </w:r>
      <w:r w:rsidRPr="00073727">
        <w:rPr>
          <w:i/>
          <w:iCs/>
          <w:lang w:val="en-US"/>
        </w:rPr>
        <w:t>Nature Reviews Immunology</w:t>
      </w:r>
      <w:r w:rsidRPr="00073727">
        <w:rPr>
          <w:lang w:val="en-US"/>
        </w:rPr>
        <w:t>, vol. 10, no. 5, pp. 317–327, 2010.</w:t>
      </w:r>
    </w:p>
    <w:p w14:paraId="7BC3E5C4" w14:textId="77777777" w:rsidR="00C4514B" w:rsidRPr="00073727" w:rsidRDefault="00C4514B" w:rsidP="00942ED4">
      <w:pPr>
        <w:pStyle w:val="Bibliography"/>
        <w:spacing w:line="360" w:lineRule="auto"/>
        <w:rPr>
          <w:lang w:val="en-US"/>
        </w:rPr>
      </w:pPr>
      <w:r w:rsidRPr="00073727">
        <w:rPr>
          <w:lang w:val="en-US"/>
        </w:rPr>
        <w:t>[19]</w:t>
      </w:r>
      <w:r w:rsidRPr="00073727">
        <w:rPr>
          <w:lang w:val="en-US"/>
        </w:rPr>
        <w:tab/>
        <w:t xml:space="preserve">R. </w:t>
      </w:r>
      <w:proofErr w:type="spellStart"/>
      <w:r w:rsidRPr="00073727">
        <w:rPr>
          <w:lang w:val="en-US"/>
        </w:rPr>
        <w:t>Balocco</w:t>
      </w:r>
      <w:proofErr w:type="spellEnd"/>
      <w:r w:rsidRPr="00073727">
        <w:rPr>
          <w:lang w:val="en-US"/>
        </w:rPr>
        <w:t xml:space="preserve">, S. D. S. G. Koch, R. Thorpe, K. Weisser, and S. Malan, “New INN nomenclature for monoclonal antibodies,” </w:t>
      </w:r>
      <w:r w:rsidRPr="00073727">
        <w:rPr>
          <w:i/>
          <w:iCs/>
          <w:lang w:val="en-US"/>
        </w:rPr>
        <w:t>The Lancet</w:t>
      </w:r>
      <w:r w:rsidRPr="00073727">
        <w:rPr>
          <w:lang w:val="en-US"/>
        </w:rPr>
        <w:t>, vol. 399, no. 10319, p. 24, 2022.</w:t>
      </w:r>
    </w:p>
    <w:p w14:paraId="2552986D" w14:textId="77777777" w:rsidR="00C4514B" w:rsidRPr="00073727" w:rsidRDefault="00C4514B" w:rsidP="00942ED4">
      <w:pPr>
        <w:pStyle w:val="Bibliography"/>
        <w:spacing w:line="360" w:lineRule="auto"/>
        <w:rPr>
          <w:lang w:val="en-US"/>
        </w:rPr>
      </w:pPr>
      <w:r w:rsidRPr="00073727">
        <w:rPr>
          <w:lang w:val="en-US"/>
        </w:rPr>
        <w:t>[20]</w:t>
      </w:r>
      <w:r w:rsidRPr="00073727">
        <w:rPr>
          <w:lang w:val="en-US"/>
        </w:rPr>
        <w:tab/>
        <w:t xml:space="preserve">S. M. </w:t>
      </w:r>
      <w:proofErr w:type="spellStart"/>
      <w:r w:rsidRPr="00073727">
        <w:rPr>
          <w:lang w:val="en-US"/>
        </w:rPr>
        <w:t>Chiavenna</w:t>
      </w:r>
      <w:proofErr w:type="spellEnd"/>
      <w:r w:rsidRPr="00073727">
        <w:rPr>
          <w:lang w:val="en-US"/>
        </w:rPr>
        <w:t xml:space="preserve">, J. P. Jaworski, and A. </w:t>
      </w:r>
      <w:proofErr w:type="spellStart"/>
      <w:r w:rsidRPr="00073727">
        <w:rPr>
          <w:lang w:val="en-US"/>
        </w:rPr>
        <w:t>Vendrell</w:t>
      </w:r>
      <w:proofErr w:type="spellEnd"/>
      <w:r w:rsidRPr="00073727">
        <w:rPr>
          <w:lang w:val="en-US"/>
        </w:rPr>
        <w:t xml:space="preserve">, “State of the art in anti-cancer </w:t>
      </w:r>
      <w:proofErr w:type="spellStart"/>
      <w:r w:rsidRPr="00073727">
        <w:rPr>
          <w:lang w:val="en-US"/>
        </w:rPr>
        <w:t>mAbs</w:t>
      </w:r>
      <w:proofErr w:type="spellEnd"/>
      <w:r w:rsidRPr="00073727">
        <w:rPr>
          <w:lang w:val="en-US"/>
        </w:rPr>
        <w:t xml:space="preserve">.,” </w:t>
      </w:r>
      <w:r w:rsidRPr="00073727">
        <w:rPr>
          <w:i/>
          <w:iCs/>
          <w:lang w:val="en-US"/>
        </w:rPr>
        <w:t>J Biomed Sci</w:t>
      </w:r>
      <w:r w:rsidRPr="00073727">
        <w:rPr>
          <w:lang w:val="en-US"/>
        </w:rPr>
        <w:t xml:space="preserve">, vol. 24, no. 1, p. 15, Feb. 2017, </w:t>
      </w:r>
      <w:proofErr w:type="spellStart"/>
      <w:r w:rsidRPr="00073727">
        <w:rPr>
          <w:lang w:val="en-US"/>
        </w:rPr>
        <w:t>doi</w:t>
      </w:r>
      <w:proofErr w:type="spellEnd"/>
      <w:r w:rsidRPr="00073727">
        <w:rPr>
          <w:lang w:val="en-US"/>
        </w:rPr>
        <w:t>: 10.1186/s12929-016-0311-y.</w:t>
      </w:r>
    </w:p>
    <w:p w14:paraId="2E40B580" w14:textId="1C8C70B1" w:rsidR="005836BF" w:rsidRPr="00073727" w:rsidRDefault="00DD3EB6" w:rsidP="00942ED4">
      <w:pPr>
        <w:spacing w:line="360" w:lineRule="auto"/>
      </w:pPr>
      <w:r w:rsidRPr="00073727">
        <w:fldChar w:fldCharType="end"/>
      </w:r>
    </w:p>
    <w:sectPr w:rsidR="005836BF" w:rsidRPr="00073727">
      <w:footerReference w:type="even" r:id="rId42"/>
      <w:footerReference w:type="default" r:id="rId4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EF6F43" w14:textId="77777777" w:rsidR="00804124" w:rsidRDefault="00804124" w:rsidP="001E456A">
      <w:r>
        <w:separator/>
      </w:r>
    </w:p>
  </w:endnote>
  <w:endnote w:type="continuationSeparator" w:id="0">
    <w:p w14:paraId="45145514" w14:textId="77777777" w:rsidR="00804124" w:rsidRDefault="00804124" w:rsidP="001E45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30873271"/>
      <w:docPartObj>
        <w:docPartGallery w:val="Page Numbers (Bottom of Page)"/>
        <w:docPartUnique/>
      </w:docPartObj>
    </w:sdtPr>
    <w:sdtContent>
      <w:p w14:paraId="5284B95B" w14:textId="315816D0" w:rsidR="00DB5ED3" w:rsidRDefault="00DB5ED3" w:rsidP="00DB5E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FB7358" w14:textId="77777777" w:rsidR="00DB5ED3" w:rsidRDefault="00DB5ED3" w:rsidP="001E456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240635415"/>
      <w:docPartObj>
        <w:docPartGallery w:val="Page Numbers (Bottom of Page)"/>
        <w:docPartUnique/>
      </w:docPartObj>
    </w:sdtPr>
    <w:sdtContent>
      <w:p w14:paraId="73887494" w14:textId="7F33DA5B" w:rsidR="00DB5ED3" w:rsidRDefault="00DB5ED3" w:rsidP="00DB5E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CD4979" w14:textId="77777777" w:rsidR="00DB5ED3" w:rsidRDefault="00DB5ED3" w:rsidP="001E456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0B4A2" w14:textId="77777777" w:rsidR="00804124" w:rsidRDefault="00804124" w:rsidP="001E456A">
      <w:r>
        <w:separator/>
      </w:r>
    </w:p>
  </w:footnote>
  <w:footnote w:type="continuationSeparator" w:id="0">
    <w:p w14:paraId="526867E8" w14:textId="77777777" w:rsidR="00804124" w:rsidRDefault="00804124" w:rsidP="001E45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44B72"/>
    <w:multiLevelType w:val="hybridMultilevel"/>
    <w:tmpl w:val="1CA43354"/>
    <w:lvl w:ilvl="0" w:tplc="9D924FB8">
      <w:start w:val="1"/>
      <w:numFmt w:val="decimal"/>
      <w:lvlText w:val="%1."/>
      <w:lvlJc w:val="left"/>
      <w:pPr>
        <w:tabs>
          <w:tab w:val="num" w:pos="720"/>
        </w:tabs>
        <w:ind w:left="720" w:hanging="360"/>
      </w:pPr>
    </w:lvl>
    <w:lvl w:ilvl="1" w:tplc="9A5067C4">
      <w:start w:val="1"/>
      <w:numFmt w:val="decimal"/>
      <w:lvlText w:val="%2."/>
      <w:lvlJc w:val="left"/>
      <w:pPr>
        <w:tabs>
          <w:tab w:val="num" w:pos="1440"/>
        </w:tabs>
        <w:ind w:left="1440" w:hanging="360"/>
      </w:pPr>
    </w:lvl>
    <w:lvl w:ilvl="2" w:tplc="5088DD0C">
      <w:start w:val="1"/>
      <w:numFmt w:val="decimal"/>
      <w:lvlText w:val="%3."/>
      <w:lvlJc w:val="left"/>
      <w:pPr>
        <w:tabs>
          <w:tab w:val="num" w:pos="2160"/>
        </w:tabs>
        <w:ind w:left="2160" w:hanging="360"/>
      </w:pPr>
    </w:lvl>
    <w:lvl w:ilvl="3" w:tplc="D49603C8" w:tentative="1">
      <w:start w:val="1"/>
      <w:numFmt w:val="decimal"/>
      <w:lvlText w:val="%4."/>
      <w:lvlJc w:val="left"/>
      <w:pPr>
        <w:tabs>
          <w:tab w:val="num" w:pos="2880"/>
        </w:tabs>
        <w:ind w:left="2880" w:hanging="360"/>
      </w:pPr>
    </w:lvl>
    <w:lvl w:ilvl="4" w:tplc="6EEEFCC4" w:tentative="1">
      <w:start w:val="1"/>
      <w:numFmt w:val="decimal"/>
      <w:lvlText w:val="%5."/>
      <w:lvlJc w:val="left"/>
      <w:pPr>
        <w:tabs>
          <w:tab w:val="num" w:pos="3600"/>
        </w:tabs>
        <w:ind w:left="3600" w:hanging="360"/>
      </w:pPr>
    </w:lvl>
    <w:lvl w:ilvl="5" w:tplc="B1C20F40" w:tentative="1">
      <w:start w:val="1"/>
      <w:numFmt w:val="decimal"/>
      <w:lvlText w:val="%6."/>
      <w:lvlJc w:val="left"/>
      <w:pPr>
        <w:tabs>
          <w:tab w:val="num" w:pos="4320"/>
        </w:tabs>
        <w:ind w:left="4320" w:hanging="360"/>
      </w:pPr>
    </w:lvl>
    <w:lvl w:ilvl="6" w:tplc="77CAED4E" w:tentative="1">
      <w:start w:val="1"/>
      <w:numFmt w:val="decimal"/>
      <w:lvlText w:val="%7."/>
      <w:lvlJc w:val="left"/>
      <w:pPr>
        <w:tabs>
          <w:tab w:val="num" w:pos="5040"/>
        </w:tabs>
        <w:ind w:left="5040" w:hanging="360"/>
      </w:pPr>
    </w:lvl>
    <w:lvl w:ilvl="7" w:tplc="6660DF98" w:tentative="1">
      <w:start w:val="1"/>
      <w:numFmt w:val="decimal"/>
      <w:lvlText w:val="%8."/>
      <w:lvlJc w:val="left"/>
      <w:pPr>
        <w:tabs>
          <w:tab w:val="num" w:pos="5760"/>
        </w:tabs>
        <w:ind w:left="5760" w:hanging="360"/>
      </w:pPr>
    </w:lvl>
    <w:lvl w:ilvl="8" w:tplc="4D06699C" w:tentative="1">
      <w:start w:val="1"/>
      <w:numFmt w:val="decimal"/>
      <w:lvlText w:val="%9."/>
      <w:lvlJc w:val="left"/>
      <w:pPr>
        <w:tabs>
          <w:tab w:val="num" w:pos="6480"/>
        </w:tabs>
        <w:ind w:left="6480" w:hanging="360"/>
      </w:pPr>
    </w:lvl>
  </w:abstractNum>
  <w:abstractNum w:abstractNumId="1" w15:restartNumberingAfterBreak="0">
    <w:nsid w:val="1AD17F65"/>
    <w:multiLevelType w:val="hybridMultilevel"/>
    <w:tmpl w:val="536269D0"/>
    <w:lvl w:ilvl="0" w:tplc="AC4A38F4">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E252889"/>
    <w:multiLevelType w:val="hybridMultilevel"/>
    <w:tmpl w:val="E244024A"/>
    <w:lvl w:ilvl="0" w:tplc="7F8E095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CD5319"/>
    <w:multiLevelType w:val="hybridMultilevel"/>
    <w:tmpl w:val="BA086F8A"/>
    <w:lvl w:ilvl="0" w:tplc="6BBA614A">
      <w:start w:val="5"/>
      <w:numFmt w:val="bullet"/>
      <w:lvlText w:val=""/>
      <w:lvlJc w:val="left"/>
      <w:pPr>
        <w:ind w:left="720" w:hanging="360"/>
      </w:pPr>
      <w:rPr>
        <w:rFonts w:ascii="Symbol" w:eastAsia="Times New Roman" w:hAnsi="Symbol" w:cs="Helvetica"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9919C3"/>
    <w:multiLevelType w:val="hybridMultilevel"/>
    <w:tmpl w:val="17EC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C415A3"/>
    <w:multiLevelType w:val="hybridMultilevel"/>
    <w:tmpl w:val="9D8EC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FA1DDD"/>
    <w:multiLevelType w:val="hybridMultilevel"/>
    <w:tmpl w:val="A66CF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D63F4A"/>
    <w:multiLevelType w:val="hybridMultilevel"/>
    <w:tmpl w:val="691A7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76AD4"/>
    <w:multiLevelType w:val="hybridMultilevel"/>
    <w:tmpl w:val="1C543F64"/>
    <w:lvl w:ilvl="0" w:tplc="2F4AAE30">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5A458C"/>
    <w:multiLevelType w:val="hybridMultilevel"/>
    <w:tmpl w:val="942CE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7F5BEB"/>
    <w:multiLevelType w:val="hybridMultilevel"/>
    <w:tmpl w:val="1CA43354"/>
    <w:lvl w:ilvl="0" w:tplc="9D924FB8">
      <w:start w:val="1"/>
      <w:numFmt w:val="decimal"/>
      <w:lvlText w:val="%1."/>
      <w:lvlJc w:val="left"/>
      <w:pPr>
        <w:tabs>
          <w:tab w:val="num" w:pos="720"/>
        </w:tabs>
        <w:ind w:left="720" w:hanging="360"/>
      </w:pPr>
    </w:lvl>
    <w:lvl w:ilvl="1" w:tplc="9A5067C4">
      <w:start w:val="1"/>
      <w:numFmt w:val="decimal"/>
      <w:lvlText w:val="%2."/>
      <w:lvlJc w:val="left"/>
      <w:pPr>
        <w:tabs>
          <w:tab w:val="num" w:pos="1440"/>
        </w:tabs>
        <w:ind w:left="1440" w:hanging="360"/>
      </w:pPr>
    </w:lvl>
    <w:lvl w:ilvl="2" w:tplc="5088DD0C">
      <w:start w:val="1"/>
      <w:numFmt w:val="decimal"/>
      <w:lvlText w:val="%3."/>
      <w:lvlJc w:val="left"/>
      <w:pPr>
        <w:tabs>
          <w:tab w:val="num" w:pos="2160"/>
        </w:tabs>
        <w:ind w:left="2160" w:hanging="360"/>
      </w:pPr>
    </w:lvl>
    <w:lvl w:ilvl="3" w:tplc="D49603C8" w:tentative="1">
      <w:start w:val="1"/>
      <w:numFmt w:val="decimal"/>
      <w:lvlText w:val="%4."/>
      <w:lvlJc w:val="left"/>
      <w:pPr>
        <w:tabs>
          <w:tab w:val="num" w:pos="2880"/>
        </w:tabs>
        <w:ind w:left="2880" w:hanging="360"/>
      </w:pPr>
    </w:lvl>
    <w:lvl w:ilvl="4" w:tplc="6EEEFCC4" w:tentative="1">
      <w:start w:val="1"/>
      <w:numFmt w:val="decimal"/>
      <w:lvlText w:val="%5."/>
      <w:lvlJc w:val="left"/>
      <w:pPr>
        <w:tabs>
          <w:tab w:val="num" w:pos="3600"/>
        </w:tabs>
        <w:ind w:left="3600" w:hanging="360"/>
      </w:pPr>
    </w:lvl>
    <w:lvl w:ilvl="5" w:tplc="B1C20F40" w:tentative="1">
      <w:start w:val="1"/>
      <w:numFmt w:val="decimal"/>
      <w:lvlText w:val="%6."/>
      <w:lvlJc w:val="left"/>
      <w:pPr>
        <w:tabs>
          <w:tab w:val="num" w:pos="4320"/>
        </w:tabs>
        <w:ind w:left="4320" w:hanging="360"/>
      </w:pPr>
    </w:lvl>
    <w:lvl w:ilvl="6" w:tplc="77CAED4E" w:tentative="1">
      <w:start w:val="1"/>
      <w:numFmt w:val="decimal"/>
      <w:lvlText w:val="%7."/>
      <w:lvlJc w:val="left"/>
      <w:pPr>
        <w:tabs>
          <w:tab w:val="num" w:pos="5040"/>
        </w:tabs>
        <w:ind w:left="5040" w:hanging="360"/>
      </w:pPr>
    </w:lvl>
    <w:lvl w:ilvl="7" w:tplc="6660DF98" w:tentative="1">
      <w:start w:val="1"/>
      <w:numFmt w:val="decimal"/>
      <w:lvlText w:val="%8."/>
      <w:lvlJc w:val="left"/>
      <w:pPr>
        <w:tabs>
          <w:tab w:val="num" w:pos="5760"/>
        </w:tabs>
        <w:ind w:left="5760" w:hanging="360"/>
      </w:pPr>
    </w:lvl>
    <w:lvl w:ilvl="8" w:tplc="4D06699C" w:tentative="1">
      <w:start w:val="1"/>
      <w:numFmt w:val="decimal"/>
      <w:lvlText w:val="%9."/>
      <w:lvlJc w:val="left"/>
      <w:pPr>
        <w:tabs>
          <w:tab w:val="num" w:pos="6480"/>
        </w:tabs>
        <w:ind w:left="6480" w:hanging="360"/>
      </w:pPr>
    </w:lvl>
  </w:abstractNum>
  <w:abstractNum w:abstractNumId="11" w15:restartNumberingAfterBreak="0">
    <w:nsid w:val="74A07435"/>
    <w:multiLevelType w:val="hybridMultilevel"/>
    <w:tmpl w:val="F2F43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A143AD"/>
    <w:multiLevelType w:val="hybridMultilevel"/>
    <w:tmpl w:val="6E0E9B56"/>
    <w:lvl w:ilvl="0" w:tplc="7C5E973C">
      <w:start w:val="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FBF09E8"/>
    <w:multiLevelType w:val="hybridMultilevel"/>
    <w:tmpl w:val="8A543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3"/>
  </w:num>
  <w:num w:numId="4">
    <w:abstractNumId w:val="9"/>
  </w:num>
  <w:num w:numId="5">
    <w:abstractNumId w:val="5"/>
  </w:num>
  <w:num w:numId="6">
    <w:abstractNumId w:val="0"/>
  </w:num>
  <w:num w:numId="7">
    <w:abstractNumId w:val="3"/>
  </w:num>
  <w:num w:numId="8">
    <w:abstractNumId w:val="12"/>
  </w:num>
  <w:num w:numId="9">
    <w:abstractNumId w:val="1"/>
  </w:num>
  <w:num w:numId="10">
    <w:abstractNumId w:val="8"/>
  </w:num>
  <w:num w:numId="11">
    <w:abstractNumId w:val="10"/>
  </w:num>
  <w:num w:numId="12">
    <w:abstractNumId w:val="7"/>
  </w:num>
  <w:num w:numId="13">
    <w:abstractNumId w:val="1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469"/>
    <w:rsid w:val="00001827"/>
    <w:rsid w:val="00020DEF"/>
    <w:rsid w:val="000430AA"/>
    <w:rsid w:val="0007227B"/>
    <w:rsid w:val="00073727"/>
    <w:rsid w:val="00073B4C"/>
    <w:rsid w:val="000B5A95"/>
    <w:rsid w:val="000C2469"/>
    <w:rsid w:val="000C3424"/>
    <w:rsid w:val="000D2D86"/>
    <w:rsid w:val="00113D05"/>
    <w:rsid w:val="00115CEE"/>
    <w:rsid w:val="00167908"/>
    <w:rsid w:val="001714AF"/>
    <w:rsid w:val="0017722C"/>
    <w:rsid w:val="00185A9A"/>
    <w:rsid w:val="001C68E0"/>
    <w:rsid w:val="001D28D2"/>
    <w:rsid w:val="001E456A"/>
    <w:rsid w:val="001F04BE"/>
    <w:rsid w:val="002215A5"/>
    <w:rsid w:val="00223EDF"/>
    <w:rsid w:val="00231A35"/>
    <w:rsid w:val="0024086A"/>
    <w:rsid w:val="00241E41"/>
    <w:rsid w:val="00251853"/>
    <w:rsid w:val="002B0AB2"/>
    <w:rsid w:val="002E5DFB"/>
    <w:rsid w:val="00340E11"/>
    <w:rsid w:val="003A0507"/>
    <w:rsid w:val="00417D7B"/>
    <w:rsid w:val="0042421F"/>
    <w:rsid w:val="00455819"/>
    <w:rsid w:val="004E78BC"/>
    <w:rsid w:val="004F5484"/>
    <w:rsid w:val="004F6057"/>
    <w:rsid w:val="004F6849"/>
    <w:rsid w:val="005304A7"/>
    <w:rsid w:val="0054464F"/>
    <w:rsid w:val="005836BF"/>
    <w:rsid w:val="00584166"/>
    <w:rsid w:val="00596C75"/>
    <w:rsid w:val="005A0CE8"/>
    <w:rsid w:val="005B2D24"/>
    <w:rsid w:val="005C1B7D"/>
    <w:rsid w:val="005C4674"/>
    <w:rsid w:val="005D6942"/>
    <w:rsid w:val="005E1229"/>
    <w:rsid w:val="005F3DAE"/>
    <w:rsid w:val="006436CC"/>
    <w:rsid w:val="00660E67"/>
    <w:rsid w:val="006C1C91"/>
    <w:rsid w:val="006D44D3"/>
    <w:rsid w:val="006F25EA"/>
    <w:rsid w:val="00716E1F"/>
    <w:rsid w:val="00730273"/>
    <w:rsid w:val="00761036"/>
    <w:rsid w:val="007A10A6"/>
    <w:rsid w:val="007A7490"/>
    <w:rsid w:val="007E1686"/>
    <w:rsid w:val="00800048"/>
    <w:rsid w:val="00804124"/>
    <w:rsid w:val="008110E1"/>
    <w:rsid w:val="00820322"/>
    <w:rsid w:val="00822AF5"/>
    <w:rsid w:val="00833CE8"/>
    <w:rsid w:val="008501DA"/>
    <w:rsid w:val="008925E8"/>
    <w:rsid w:val="0089269D"/>
    <w:rsid w:val="008B3A1A"/>
    <w:rsid w:val="008D43E2"/>
    <w:rsid w:val="00910AC6"/>
    <w:rsid w:val="0092366D"/>
    <w:rsid w:val="0094030F"/>
    <w:rsid w:val="00942519"/>
    <w:rsid w:val="00942ED4"/>
    <w:rsid w:val="009B237F"/>
    <w:rsid w:val="009B2E2A"/>
    <w:rsid w:val="009C7364"/>
    <w:rsid w:val="009C7702"/>
    <w:rsid w:val="00A21738"/>
    <w:rsid w:val="00A24B17"/>
    <w:rsid w:val="00A315B4"/>
    <w:rsid w:val="00A34CCC"/>
    <w:rsid w:val="00A504E2"/>
    <w:rsid w:val="00A55C51"/>
    <w:rsid w:val="00A60A7E"/>
    <w:rsid w:val="00A74EAF"/>
    <w:rsid w:val="00A873D5"/>
    <w:rsid w:val="00AE1201"/>
    <w:rsid w:val="00B31AED"/>
    <w:rsid w:val="00BA3009"/>
    <w:rsid w:val="00BB703B"/>
    <w:rsid w:val="00BC28B3"/>
    <w:rsid w:val="00C03A15"/>
    <w:rsid w:val="00C2048C"/>
    <w:rsid w:val="00C32691"/>
    <w:rsid w:val="00C4514B"/>
    <w:rsid w:val="00C724F4"/>
    <w:rsid w:val="00C741A8"/>
    <w:rsid w:val="00C80EF7"/>
    <w:rsid w:val="00C936C1"/>
    <w:rsid w:val="00CA2B6A"/>
    <w:rsid w:val="00D303D4"/>
    <w:rsid w:val="00D34B4A"/>
    <w:rsid w:val="00D51D74"/>
    <w:rsid w:val="00D80D22"/>
    <w:rsid w:val="00D87F00"/>
    <w:rsid w:val="00D971F5"/>
    <w:rsid w:val="00DB4DA1"/>
    <w:rsid w:val="00DB5ED3"/>
    <w:rsid w:val="00DC26FE"/>
    <w:rsid w:val="00DD3EB6"/>
    <w:rsid w:val="00DF41F9"/>
    <w:rsid w:val="00DF55A9"/>
    <w:rsid w:val="00E04BA6"/>
    <w:rsid w:val="00E248D9"/>
    <w:rsid w:val="00E72A1E"/>
    <w:rsid w:val="00EC0C70"/>
    <w:rsid w:val="00EC3414"/>
    <w:rsid w:val="00EE09C0"/>
    <w:rsid w:val="00F236A3"/>
    <w:rsid w:val="00F3727D"/>
    <w:rsid w:val="00F5714C"/>
    <w:rsid w:val="00F854A6"/>
    <w:rsid w:val="00F92875"/>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3EE4"/>
  <w15:docId w15:val="{7D764636-9C81-6F40-BF6B-17D51D8F6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057"/>
    <w:pPr>
      <w:spacing w:after="0" w:line="240" w:lineRule="auto"/>
    </w:pPr>
    <w:rPr>
      <w:rFonts w:ascii="Times New Roman" w:eastAsia="Times New Roman" w:hAnsi="Times New Roman" w:cs="Times New Roman"/>
      <w:lang w:val="en-CH"/>
    </w:rPr>
  </w:style>
  <w:style w:type="paragraph" w:styleId="Heading1">
    <w:name w:val="heading 1"/>
    <w:basedOn w:val="Normal"/>
    <w:next w:val="Normal"/>
    <w:link w:val="Heading1Char"/>
    <w:uiPriority w:val="9"/>
    <w:qFormat/>
    <w:rsid w:val="003D1A8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rsid w:val="00F236A3"/>
    <w:pPr>
      <w:keepNext/>
      <w:keepLines/>
      <w:spacing w:before="360" w:after="80"/>
      <w:outlineLvl w:val="1"/>
    </w:pPr>
    <w:rPr>
      <w:rFonts w:asciiTheme="majorHAnsi" w:hAnsiTheme="majorHAnsi"/>
      <w:b/>
      <w:color w:val="2F5496" w:themeColor="accent1" w:themeShade="BF"/>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4166"/>
    <w:pPr>
      <w:contextualSpacing/>
    </w:pPr>
    <w:rPr>
      <w:rFonts w:asciiTheme="majorHAnsi" w:eastAsiaTheme="majorEastAsia" w:hAnsiTheme="majorHAnsi" w:cstheme="majorBidi"/>
      <w:b/>
      <w:spacing w:val="-10"/>
      <w:kern w:val="28"/>
      <w:sz w:val="32"/>
      <w:szCs w:val="56"/>
    </w:rPr>
  </w:style>
  <w:style w:type="character" w:styleId="Hyperlink">
    <w:name w:val="Hyperlink"/>
    <w:basedOn w:val="DefaultParagraphFont"/>
    <w:uiPriority w:val="99"/>
    <w:unhideWhenUsed/>
    <w:rsid w:val="00627DD9"/>
    <w:rPr>
      <w:color w:val="0563C1" w:themeColor="hyperlink"/>
      <w:u w:val="single"/>
    </w:rPr>
  </w:style>
  <w:style w:type="character" w:styleId="UnresolvedMention">
    <w:name w:val="Unresolved Mention"/>
    <w:basedOn w:val="DefaultParagraphFont"/>
    <w:uiPriority w:val="99"/>
    <w:semiHidden/>
    <w:unhideWhenUsed/>
    <w:rsid w:val="00627DD9"/>
    <w:rPr>
      <w:color w:val="605E5C"/>
      <w:shd w:val="clear" w:color="auto" w:fill="E1DFDD"/>
    </w:rPr>
  </w:style>
  <w:style w:type="character" w:customStyle="1" w:styleId="Heading1Char">
    <w:name w:val="Heading 1 Char"/>
    <w:basedOn w:val="DefaultParagraphFont"/>
    <w:link w:val="Heading1"/>
    <w:uiPriority w:val="9"/>
    <w:rsid w:val="003D1A87"/>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584166"/>
    <w:rPr>
      <w:rFonts w:asciiTheme="majorHAnsi" w:eastAsiaTheme="majorEastAsia" w:hAnsiTheme="majorHAnsi" w:cstheme="majorBidi"/>
      <w:b/>
      <w:spacing w:val="-10"/>
      <w:kern w:val="28"/>
      <w:sz w:val="32"/>
      <w:szCs w:val="56"/>
      <w:lang w:val="en-CH"/>
    </w:rPr>
  </w:style>
  <w:style w:type="character" w:styleId="FollowedHyperlink">
    <w:name w:val="FollowedHyperlink"/>
    <w:basedOn w:val="DefaultParagraphFont"/>
    <w:uiPriority w:val="99"/>
    <w:semiHidden/>
    <w:unhideWhenUsed/>
    <w:rsid w:val="00977C4F"/>
    <w:rPr>
      <w:color w:val="954F72" w:themeColor="followed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5836BF"/>
    <w:pPr>
      <w:spacing w:after="200"/>
      <w:ind w:left="720"/>
      <w:contextualSpacing/>
    </w:pPr>
    <w:rPr>
      <w:rFonts w:eastAsiaTheme="minorHAnsi" w:cstheme="minorBidi"/>
      <w:sz w:val="22"/>
      <w:szCs w:val="22"/>
      <w:lang w:val="en-US"/>
    </w:rPr>
  </w:style>
  <w:style w:type="paragraph" w:styleId="Bibliography">
    <w:name w:val="Bibliography"/>
    <w:basedOn w:val="Normal"/>
    <w:next w:val="Normal"/>
    <w:uiPriority w:val="37"/>
    <w:unhideWhenUsed/>
    <w:rsid w:val="00DD3EB6"/>
    <w:pPr>
      <w:tabs>
        <w:tab w:val="left" w:pos="380"/>
      </w:tabs>
      <w:ind w:left="384" w:hanging="384"/>
    </w:pPr>
  </w:style>
  <w:style w:type="paragraph" w:styleId="NormalWeb">
    <w:name w:val="Normal (Web)"/>
    <w:basedOn w:val="Normal"/>
    <w:uiPriority w:val="99"/>
    <w:unhideWhenUsed/>
    <w:rsid w:val="003A0507"/>
    <w:pPr>
      <w:spacing w:before="100" w:beforeAutospacing="1" w:after="100" w:afterAutospacing="1"/>
    </w:pPr>
  </w:style>
  <w:style w:type="paragraph" w:styleId="TOCHeading">
    <w:name w:val="TOC Heading"/>
    <w:basedOn w:val="Heading1"/>
    <w:next w:val="Normal"/>
    <w:uiPriority w:val="39"/>
    <w:unhideWhenUsed/>
    <w:qFormat/>
    <w:rsid w:val="00F236A3"/>
    <w:pPr>
      <w:spacing w:before="480"/>
      <w:outlineLvl w:val="9"/>
    </w:pPr>
    <w:rPr>
      <w:b/>
      <w:bCs/>
      <w:sz w:val="28"/>
      <w:szCs w:val="28"/>
      <w:lang w:val="en-US"/>
    </w:rPr>
  </w:style>
  <w:style w:type="paragraph" w:styleId="TOC1">
    <w:name w:val="toc 1"/>
    <w:basedOn w:val="Normal"/>
    <w:next w:val="Normal"/>
    <w:autoRedefine/>
    <w:uiPriority w:val="39"/>
    <w:unhideWhenUsed/>
    <w:rsid w:val="00F236A3"/>
    <w:pPr>
      <w:spacing w:before="120"/>
    </w:pPr>
    <w:rPr>
      <w:rFonts w:cstheme="minorHAnsi"/>
      <w:b/>
      <w:bCs/>
      <w:i/>
      <w:iCs/>
    </w:rPr>
  </w:style>
  <w:style w:type="paragraph" w:styleId="TOC2">
    <w:name w:val="toc 2"/>
    <w:basedOn w:val="Normal"/>
    <w:next w:val="Normal"/>
    <w:autoRedefine/>
    <w:uiPriority w:val="39"/>
    <w:unhideWhenUsed/>
    <w:rsid w:val="00F236A3"/>
    <w:pPr>
      <w:spacing w:before="120"/>
      <w:ind w:left="240"/>
    </w:pPr>
    <w:rPr>
      <w:rFonts w:cstheme="minorHAnsi"/>
      <w:b/>
      <w:bCs/>
      <w:sz w:val="22"/>
      <w:szCs w:val="22"/>
    </w:rPr>
  </w:style>
  <w:style w:type="paragraph" w:styleId="TOC3">
    <w:name w:val="toc 3"/>
    <w:basedOn w:val="Normal"/>
    <w:next w:val="Normal"/>
    <w:autoRedefine/>
    <w:uiPriority w:val="39"/>
    <w:unhideWhenUsed/>
    <w:rsid w:val="00F236A3"/>
    <w:pPr>
      <w:ind w:left="480"/>
    </w:pPr>
    <w:rPr>
      <w:rFonts w:cstheme="minorHAnsi"/>
      <w:sz w:val="20"/>
      <w:szCs w:val="20"/>
    </w:rPr>
  </w:style>
  <w:style w:type="paragraph" w:styleId="TOC4">
    <w:name w:val="toc 4"/>
    <w:basedOn w:val="Normal"/>
    <w:next w:val="Normal"/>
    <w:autoRedefine/>
    <w:uiPriority w:val="39"/>
    <w:semiHidden/>
    <w:unhideWhenUsed/>
    <w:rsid w:val="00F236A3"/>
    <w:pPr>
      <w:ind w:left="720"/>
    </w:pPr>
    <w:rPr>
      <w:rFonts w:cstheme="minorHAnsi"/>
      <w:sz w:val="20"/>
      <w:szCs w:val="20"/>
    </w:rPr>
  </w:style>
  <w:style w:type="paragraph" w:styleId="TOC5">
    <w:name w:val="toc 5"/>
    <w:basedOn w:val="Normal"/>
    <w:next w:val="Normal"/>
    <w:autoRedefine/>
    <w:uiPriority w:val="39"/>
    <w:semiHidden/>
    <w:unhideWhenUsed/>
    <w:rsid w:val="00F236A3"/>
    <w:pPr>
      <w:ind w:left="960"/>
    </w:pPr>
    <w:rPr>
      <w:rFonts w:cstheme="minorHAnsi"/>
      <w:sz w:val="20"/>
      <w:szCs w:val="20"/>
    </w:rPr>
  </w:style>
  <w:style w:type="paragraph" w:styleId="TOC6">
    <w:name w:val="toc 6"/>
    <w:basedOn w:val="Normal"/>
    <w:next w:val="Normal"/>
    <w:autoRedefine/>
    <w:uiPriority w:val="39"/>
    <w:semiHidden/>
    <w:unhideWhenUsed/>
    <w:rsid w:val="00F236A3"/>
    <w:pPr>
      <w:ind w:left="1200"/>
    </w:pPr>
    <w:rPr>
      <w:rFonts w:cstheme="minorHAnsi"/>
      <w:sz w:val="20"/>
      <w:szCs w:val="20"/>
    </w:rPr>
  </w:style>
  <w:style w:type="paragraph" w:styleId="TOC7">
    <w:name w:val="toc 7"/>
    <w:basedOn w:val="Normal"/>
    <w:next w:val="Normal"/>
    <w:autoRedefine/>
    <w:uiPriority w:val="39"/>
    <w:semiHidden/>
    <w:unhideWhenUsed/>
    <w:rsid w:val="00F236A3"/>
    <w:pPr>
      <w:ind w:left="1440"/>
    </w:pPr>
    <w:rPr>
      <w:rFonts w:cstheme="minorHAnsi"/>
      <w:sz w:val="20"/>
      <w:szCs w:val="20"/>
    </w:rPr>
  </w:style>
  <w:style w:type="paragraph" w:styleId="TOC8">
    <w:name w:val="toc 8"/>
    <w:basedOn w:val="Normal"/>
    <w:next w:val="Normal"/>
    <w:autoRedefine/>
    <w:uiPriority w:val="39"/>
    <w:semiHidden/>
    <w:unhideWhenUsed/>
    <w:rsid w:val="00F236A3"/>
    <w:pPr>
      <w:ind w:left="1680"/>
    </w:pPr>
    <w:rPr>
      <w:rFonts w:cstheme="minorHAnsi"/>
      <w:sz w:val="20"/>
      <w:szCs w:val="20"/>
    </w:rPr>
  </w:style>
  <w:style w:type="paragraph" w:styleId="TOC9">
    <w:name w:val="toc 9"/>
    <w:basedOn w:val="Normal"/>
    <w:next w:val="Normal"/>
    <w:autoRedefine/>
    <w:uiPriority w:val="39"/>
    <w:semiHidden/>
    <w:unhideWhenUsed/>
    <w:rsid w:val="00F236A3"/>
    <w:pPr>
      <w:ind w:left="1920"/>
    </w:pPr>
    <w:rPr>
      <w:rFonts w:cstheme="minorHAnsi"/>
      <w:sz w:val="20"/>
      <w:szCs w:val="20"/>
    </w:rPr>
  </w:style>
  <w:style w:type="paragraph" w:styleId="Footer">
    <w:name w:val="footer"/>
    <w:basedOn w:val="Normal"/>
    <w:link w:val="FooterChar"/>
    <w:uiPriority w:val="99"/>
    <w:unhideWhenUsed/>
    <w:rsid w:val="001E456A"/>
    <w:pPr>
      <w:tabs>
        <w:tab w:val="center" w:pos="4513"/>
        <w:tab w:val="right" w:pos="9026"/>
      </w:tabs>
    </w:pPr>
  </w:style>
  <w:style w:type="character" w:customStyle="1" w:styleId="FooterChar">
    <w:name w:val="Footer Char"/>
    <w:basedOn w:val="DefaultParagraphFont"/>
    <w:link w:val="Footer"/>
    <w:uiPriority w:val="99"/>
    <w:rsid w:val="001E456A"/>
    <w:rPr>
      <w:rFonts w:asciiTheme="minorHAnsi" w:eastAsia="Times New Roman" w:hAnsiTheme="minorHAnsi" w:cs="Times New Roman"/>
      <w:lang w:val="en-CH"/>
    </w:rPr>
  </w:style>
  <w:style w:type="character" w:styleId="PageNumber">
    <w:name w:val="page number"/>
    <w:basedOn w:val="DefaultParagraphFont"/>
    <w:uiPriority w:val="99"/>
    <w:semiHidden/>
    <w:unhideWhenUsed/>
    <w:rsid w:val="001E456A"/>
  </w:style>
  <w:style w:type="table" w:styleId="TableGrid">
    <w:name w:val="Table Grid"/>
    <w:basedOn w:val="TableNormal"/>
    <w:uiPriority w:val="39"/>
    <w:rsid w:val="00C936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42519"/>
    <w:pPr>
      <w:spacing w:after="200"/>
    </w:pPr>
    <w:rPr>
      <w:i/>
      <w:iCs/>
      <w:color w:val="44546A" w:themeColor="text2"/>
      <w:sz w:val="18"/>
      <w:szCs w:val="18"/>
    </w:rPr>
  </w:style>
  <w:style w:type="paragraph" w:styleId="TableofFigures">
    <w:name w:val="table of figures"/>
    <w:basedOn w:val="Normal"/>
    <w:next w:val="Normal"/>
    <w:uiPriority w:val="99"/>
    <w:unhideWhenUsed/>
    <w:rsid w:val="005B2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611682">
      <w:bodyDiv w:val="1"/>
      <w:marLeft w:val="0"/>
      <w:marRight w:val="0"/>
      <w:marTop w:val="0"/>
      <w:marBottom w:val="0"/>
      <w:divBdr>
        <w:top w:val="none" w:sz="0" w:space="0" w:color="auto"/>
        <w:left w:val="none" w:sz="0" w:space="0" w:color="auto"/>
        <w:bottom w:val="none" w:sz="0" w:space="0" w:color="auto"/>
        <w:right w:val="none" w:sz="0" w:space="0" w:color="auto"/>
      </w:divBdr>
    </w:div>
    <w:div w:id="100073898">
      <w:bodyDiv w:val="1"/>
      <w:marLeft w:val="0"/>
      <w:marRight w:val="0"/>
      <w:marTop w:val="0"/>
      <w:marBottom w:val="0"/>
      <w:divBdr>
        <w:top w:val="none" w:sz="0" w:space="0" w:color="auto"/>
        <w:left w:val="none" w:sz="0" w:space="0" w:color="auto"/>
        <w:bottom w:val="none" w:sz="0" w:space="0" w:color="auto"/>
        <w:right w:val="none" w:sz="0" w:space="0" w:color="auto"/>
      </w:divBdr>
    </w:div>
    <w:div w:id="143551844">
      <w:bodyDiv w:val="1"/>
      <w:marLeft w:val="0"/>
      <w:marRight w:val="0"/>
      <w:marTop w:val="0"/>
      <w:marBottom w:val="0"/>
      <w:divBdr>
        <w:top w:val="none" w:sz="0" w:space="0" w:color="auto"/>
        <w:left w:val="none" w:sz="0" w:space="0" w:color="auto"/>
        <w:bottom w:val="none" w:sz="0" w:space="0" w:color="auto"/>
        <w:right w:val="none" w:sz="0" w:space="0" w:color="auto"/>
      </w:divBdr>
    </w:div>
    <w:div w:id="276721135">
      <w:bodyDiv w:val="1"/>
      <w:marLeft w:val="0"/>
      <w:marRight w:val="0"/>
      <w:marTop w:val="0"/>
      <w:marBottom w:val="0"/>
      <w:divBdr>
        <w:top w:val="none" w:sz="0" w:space="0" w:color="auto"/>
        <w:left w:val="none" w:sz="0" w:space="0" w:color="auto"/>
        <w:bottom w:val="none" w:sz="0" w:space="0" w:color="auto"/>
        <w:right w:val="none" w:sz="0" w:space="0" w:color="auto"/>
      </w:divBdr>
    </w:div>
    <w:div w:id="305479592">
      <w:bodyDiv w:val="1"/>
      <w:marLeft w:val="0"/>
      <w:marRight w:val="0"/>
      <w:marTop w:val="0"/>
      <w:marBottom w:val="0"/>
      <w:divBdr>
        <w:top w:val="none" w:sz="0" w:space="0" w:color="auto"/>
        <w:left w:val="none" w:sz="0" w:space="0" w:color="auto"/>
        <w:bottom w:val="none" w:sz="0" w:space="0" w:color="auto"/>
        <w:right w:val="none" w:sz="0" w:space="0" w:color="auto"/>
      </w:divBdr>
    </w:div>
    <w:div w:id="380256159">
      <w:bodyDiv w:val="1"/>
      <w:marLeft w:val="0"/>
      <w:marRight w:val="0"/>
      <w:marTop w:val="0"/>
      <w:marBottom w:val="0"/>
      <w:divBdr>
        <w:top w:val="none" w:sz="0" w:space="0" w:color="auto"/>
        <w:left w:val="none" w:sz="0" w:space="0" w:color="auto"/>
        <w:bottom w:val="none" w:sz="0" w:space="0" w:color="auto"/>
        <w:right w:val="none" w:sz="0" w:space="0" w:color="auto"/>
      </w:divBdr>
    </w:div>
    <w:div w:id="432827002">
      <w:bodyDiv w:val="1"/>
      <w:marLeft w:val="0"/>
      <w:marRight w:val="0"/>
      <w:marTop w:val="0"/>
      <w:marBottom w:val="0"/>
      <w:divBdr>
        <w:top w:val="none" w:sz="0" w:space="0" w:color="auto"/>
        <w:left w:val="none" w:sz="0" w:space="0" w:color="auto"/>
        <w:bottom w:val="none" w:sz="0" w:space="0" w:color="auto"/>
        <w:right w:val="none" w:sz="0" w:space="0" w:color="auto"/>
      </w:divBdr>
      <w:divsChild>
        <w:div w:id="1145776825">
          <w:marLeft w:val="0"/>
          <w:marRight w:val="0"/>
          <w:marTop w:val="0"/>
          <w:marBottom w:val="0"/>
          <w:divBdr>
            <w:top w:val="none" w:sz="0" w:space="0" w:color="auto"/>
            <w:left w:val="none" w:sz="0" w:space="0" w:color="auto"/>
            <w:bottom w:val="none" w:sz="0" w:space="0" w:color="auto"/>
            <w:right w:val="none" w:sz="0" w:space="0" w:color="auto"/>
          </w:divBdr>
          <w:divsChild>
            <w:div w:id="1374571607">
              <w:marLeft w:val="0"/>
              <w:marRight w:val="0"/>
              <w:marTop w:val="0"/>
              <w:marBottom w:val="0"/>
              <w:divBdr>
                <w:top w:val="none" w:sz="0" w:space="0" w:color="auto"/>
                <w:left w:val="none" w:sz="0" w:space="0" w:color="auto"/>
                <w:bottom w:val="none" w:sz="0" w:space="0" w:color="auto"/>
                <w:right w:val="none" w:sz="0" w:space="0" w:color="auto"/>
              </w:divBdr>
              <w:divsChild>
                <w:div w:id="100783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881854">
      <w:bodyDiv w:val="1"/>
      <w:marLeft w:val="0"/>
      <w:marRight w:val="0"/>
      <w:marTop w:val="0"/>
      <w:marBottom w:val="0"/>
      <w:divBdr>
        <w:top w:val="none" w:sz="0" w:space="0" w:color="auto"/>
        <w:left w:val="none" w:sz="0" w:space="0" w:color="auto"/>
        <w:bottom w:val="none" w:sz="0" w:space="0" w:color="auto"/>
        <w:right w:val="none" w:sz="0" w:space="0" w:color="auto"/>
      </w:divBdr>
      <w:divsChild>
        <w:div w:id="305398308">
          <w:marLeft w:val="0"/>
          <w:marRight w:val="0"/>
          <w:marTop w:val="0"/>
          <w:marBottom w:val="0"/>
          <w:divBdr>
            <w:top w:val="none" w:sz="0" w:space="0" w:color="auto"/>
            <w:left w:val="none" w:sz="0" w:space="0" w:color="auto"/>
            <w:bottom w:val="none" w:sz="0" w:space="0" w:color="auto"/>
            <w:right w:val="none" w:sz="0" w:space="0" w:color="auto"/>
          </w:divBdr>
          <w:divsChild>
            <w:div w:id="1368261833">
              <w:marLeft w:val="0"/>
              <w:marRight w:val="0"/>
              <w:marTop w:val="0"/>
              <w:marBottom w:val="0"/>
              <w:divBdr>
                <w:top w:val="none" w:sz="0" w:space="0" w:color="auto"/>
                <w:left w:val="none" w:sz="0" w:space="0" w:color="auto"/>
                <w:bottom w:val="none" w:sz="0" w:space="0" w:color="auto"/>
                <w:right w:val="none" w:sz="0" w:space="0" w:color="auto"/>
              </w:divBdr>
              <w:divsChild>
                <w:div w:id="8666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4554">
      <w:bodyDiv w:val="1"/>
      <w:marLeft w:val="0"/>
      <w:marRight w:val="0"/>
      <w:marTop w:val="0"/>
      <w:marBottom w:val="0"/>
      <w:divBdr>
        <w:top w:val="none" w:sz="0" w:space="0" w:color="auto"/>
        <w:left w:val="none" w:sz="0" w:space="0" w:color="auto"/>
        <w:bottom w:val="none" w:sz="0" w:space="0" w:color="auto"/>
        <w:right w:val="none" w:sz="0" w:space="0" w:color="auto"/>
      </w:divBdr>
    </w:div>
    <w:div w:id="522868536">
      <w:bodyDiv w:val="1"/>
      <w:marLeft w:val="0"/>
      <w:marRight w:val="0"/>
      <w:marTop w:val="0"/>
      <w:marBottom w:val="0"/>
      <w:divBdr>
        <w:top w:val="none" w:sz="0" w:space="0" w:color="auto"/>
        <w:left w:val="none" w:sz="0" w:space="0" w:color="auto"/>
        <w:bottom w:val="none" w:sz="0" w:space="0" w:color="auto"/>
        <w:right w:val="none" w:sz="0" w:space="0" w:color="auto"/>
      </w:divBdr>
    </w:div>
    <w:div w:id="581990027">
      <w:bodyDiv w:val="1"/>
      <w:marLeft w:val="0"/>
      <w:marRight w:val="0"/>
      <w:marTop w:val="0"/>
      <w:marBottom w:val="0"/>
      <w:divBdr>
        <w:top w:val="none" w:sz="0" w:space="0" w:color="auto"/>
        <w:left w:val="none" w:sz="0" w:space="0" w:color="auto"/>
        <w:bottom w:val="none" w:sz="0" w:space="0" w:color="auto"/>
        <w:right w:val="none" w:sz="0" w:space="0" w:color="auto"/>
      </w:divBdr>
    </w:div>
    <w:div w:id="597952774">
      <w:bodyDiv w:val="1"/>
      <w:marLeft w:val="0"/>
      <w:marRight w:val="0"/>
      <w:marTop w:val="0"/>
      <w:marBottom w:val="0"/>
      <w:divBdr>
        <w:top w:val="none" w:sz="0" w:space="0" w:color="auto"/>
        <w:left w:val="none" w:sz="0" w:space="0" w:color="auto"/>
        <w:bottom w:val="none" w:sz="0" w:space="0" w:color="auto"/>
        <w:right w:val="none" w:sz="0" w:space="0" w:color="auto"/>
      </w:divBdr>
    </w:div>
    <w:div w:id="603880826">
      <w:bodyDiv w:val="1"/>
      <w:marLeft w:val="0"/>
      <w:marRight w:val="0"/>
      <w:marTop w:val="0"/>
      <w:marBottom w:val="0"/>
      <w:divBdr>
        <w:top w:val="none" w:sz="0" w:space="0" w:color="auto"/>
        <w:left w:val="none" w:sz="0" w:space="0" w:color="auto"/>
        <w:bottom w:val="none" w:sz="0" w:space="0" w:color="auto"/>
        <w:right w:val="none" w:sz="0" w:space="0" w:color="auto"/>
      </w:divBdr>
    </w:div>
    <w:div w:id="635186190">
      <w:bodyDiv w:val="1"/>
      <w:marLeft w:val="0"/>
      <w:marRight w:val="0"/>
      <w:marTop w:val="0"/>
      <w:marBottom w:val="0"/>
      <w:divBdr>
        <w:top w:val="none" w:sz="0" w:space="0" w:color="auto"/>
        <w:left w:val="none" w:sz="0" w:space="0" w:color="auto"/>
        <w:bottom w:val="none" w:sz="0" w:space="0" w:color="auto"/>
        <w:right w:val="none" w:sz="0" w:space="0" w:color="auto"/>
      </w:divBdr>
    </w:div>
    <w:div w:id="636228012">
      <w:bodyDiv w:val="1"/>
      <w:marLeft w:val="0"/>
      <w:marRight w:val="0"/>
      <w:marTop w:val="0"/>
      <w:marBottom w:val="0"/>
      <w:divBdr>
        <w:top w:val="none" w:sz="0" w:space="0" w:color="auto"/>
        <w:left w:val="none" w:sz="0" w:space="0" w:color="auto"/>
        <w:bottom w:val="none" w:sz="0" w:space="0" w:color="auto"/>
        <w:right w:val="none" w:sz="0" w:space="0" w:color="auto"/>
      </w:divBdr>
    </w:div>
    <w:div w:id="658584872">
      <w:bodyDiv w:val="1"/>
      <w:marLeft w:val="0"/>
      <w:marRight w:val="0"/>
      <w:marTop w:val="0"/>
      <w:marBottom w:val="0"/>
      <w:divBdr>
        <w:top w:val="none" w:sz="0" w:space="0" w:color="auto"/>
        <w:left w:val="none" w:sz="0" w:space="0" w:color="auto"/>
        <w:bottom w:val="none" w:sz="0" w:space="0" w:color="auto"/>
        <w:right w:val="none" w:sz="0" w:space="0" w:color="auto"/>
      </w:divBdr>
    </w:div>
    <w:div w:id="711930018">
      <w:bodyDiv w:val="1"/>
      <w:marLeft w:val="0"/>
      <w:marRight w:val="0"/>
      <w:marTop w:val="0"/>
      <w:marBottom w:val="0"/>
      <w:divBdr>
        <w:top w:val="none" w:sz="0" w:space="0" w:color="auto"/>
        <w:left w:val="none" w:sz="0" w:space="0" w:color="auto"/>
        <w:bottom w:val="none" w:sz="0" w:space="0" w:color="auto"/>
        <w:right w:val="none" w:sz="0" w:space="0" w:color="auto"/>
      </w:divBdr>
      <w:divsChild>
        <w:div w:id="601575904">
          <w:marLeft w:val="0"/>
          <w:marRight w:val="0"/>
          <w:marTop w:val="0"/>
          <w:marBottom w:val="0"/>
          <w:divBdr>
            <w:top w:val="none" w:sz="0" w:space="0" w:color="auto"/>
            <w:left w:val="none" w:sz="0" w:space="0" w:color="auto"/>
            <w:bottom w:val="none" w:sz="0" w:space="0" w:color="auto"/>
            <w:right w:val="none" w:sz="0" w:space="0" w:color="auto"/>
          </w:divBdr>
          <w:divsChild>
            <w:div w:id="1806581782">
              <w:marLeft w:val="0"/>
              <w:marRight w:val="0"/>
              <w:marTop w:val="0"/>
              <w:marBottom w:val="0"/>
              <w:divBdr>
                <w:top w:val="none" w:sz="0" w:space="0" w:color="auto"/>
                <w:left w:val="none" w:sz="0" w:space="0" w:color="auto"/>
                <w:bottom w:val="none" w:sz="0" w:space="0" w:color="auto"/>
                <w:right w:val="none" w:sz="0" w:space="0" w:color="auto"/>
              </w:divBdr>
              <w:divsChild>
                <w:div w:id="80262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759129">
      <w:bodyDiv w:val="1"/>
      <w:marLeft w:val="0"/>
      <w:marRight w:val="0"/>
      <w:marTop w:val="0"/>
      <w:marBottom w:val="0"/>
      <w:divBdr>
        <w:top w:val="none" w:sz="0" w:space="0" w:color="auto"/>
        <w:left w:val="none" w:sz="0" w:space="0" w:color="auto"/>
        <w:bottom w:val="none" w:sz="0" w:space="0" w:color="auto"/>
        <w:right w:val="none" w:sz="0" w:space="0" w:color="auto"/>
      </w:divBdr>
      <w:divsChild>
        <w:div w:id="688066555">
          <w:marLeft w:val="0"/>
          <w:marRight w:val="0"/>
          <w:marTop w:val="0"/>
          <w:marBottom w:val="0"/>
          <w:divBdr>
            <w:top w:val="none" w:sz="0" w:space="0" w:color="auto"/>
            <w:left w:val="none" w:sz="0" w:space="0" w:color="auto"/>
            <w:bottom w:val="none" w:sz="0" w:space="0" w:color="auto"/>
            <w:right w:val="none" w:sz="0" w:space="0" w:color="auto"/>
          </w:divBdr>
          <w:divsChild>
            <w:div w:id="938492774">
              <w:marLeft w:val="0"/>
              <w:marRight w:val="0"/>
              <w:marTop w:val="0"/>
              <w:marBottom w:val="0"/>
              <w:divBdr>
                <w:top w:val="none" w:sz="0" w:space="0" w:color="auto"/>
                <w:left w:val="none" w:sz="0" w:space="0" w:color="auto"/>
                <w:bottom w:val="none" w:sz="0" w:space="0" w:color="auto"/>
                <w:right w:val="none" w:sz="0" w:space="0" w:color="auto"/>
              </w:divBdr>
              <w:divsChild>
                <w:div w:id="17416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951167">
      <w:bodyDiv w:val="1"/>
      <w:marLeft w:val="0"/>
      <w:marRight w:val="0"/>
      <w:marTop w:val="0"/>
      <w:marBottom w:val="0"/>
      <w:divBdr>
        <w:top w:val="none" w:sz="0" w:space="0" w:color="auto"/>
        <w:left w:val="none" w:sz="0" w:space="0" w:color="auto"/>
        <w:bottom w:val="none" w:sz="0" w:space="0" w:color="auto"/>
        <w:right w:val="none" w:sz="0" w:space="0" w:color="auto"/>
      </w:divBdr>
    </w:div>
    <w:div w:id="790439837">
      <w:bodyDiv w:val="1"/>
      <w:marLeft w:val="0"/>
      <w:marRight w:val="0"/>
      <w:marTop w:val="0"/>
      <w:marBottom w:val="0"/>
      <w:divBdr>
        <w:top w:val="none" w:sz="0" w:space="0" w:color="auto"/>
        <w:left w:val="none" w:sz="0" w:space="0" w:color="auto"/>
        <w:bottom w:val="none" w:sz="0" w:space="0" w:color="auto"/>
        <w:right w:val="none" w:sz="0" w:space="0" w:color="auto"/>
      </w:divBdr>
    </w:div>
    <w:div w:id="835413142">
      <w:bodyDiv w:val="1"/>
      <w:marLeft w:val="0"/>
      <w:marRight w:val="0"/>
      <w:marTop w:val="0"/>
      <w:marBottom w:val="0"/>
      <w:divBdr>
        <w:top w:val="none" w:sz="0" w:space="0" w:color="auto"/>
        <w:left w:val="none" w:sz="0" w:space="0" w:color="auto"/>
        <w:bottom w:val="none" w:sz="0" w:space="0" w:color="auto"/>
        <w:right w:val="none" w:sz="0" w:space="0" w:color="auto"/>
      </w:divBdr>
    </w:div>
    <w:div w:id="837307278">
      <w:bodyDiv w:val="1"/>
      <w:marLeft w:val="0"/>
      <w:marRight w:val="0"/>
      <w:marTop w:val="0"/>
      <w:marBottom w:val="0"/>
      <w:divBdr>
        <w:top w:val="none" w:sz="0" w:space="0" w:color="auto"/>
        <w:left w:val="none" w:sz="0" w:space="0" w:color="auto"/>
        <w:bottom w:val="none" w:sz="0" w:space="0" w:color="auto"/>
        <w:right w:val="none" w:sz="0" w:space="0" w:color="auto"/>
      </w:divBdr>
      <w:divsChild>
        <w:div w:id="1805150827">
          <w:marLeft w:val="0"/>
          <w:marRight w:val="0"/>
          <w:marTop w:val="0"/>
          <w:marBottom w:val="0"/>
          <w:divBdr>
            <w:top w:val="none" w:sz="0" w:space="0" w:color="auto"/>
            <w:left w:val="none" w:sz="0" w:space="0" w:color="auto"/>
            <w:bottom w:val="none" w:sz="0" w:space="0" w:color="auto"/>
            <w:right w:val="none" w:sz="0" w:space="0" w:color="auto"/>
          </w:divBdr>
          <w:divsChild>
            <w:div w:id="2066836063">
              <w:marLeft w:val="0"/>
              <w:marRight w:val="0"/>
              <w:marTop w:val="0"/>
              <w:marBottom w:val="0"/>
              <w:divBdr>
                <w:top w:val="none" w:sz="0" w:space="0" w:color="auto"/>
                <w:left w:val="none" w:sz="0" w:space="0" w:color="auto"/>
                <w:bottom w:val="none" w:sz="0" w:space="0" w:color="auto"/>
                <w:right w:val="none" w:sz="0" w:space="0" w:color="auto"/>
              </w:divBdr>
              <w:divsChild>
                <w:div w:id="506334499">
                  <w:marLeft w:val="0"/>
                  <w:marRight w:val="0"/>
                  <w:marTop w:val="0"/>
                  <w:marBottom w:val="0"/>
                  <w:divBdr>
                    <w:top w:val="none" w:sz="0" w:space="0" w:color="auto"/>
                    <w:left w:val="none" w:sz="0" w:space="0" w:color="auto"/>
                    <w:bottom w:val="none" w:sz="0" w:space="0" w:color="auto"/>
                    <w:right w:val="none" w:sz="0" w:space="0" w:color="auto"/>
                  </w:divBdr>
                  <w:divsChild>
                    <w:div w:id="939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88882">
              <w:marLeft w:val="0"/>
              <w:marRight w:val="0"/>
              <w:marTop w:val="0"/>
              <w:marBottom w:val="0"/>
              <w:divBdr>
                <w:top w:val="none" w:sz="0" w:space="0" w:color="auto"/>
                <w:left w:val="none" w:sz="0" w:space="0" w:color="auto"/>
                <w:bottom w:val="none" w:sz="0" w:space="0" w:color="auto"/>
                <w:right w:val="none" w:sz="0" w:space="0" w:color="auto"/>
              </w:divBdr>
              <w:divsChild>
                <w:div w:id="18930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013412">
      <w:bodyDiv w:val="1"/>
      <w:marLeft w:val="0"/>
      <w:marRight w:val="0"/>
      <w:marTop w:val="0"/>
      <w:marBottom w:val="0"/>
      <w:divBdr>
        <w:top w:val="none" w:sz="0" w:space="0" w:color="auto"/>
        <w:left w:val="none" w:sz="0" w:space="0" w:color="auto"/>
        <w:bottom w:val="none" w:sz="0" w:space="0" w:color="auto"/>
        <w:right w:val="none" w:sz="0" w:space="0" w:color="auto"/>
      </w:divBdr>
    </w:div>
    <w:div w:id="913199452">
      <w:bodyDiv w:val="1"/>
      <w:marLeft w:val="0"/>
      <w:marRight w:val="0"/>
      <w:marTop w:val="0"/>
      <w:marBottom w:val="0"/>
      <w:divBdr>
        <w:top w:val="none" w:sz="0" w:space="0" w:color="auto"/>
        <w:left w:val="none" w:sz="0" w:space="0" w:color="auto"/>
        <w:bottom w:val="none" w:sz="0" w:space="0" w:color="auto"/>
        <w:right w:val="none" w:sz="0" w:space="0" w:color="auto"/>
      </w:divBdr>
      <w:divsChild>
        <w:div w:id="208613030">
          <w:marLeft w:val="0"/>
          <w:marRight w:val="0"/>
          <w:marTop w:val="0"/>
          <w:marBottom w:val="0"/>
          <w:divBdr>
            <w:top w:val="none" w:sz="0" w:space="0" w:color="auto"/>
            <w:left w:val="none" w:sz="0" w:space="0" w:color="auto"/>
            <w:bottom w:val="none" w:sz="0" w:space="0" w:color="auto"/>
            <w:right w:val="none" w:sz="0" w:space="0" w:color="auto"/>
          </w:divBdr>
          <w:divsChild>
            <w:div w:id="602805498">
              <w:marLeft w:val="0"/>
              <w:marRight w:val="0"/>
              <w:marTop w:val="0"/>
              <w:marBottom w:val="0"/>
              <w:divBdr>
                <w:top w:val="none" w:sz="0" w:space="0" w:color="auto"/>
                <w:left w:val="none" w:sz="0" w:space="0" w:color="auto"/>
                <w:bottom w:val="none" w:sz="0" w:space="0" w:color="auto"/>
                <w:right w:val="none" w:sz="0" w:space="0" w:color="auto"/>
              </w:divBdr>
              <w:divsChild>
                <w:div w:id="1410083534">
                  <w:marLeft w:val="0"/>
                  <w:marRight w:val="0"/>
                  <w:marTop w:val="0"/>
                  <w:marBottom w:val="0"/>
                  <w:divBdr>
                    <w:top w:val="none" w:sz="0" w:space="0" w:color="auto"/>
                    <w:left w:val="none" w:sz="0" w:space="0" w:color="auto"/>
                    <w:bottom w:val="none" w:sz="0" w:space="0" w:color="auto"/>
                    <w:right w:val="none" w:sz="0" w:space="0" w:color="auto"/>
                  </w:divBdr>
                  <w:divsChild>
                    <w:div w:id="19267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0127">
              <w:marLeft w:val="0"/>
              <w:marRight w:val="0"/>
              <w:marTop w:val="0"/>
              <w:marBottom w:val="0"/>
              <w:divBdr>
                <w:top w:val="none" w:sz="0" w:space="0" w:color="auto"/>
                <w:left w:val="none" w:sz="0" w:space="0" w:color="auto"/>
                <w:bottom w:val="none" w:sz="0" w:space="0" w:color="auto"/>
                <w:right w:val="none" w:sz="0" w:space="0" w:color="auto"/>
              </w:divBdr>
              <w:divsChild>
                <w:div w:id="98469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44839">
      <w:bodyDiv w:val="1"/>
      <w:marLeft w:val="0"/>
      <w:marRight w:val="0"/>
      <w:marTop w:val="0"/>
      <w:marBottom w:val="0"/>
      <w:divBdr>
        <w:top w:val="none" w:sz="0" w:space="0" w:color="auto"/>
        <w:left w:val="none" w:sz="0" w:space="0" w:color="auto"/>
        <w:bottom w:val="none" w:sz="0" w:space="0" w:color="auto"/>
        <w:right w:val="none" w:sz="0" w:space="0" w:color="auto"/>
      </w:divBdr>
    </w:div>
    <w:div w:id="1046880510">
      <w:bodyDiv w:val="1"/>
      <w:marLeft w:val="0"/>
      <w:marRight w:val="0"/>
      <w:marTop w:val="0"/>
      <w:marBottom w:val="0"/>
      <w:divBdr>
        <w:top w:val="none" w:sz="0" w:space="0" w:color="auto"/>
        <w:left w:val="none" w:sz="0" w:space="0" w:color="auto"/>
        <w:bottom w:val="none" w:sz="0" w:space="0" w:color="auto"/>
        <w:right w:val="none" w:sz="0" w:space="0" w:color="auto"/>
      </w:divBdr>
      <w:divsChild>
        <w:div w:id="1023214290">
          <w:marLeft w:val="0"/>
          <w:marRight w:val="0"/>
          <w:marTop w:val="0"/>
          <w:marBottom w:val="0"/>
          <w:divBdr>
            <w:top w:val="none" w:sz="0" w:space="0" w:color="auto"/>
            <w:left w:val="none" w:sz="0" w:space="0" w:color="auto"/>
            <w:bottom w:val="none" w:sz="0" w:space="0" w:color="auto"/>
            <w:right w:val="none" w:sz="0" w:space="0" w:color="auto"/>
          </w:divBdr>
          <w:divsChild>
            <w:div w:id="628895989">
              <w:marLeft w:val="0"/>
              <w:marRight w:val="0"/>
              <w:marTop w:val="0"/>
              <w:marBottom w:val="0"/>
              <w:divBdr>
                <w:top w:val="none" w:sz="0" w:space="0" w:color="auto"/>
                <w:left w:val="none" w:sz="0" w:space="0" w:color="auto"/>
                <w:bottom w:val="none" w:sz="0" w:space="0" w:color="auto"/>
                <w:right w:val="none" w:sz="0" w:space="0" w:color="auto"/>
              </w:divBdr>
              <w:divsChild>
                <w:div w:id="5233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712047">
      <w:bodyDiv w:val="1"/>
      <w:marLeft w:val="0"/>
      <w:marRight w:val="0"/>
      <w:marTop w:val="0"/>
      <w:marBottom w:val="0"/>
      <w:divBdr>
        <w:top w:val="none" w:sz="0" w:space="0" w:color="auto"/>
        <w:left w:val="none" w:sz="0" w:space="0" w:color="auto"/>
        <w:bottom w:val="none" w:sz="0" w:space="0" w:color="auto"/>
        <w:right w:val="none" w:sz="0" w:space="0" w:color="auto"/>
      </w:divBdr>
      <w:divsChild>
        <w:div w:id="132022179">
          <w:marLeft w:val="0"/>
          <w:marRight w:val="0"/>
          <w:marTop w:val="0"/>
          <w:marBottom w:val="0"/>
          <w:divBdr>
            <w:top w:val="none" w:sz="0" w:space="0" w:color="auto"/>
            <w:left w:val="none" w:sz="0" w:space="0" w:color="auto"/>
            <w:bottom w:val="none" w:sz="0" w:space="0" w:color="auto"/>
            <w:right w:val="none" w:sz="0" w:space="0" w:color="auto"/>
          </w:divBdr>
          <w:divsChild>
            <w:div w:id="1391729880">
              <w:marLeft w:val="0"/>
              <w:marRight w:val="0"/>
              <w:marTop w:val="0"/>
              <w:marBottom w:val="0"/>
              <w:divBdr>
                <w:top w:val="none" w:sz="0" w:space="0" w:color="auto"/>
                <w:left w:val="none" w:sz="0" w:space="0" w:color="auto"/>
                <w:bottom w:val="none" w:sz="0" w:space="0" w:color="auto"/>
                <w:right w:val="none" w:sz="0" w:space="0" w:color="auto"/>
              </w:divBdr>
              <w:divsChild>
                <w:div w:id="4046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42217">
      <w:bodyDiv w:val="1"/>
      <w:marLeft w:val="0"/>
      <w:marRight w:val="0"/>
      <w:marTop w:val="0"/>
      <w:marBottom w:val="0"/>
      <w:divBdr>
        <w:top w:val="none" w:sz="0" w:space="0" w:color="auto"/>
        <w:left w:val="none" w:sz="0" w:space="0" w:color="auto"/>
        <w:bottom w:val="none" w:sz="0" w:space="0" w:color="auto"/>
        <w:right w:val="none" w:sz="0" w:space="0" w:color="auto"/>
      </w:divBdr>
    </w:div>
    <w:div w:id="1113330082">
      <w:bodyDiv w:val="1"/>
      <w:marLeft w:val="0"/>
      <w:marRight w:val="0"/>
      <w:marTop w:val="0"/>
      <w:marBottom w:val="0"/>
      <w:divBdr>
        <w:top w:val="none" w:sz="0" w:space="0" w:color="auto"/>
        <w:left w:val="none" w:sz="0" w:space="0" w:color="auto"/>
        <w:bottom w:val="none" w:sz="0" w:space="0" w:color="auto"/>
        <w:right w:val="none" w:sz="0" w:space="0" w:color="auto"/>
      </w:divBdr>
      <w:divsChild>
        <w:div w:id="860898030">
          <w:marLeft w:val="0"/>
          <w:marRight w:val="0"/>
          <w:marTop w:val="0"/>
          <w:marBottom w:val="0"/>
          <w:divBdr>
            <w:top w:val="none" w:sz="0" w:space="0" w:color="auto"/>
            <w:left w:val="none" w:sz="0" w:space="0" w:color="auto"/>
            <w:bottom w:val="none" w:sz="0" w:space="0" w:color="auto"/>
            <w:right w:val="none" w:sz="0" w:space="0" w:color="auto"/>
          </w:divBdr>
        </w:div>
      </w:divsChild>
    </w:div>
    <w:div w:id="1113596733">
      <w:bodyDiv w:val="1"/>
      <w:marLeft w:val="0"/>
      <w:marRight w:val="0"/>
      <w:marTop w:val="0"/>
      <w:marBottom w:val="0"/>
      <w:divBdr>
        <w:top w:val="none" w:sz="0" w:space="0" w:color="auto"/>
        <w:left w:val="none" w:sz="0" w:space="0" w:color="auto"/>
        <w:bottom w:val="none" w:sz="0" w:space="0" w:color="auto"/>
        <w:right w:val="none" w:sz="0" w:space="0" w:color="auto"/>
      </w:divBdr>
    </w:div>
    <w:div w:id="1116558381">
      <w:bodyDiv w:val="1"/>
      <w:marLeft w:val="0"/>
      <w:marRight w:val="0"/>
      <w:marTop w:val="0"/>
      <w:marBottom w:val="0"/>
      <w:divBdr>
        <w:top w:val="none" w:sz="0" w:space="0" w:color="auto"/>
        <w:left w:val="none" w:sz="0" w:space="0" w:color="auto"/>
        <w:bottom w:val="none" w:sz="0" w:space="0" w:color="auto"/>
        <w:right w:val="none" w:sz="0" w:space="0" w:color="auto"/>
      </w:divBdr>
    </w:div>
    <w:div w:id="1182277170">
      <w:bodyDiv w:val="1"/>
      <w:marLeft w:val="0"/>
      <w:marRight w:val="0"/>
      <w:marTop w:val="0"/>
      <w:marBottom w:val="0"/>
      <w:divBdr>
        <w:top w:val="none" w:sz="0" w:space="0" w:color="auto"/>
        <w:left w:val="none" w:sz="0" w:space="0" w:color="auto"/>
        <w:bottom w:val="none" w:sz="0" w:space="0" w:color="auto"/>
        <w:right w:val="none" w:sz="0" w:space="0" w:color="auto"/>
      </w:divBdr>
    </w:div>
    <w:div w:id="1199009547">
      <w:bodyDiv w:val="1"/>
      <w:marLeft w:val="0"/>
      <w:marRight w:val="0"/>
      <w:marTop w:val="0"/>
      <w:marBottom w:val="0"/>
      <w:divBdr>
        <w:top w:val="none" w:sz="0" w:space="0" w:color="auto"/>
        <w:left w:val="none" w:sz="0" w:space="0" w:color="auto"/>
        <w:bottom w:val="none" w:sz="0" w:space="0" w:color="auto"/>
        <w:right w:val="none" w:sz="0" w:space="0" w:color="auto"/>
      </w:divBdr>
    </w:div>
    <w:div w:id="1242905685">
      <w:bodyDiv w:val="1"/>
      <w:marLeft w:val="0"/>
      <w:marRight w:val="0"/>
      <w:marTop w:val="0"/>
      <w:marBottom w:val="0"/>
      <w:divBdr>
        <w:top w:val="none" w:sz="0" w:space="0" w:color="auto"/>
        <w:left w:val="none" w:sz="0" w:space="0" w:color="auto"/>
        <w:bottom w:val="none" w:sz="0" w:space="0" w:color="auto"/>
        <w:right w:val="none" w:sz="0" w:space="0" w:color="auto"/>
      </w:divBdr>
    </w:div>
    <w:div w:id="1297829779">
      <w:bodyDiv w:val="1"/>
      <w:marLeft w:val="0"/>
      <w:marRight w:val="0"/>
      <w:marTop w:val="0"/>
      <w:marBottom w:val="0"/>
      <w:divBdr>
        <w:top w:val="none" w:sz="0" w:space="0" w:color="auto"/>
        <w:left w:val="none" w:sz="0" w:space="0" w:color="auto"/>
        <w:bottom w:val="none" w:sz="0" w:space="0" w:color="auto"/>
        <w:right w:val="none" w:sz="0" w:space="0" w:color="auto"/>
      </w:divBdr>
    </w:div>
    <w:div w:id="1319533185">
      <w:bodyDiv w:val="1"/>
      <w:marLeft w:val="0"/>
      <w:marRight w:val="0"/>
      <w:marTop w:val="0"/>
      <w:marBottom w:val="0"/>
      <w:divBdr>
        <w:top w:val="none" w:sz="0" w:space="0" w:color="auto"/>
        <w:left w:val="none" w:sz="0" w:space="0" w:color="auto"/>
        <w:bottom w:val="none" w:sz="0" w:space="0" w:color="auto"/>
        <w:right w:val="none" w:sz="0" w:space="0" w:color="auto"/>
      </w:divBdr>
    </w:div>
    <w:div w:id="1333139697">
      <w:bodyDiv w:val="1"/>
      <w:marLeft w:val="0"/>
      <w:marRight w:val="0"/>
      <w:marTop w:val="0"/>
      <w:marBottom w:val="0"/>
      <w:divBdr>
        <w:top w:val="none" w:sz="0" w:space="0" w:color="auto"/>
        <w:left w:val="none" w:sz="0" w:space="0" w:color="auto"/>
        <w:bottom w:val="none" w:sz="0" w:space="0" w:color="auto"/>
        <w:right w:val="none" w:sz="0" w:space="0" w:color="auto"/>
      </w:divBdr>
    </w:div>
    <w:div w:id="1354187977">
      <w:bodyDiv w:val="1"/>
      <w:marLeft w:val="0"/>
      <w:marRight w:val="0"/>
      <w:marTop w:val="0"/>
      <w:marBottom w:val="0"/>
      <w:divBdr>
        <w:top w:val="none" w:sz="0" w:space="0" w:color="auto"/>
        <w:left w:val="none" w:sz="0" w:space="0" w:color="auto"/>
        <w:bottom w:val="none" w:sz="0" w:space="0" w:color="auto"/>
        <w:right w:val="none" w:sz="0" w:space="0" w:color="auto"/>
      </w:divBdr>
    </w:div>
    <w:div w:id="1402021314">
      <w:bodyDiv w:val="1"/>
      <w:marLeft w:val="0"/>
      <w:marRight w:val="0"/>
      <w:marTop w:val="0"/>
      <w:marBottom w:val="0"/>
      <w:divBdr>
        <w:top w:val="none" w:sz="0" w:space="0" w:color="auto"/>
        <w:left w:val="none" w:sz="0" w:space="0" w:color="auto"/>
        <w:bottom w:val="none" w:sz="0" w:space="0" w:color="auto"/>
        <w:right w:val="none" w:sz="0" w:space="0" w:color="auto"/>
      </w:divBdr>
    </w:div>
    <w:div w:id="1411318193">
      <w:bodyDiv w:val="1"/>
      <w:marLeft w:val="0"/>
      <w:marRight w:val="0"/>
      <w:marTop w:val="0"/>
      <w:marBottom w:val="0"/>
      <w:divBdr>
        <w:top w:val="none" w:sz="0" w:space="0" w:color="auto"/>
        <w:left w:val="none" w:sz="0" w:space="0" w:color="auto"/>
        <w:bottom w:val="none" w:sz="0" w:space="0" w:color="auto"/>
        <w:right w:val="none" w:sz="0" w:space="0" w:color="auto"/>
      </w:divBdr>
    </w:div>
    <w:div w:id="1449277980">
      <w:bodyDiv w:val="1"/>
      <w:marLeft w:val="0"/>
      <w:marRight w:val="0"/>
      <w:marTop w:val="0"/>
      <w:marBottom w:val="0"/>
      <w:divBdr>
        <w:top w:val="none" w:sz="0" w:space="0" w:color="auto"/>
        <w:left w:val="none" w:sz="0" w:space="0" w:color="auto"/>
        <w:bottom w:val="none" w:sz="0" w:space="0" w:color="auto"/>
        <w:right w:val="none" w:sz="0" w:space="0" w:color="auto"/>
      </w:divBdr>
    </w:div>
    <w:div w:id="1513644390">
      <w:bodyDiv w:val="1"/>
      <w:marLeft w:val="0"/>
      <w:marRight w:val="0"/>
      <w:marTop w:val="0"/>
      <w:marBottom w:val="0"/>
      <w:divBdr>
        <w:top w:val="none" w:sz="0" w:space="0" w:color="auto"/>
        <w:left w:val="none" w:sz="0" w:space="0" w:color="auto"/>
        <w:bottom w:val="none" w:sz="0" w:space="0" w:color="auto"/>
        <w:right w:val="none" w:sz="0" w:space="0" w:color="auto"/>
      </w:divBdr>
      <w:divsChild>
        <w:div w:id="1210653937">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 w:id="1613785512">
      <w:bodyDiv w:val="1"/>
      <w:marLeft w:val="0"/>
      <w:marRight w:val="0"/>
      <w:marTop w:val="0"/>
      <w:marBottom w:val="0"/>
      <w:divBdr>
        <w:top w:val="none" w:sz="0" w:space="0" w:color="auto"/>
        <w:left w:val="none" w:sz="0" w:space="0" w:color="auto"/>
        <w:bottom w:val="none" w:sz="0" w:space="0" w:color="auto"/>
        <w:right w:val="none" w:sz="0" w:space="0" w:color="auto"/>
      </w:divBdr>
      <w:divsChild>
        <w:div w:id="2082755869">
          <w:marLeft w:val="0"/>
          <w:marRight w:val="0"/>
          <w:marTop w:val="0"/>
          <w:marBottom w:val="0"/>
          <w:divBdr>
            <w:top w:val="none" w:sz="0" w:space="0" w:color="auto"/>
            <w:left w:val="none" w:sz="0" w:space="0" w:color="auto"/>
            <w:bottom w:val="none" w:sz="0" w:space="0" w:color="auto"/>
            <w:right w:val="none" w:sz="0" w:space="0" w:color="auto"/>
          </w:divBdr>
        </w:div>
      </w:divsChild>
    </w:div>
    <w:div w:id="1731539305">
      <w:bodyDiv w:val="1"/>
      <w:marLeft w:val="0"/>
      <w:marRight w:val="0"/>
      <w:marTop w:val="0"/>
      <w:marBottom w:val="0"/>
      <w:divBdr>
        <w:top w:val="none" w:sz="0" w:space="0" w:color="auto"/>
        <w:left w:val="none" w:sz="0" w:space="0" w:color="auto"/>
        <w:bottom w:val="none" w:sz="0" w:space="0" w:color="auto"/>
        <w:right w:val="none" w:sz="0" w:space="0" w:color="auto"/>
      </w:divBdr>
    </w:div>
    <w:div w:id="1737783607">
      <w:bodyDiv w:val="1"/>
      <w:marLeft w:val="0"/>
      <w:marRight w:val="0"/>
      <w:marTop w:val="0"/>
      <w:marBottom w:val="0"/>
      <w:divBdr>
        <w:top w:val="none" w:sz="0" w:space="0" w:color="auto"/>
        <w:left w:val="none" w:sz="0" w:space="0" w:color="auto"/>
        <w:bottom w:val="none" w:sz="0" w:space="0" w:color="auto"/>
        <w:right w:val="none" w:sz="0" w:space="0" w:color="auto"/>
      </w:divBdr>
    </w:div>
    <w:div w:id="1748265165">
      <w:bodyDiv w:val="1"/>
      <w:marLeft w:val="0"/>
      <w:marRight w:val="0"/>
      <w:marTop w:val="0"/>
      <w:marBottom w:val="0"/>
      <w:divBdr>
        <w:top w:val="none" w:sz="0" w:space="0" w:color="auto"/>
        <w:left w:val="none" w:sz="0" w:space="0" w:color="auto"/>
        <w:bottom w:val="none" w:sz="0" w:space="0" w:color="auto"/>
        <w:right w:val="none" w:sz="0" w:space="0" w:color="auto"/>
      </w:divBdr>
      <w:divsChild>
        <w:div w:id="302855965">
          <w:marLeft w:val="0"/>
          <w:marRight w:val="0"/>
          <w:marTop w:val="0"/>
          <w:marBottom w:val="0"/>
          <w:divBdr>
            <w:top w:val="none" w:sz="0" w:space="0" w:color="auto"/>
            <w:left w:val="none" w:sz="0" w:space="0" w:color="auto"/>
            <w:bottom w:val="none" w:sz="0" w:space="0" w:color="auto"/>
            <w:right w:val="none" w:sz="0" w:space="0" w:color="auto"/>
          </w:divBdr>
          <w:divsChild>
            <w:div w:id="1617559779">
              <w:marLeft w:val="0"/>
              <w:marRight w:val="0"/>
              <w:marTop w:val="0"/>
              <w:marBottom w:val="0"/>
              <w:divBdr>
                <w:top w:val="none" w:sz="0" w:space="0" w:color="auto"/>
                <w:left w:val="none" w:sz="0" w:space="0" w:color="auto"/>
                <w:bottom w:val="none" w:sz="0" w:space="0" w:color="auto"/>
                <w:right w:val="none" w:sz="0" w:space="0" w:color="auto"/>
              </w:divBdr>
              <w:divsChild>
                <w:div w:id="1018119375">
                  <w:marLeft w:val="0"/>
                  <w:marRight w:val="0"/>
                  <w:marTop w:val="0"/>
                  <w:marBottom w:val="0"/>
                  <w:divBdr>
                    <w:top w:val="none" w:sz="0" w:space="0" w:color="auto"/>
                    <w:left w:val="none" w:sz="0" w:space="0" w:color="auto"/>
                    <w:bottom w:val="none" w:sz="0" w:space="0" w:color="auto"/>
                    <w:right w:val="none" w:sz="0" w:space="0" w:color="auto"/>
                  </w:divBdr>
                  <w:divsChild>
                    <w:div w:id="41447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677900">
      <w:bodyDiv w:val="1"/>
      <w:marLeft w:val="0"/>
      <w:marRight w:val="0"/>
      <w:marTop w:val="0"/>
      <w:marBottom w:val="0"/>
      <w:divBdr>
        <w:top w:val="none" w:sz="0" w:space="0" w:color="auto"/>
        <w:left w:val="none" w:sz="0" w:space="0" w:color="auto"/>
        <w:bottom w:val="none" w:sz="0" w:space="0" w:color="auto"/>
        <w:right w:val="none" w:sz="0" w:space="0" w:color="auto"/>
      </w:divBdr>
      <w:divsChild>
        <w:div w:id="1830822463">
          <w:marLeft w:val="0"/>
          <w:marRight w:val="0"/>
          <w:marTop w:val="0"/>
          <w:marBottom w:val="0"/>
          <w:divBdr>
            <w:top w:val="none" w:sz="0" w:space="0" w:color="auto"/>
            <w:left w:val="none" w:sz="0" w:space="0" w:color="auto"/>
            <w:bottom w:val="none" w:sz="0" w:space="0" w:color="auto"/>
            <w:right w:val="none" w:sz="0" w:space="0" w:color="auto"/>
          </w:divBdr>
          <w:divsChild>
            <w:div w:id="1936744170">
              <w:marLeft w:val="0"/>
              <w:marRight w:val="0"/>
              <w:marTop w:val="0"/>
              <w:marBottom w:val="0"/>
              <w:divBdr>
                <w:top w:val="none" w:sz="0" w:space="0" w:color="auto"/>
                <w:left w:val="none" w:sz="0" w:space="0" w:color="auto"/>
                <w:bottom w:val="none" w:sz="0" w:space="0" w:color="auto"/>
                <w:right w:val="none" w:sz="0" w:space="0" w:color="auto"/>
              </w:divBdr>
              <w:divsChild>
                <w:div w:id="194545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50564">
      <w:bodyDiv w:val="1"/>
      <w:marLeft w:val="0"/>
      <w:marRight w:val="0"/>
      <w:marTop w:val="0"/>
      <w:marBottom w:val="0"/>
      <w:divBdr>
        <w:top w:val="none" w:sz="0" w:space="0" w:color="auto"/>
        <w:left w:val="none" w:sz="0" w:space="0" w:color="auto"/>
        <w:bottom w:val="none" w:sz="0" w:space="0" w:color="auto"/>
        <w:right w:val="none" w:sz="0" w:space="0" w:color="auto"/>
      </w:divBdr>
    </w:div>
    <w:div w:id="1847741742">
      <w:bodyDiv w:val="1"/>
      <w:marLeft w:val="0"/>
      <w:marRight w:val="0"/>
      <w:marTop w:val="0"/>
      <w:marBottom w:val="0"/>
      <w:divBdr>
        <w:top w:val="none" w:sz="0" w:space="0" w:color="auto"/>
        <w:left w:val="none" w:sz="0" w:space="0" w:color="auto"/>
        <w:bottom w:val="none" w:sz="0" w:space="0" w:color="auto"/>
        <w:right w:val="none" w:sz="0" w:space="0" w:color="auto"/>
      </w:divBdr>
    </w:div>
    <w:div w:id="1880360761">
      <w:bodyDiv w:val="1"/>
      <w:marLeft w:val="0"/>
      <w:marRight w:val="0"/>
      <w:marTop w:val="0"/>
      <w:marBottom w:val="0"/>
      <w:divBdr>
        <w:top w:val="none" w:sz="0" w:space="0" w:color="auto"/>
        <w:left w:val="none" w:sz="0" w:space="0" w:color="auto"/>
        <w:bottom w:val="none" w:sz="0" w:space="0" w:color="auto"/>
        <w:right w:val="none" w:sz="0" w:space="0" w:color="auto"/>
      </w:divBdr>
    </w:div>
    <w:div w:id="1892232555">
      <w:bodyDiv w:val="1"/>
      <w:marLeft w:val="0"/>
      <w:marRight w:val="0"/>
      <w:marTop w:val="0"/>
      <w:marBottom w:val="0"/>
      <w:divBdr>
        <w:top w:val="none" w:sz="0" w:space="0" w:color="auto"/>
        <w:left w:val="none" w:sz="0" w:space="0" w:color="auto"/>
        <w:bottom w:val="none" w:sz="0" w:space="0" w:color="auto"/>
        <w:right w:val="none" w:sz="0" w:space="0" w:color="auto"/>
      </w:divBdr>
    </w:div>
    <w:div w:id="1907179981">
      <w:bodyDiv w:val="1"/>
      <w:marLeft w:val="0"/>
      <w:marRight w:val="0"/>
      <w:marTop w:val="0"/>
      <w:marBottom w:val="0"/>
      <w:divBdr>
        <w:top w:val="none" w:sz="0" w:space="0" w:color="auto"/>
        <w:left w:val="none" w:sz="0" w:space="0" w:color="auto"/>
        <w:bottom w:val="none" w:sz="0" w:space="0" w:color="auto"/>
        <w:right w:val="none" w:sz="0" w:space="0" w:color="auto"/>
      </w:divBdr>
      <w:divsChild>
        <w:div w:id="1451557364">
          <w:marLeft w:val="0"/>
          <w:marRight w:val="0"/>
          <w:marTop w:val="0"/>
          <w:marBottom w:val="0"/>
          <w:divBdr>
            <w:top w:val="none" w:sz="0" w:space="0" w:color="auto"/>
            <w:left w:val="none" w:sz="0" w:space="0" w:color="auto"/>
            <w:bottom w:val="none" w:sz="0" w:space="0" w:color="auto"/>
            <w:right w:val="none" w:sz="0" w:space="0" w:color="auto"/>
          </w:divBdr>
          <w:divsChild>
            <w:div w:id="713625518">
              <w:marLeft w:val="0"/>
              <w:marRight w:val="0"/>
              <w:marTop w:val="0"/>
              <w:marBottom w:val="0"/>
              <w:divBdr>
                <w:top w:val="none" w:sz="0" w:space="0" w:color="auto"/>
                <w:left w:val="none" w:sz="0" w:space="0" w:color="auto"/>
                <w:bottom w:val="none" w:sz="0" w:space="0" w:color="auto"/>
                <w:right w:val="none" w:sz="0" w:space="0" w:color="auto"/>
              </w:divBdr>
              <w:divsChild>
                <w:div w:id="1478691385">
                  <w:marLeft w:val="0"/>
                  <w:marRight w:val="0"/>
                  <w:marTop w:val="0"/>
                  <w:marBottom w:val="0"/>
                  <w:divBdr>
                    <w:top w:val="none" w:sz="0" w:space="0" w:color="auto"/>
                    <w:left w:val="none" w:sz="0" w:space="0" w:color="auto"/>
                    <w:bottom w:val="none" w:sz="0" w:space="0" w:color="auto"/>
                    <w:right w:val="none" w:sz="0" w:space="0" w:color="auto"/>
                  </w:divBdr>
                  <w:divsChild>
                    <w:div w:id="142602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95897">
              <w:marLeft w:val="0"/>
              <w:marRight w:val="0"/>
              <w:marTop w:val="0"/>
              <w:marBottom w:val="0"/>
              <w:divBdr>
                <w:top w:val="none" w:sz="0" w:space="0" w:color="auto"/>
                <w:left w:val="none" w:sz="0" w:space="0" w:color="auto"/>
                <w:bottom w:val="none" w:sz="0" w:space="0" w:color="auto"/>
                <w:right w:val="none" w:sz="0" w:space="0" w:color="auto"/>
              </w:divBdr>
              <w:divsChild>
                <w:div w:id="22376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1788">
      <w:bodyDiv w:val="1"/>
      <w:marLeft w:val="0"/>
      <w:marRight w:val="0"/>
      <w:marTop w:val="0"/>
      <w:marBottom w:val="0"/>
      <w:divBdr>
        <w:top w:val="none" w:sz="0" w:space="0" w:color="auto"/>
        <w:left w:val="none" w:sz="0" w:space="0" w:color="auto"/>
        <w:bottom w:val="none" w:sz="0" w:space="0" w:color="auto"/>
        <w:right w:val="none" w:sz="0" w:space="0" w:color="auto"/>
      </w:divBdr>
    </w:div>
    <w:div w:id="2015842331">
      <w:bodyDiv w:val="1"/>
      <w:marLeft w:val="0"/>
      <w:marRight w:val="0"/>
      <w:marTop w:val="0"/>
      <w:marBottom w:val="0"/>
      <w:divBdr>
        <w:top w:val="none" w:sz="0" w:space="0" w:color="auto"/>
        <w:left w:val="none" w:sz="0" w:space="0" w:color="auto"/>
        <w:bottom w:val="none" w:sz="0" w:space="0" w:color="auto"/>
        <w:right w:val="none" w:sz="0" w:space="0" w:color="auto"/>
      </w:divBdr>
    </w:div>
    <w:div w:id="2104492190">
      <w:bodyDiv w:val="1"/>
      <w:marLeft w:val="0"/>
      <w:marRight w:val="0"/>
      <w:marTop w:val="0"/>
      <w:marBottom w:val="0"/>
      <w:divBdr>
        <w:top w:val="none" w:sz="0" w:space="0" w:color="auto"/>
        <w:left w:val="none" w:sz="0" w:space="0" w:color="auto"/>
        <w:bottom w:val="none" w:sz="0" w:space="0" w:color="auto"/>
        <w:right w:val="none" w:sz="0" w:space="0" w:color="auto"/>
      </w:divBdr>
    </w:div>
    <w:div w:id="2110422208">
      <w:bodyDiv w:val="1"/>
      <w:marLeft w:val="0"/>
      <w:marRight w:val="0"/>
      <w:marTop w:val="0"/>
      <w:marBottom w:val="0"/>
      <w:divBdr>
        <w:top w:val="none" w:sz="0" w:space="0" w:color="auto"/>
        <w:left w:val="none" w:sz="0" w:space="0" w:color="auto"/>
        <w:bottom w:val="none" w:sz="0" w:space="0" w:color="auto"/>
        <w:right w:val="none" w:sz="0" w:space="0" w:color="auto"/>
      </w:divBdr>
      <w:divsChild>
        <w:div w:id="1759592771">
          <w:marLeft w:val="547"/>
          <w:marRight w:val="0"/>
          <w:marTop w:val="0"/>
          <w:marBottom w:val="0"/>
          <w:divBdr>
            <w:top w:val="none" w:sz="0" w:space="0" w:color="auto"/>
            <w:left w:val="none" w:sz="0" w:space="0" w:color="auto"/>
            <w:bottom w:val="none" w:sz="0" w:space="0" w:color="auto"/>
            <w:right w:val="none" w:sz="0" w:space="0" w:color="auto"/>
          </w:divBdr>
        </w:div>
        <w:div w:id="272398915">
          <w:marLeft w:val="547"/>
          <w:marRight w:val="0"/>
          <w:marTop w:val="0"/>
          <w:marBottom w:val="0"/>
          <w:divBdr>
            <w:top w:val="none" w:sz="0" w:space="0" w:color="auto"/>
            <w:left w:val="none" w:sz="0" w:space="0" w:color="auto"/>
            <w:bottom w:val="none" w:sz="0" w:space="0" w:color="auto"/>
            <w:right w:val="none" w:sz="0" w:space="0" w:color="auto"/>
          </w:divBdr>
        </w:div>
      </w:divsChild>
    </w:div>
    <w:div w:id="2116750440">
      <w:bodyDiv w:val="1"/>
      <w:marLeft w:val="0"/>
      <w:marRight w:val="0"/>
      <w:marTop w:val="0"/>
      <w:marBottom w:val="0"/>
      <w:divBdr>
        <w:top w:val="none" w:sz="0" w:space="0" w:color="auto"/>
        <w:left w:val="none" w:sz="0" w:space="0" w:color="auto"/>
        <w:bottom w:val="none" w:sz="0" w:space="0" w:color="auto"/>
        <w:right w:val="none" w:sz="0" w:space="0" w:color="auto"/>
      </w:divBdr>
    </w:div>
    <w:div w:id="21442730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rastuzumab" TargetMode="External"/><Relationship Id="rId18" Type="http://schemas.openxmlformats.org/officeDocument/2006/relationships/hyperlink" Target="file:///Volumes/GoogleDrive/My%20Drive/E4Ldrugdevice/dylan_notes_docs/dylan_case_study/demo" TargetMode="External"/><Relationship Id="rId26" Type="http://schemas.openxmlformats.org/officeDocument/2006/relationships/hyperlink" Target="https://www.ich.org/page/safety-guidelines" TargetMode="External"/><Relationship Id="rId39" Type="http://schemas.openxmlformats.org/officeDocument/2006/relationships/hyperlink" Target="https://ec.europa.eu/health/sites/health/files/files/eudralex/vol-10/2008_11/vpl10_an5_10-2008_en.pdf" TargetMode="External"/><Relationship Id="rId21" Type="http://schemas.openxmlformats.org/officeDocument/2006/relationships/hyperlink" Target="https://journal.emwa.org/preclinical-studies/an-introduction-to-little-known-aspects-of-nonclinical-regulatory-writing/" TargetMode="External"/><Relationship Id="rId34" Type="http://schemas.openxmlformats.org/officeDocument/2006/relationships/hyperlink" Target="https://health.ec.europa.eu/medicinal-products/eudralex/eudralex-volume-10_en" TargetMode="External"/><Relationship Id="rId42"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nature.com/articles/s41598-020-59818-2" TargetMode="External"/><Relationship Id="rId29" Type="http://schemas.openxmlformats.org/officeDocument/2006/relationships/hyperlink" Target="http://www.nejm.org/doi/full/10.1056/NEJMra1510062"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Pertuzumab" TargetMode="External"/><Relationship Id="rId24" Type="http://schemas.openxmlformats.org/officeDocument/2006/relationships/hyperlink" Target="https://health.ec.europa.eu/system/files/2016-11/18540104en_en_0.pdf" TargetMode="External"/><Relationship Id="rId32" Type="http://schemas.openxmlformats.org/officeDocument/2006/relationships/hyperlink" Target="https://www.fda.gov/regulatory-information/food-and-drug-administration-safety-and-innovation-act-fdasia/frequently-asked-questions-breakthrough-therapies" TargetMode="External"/><Relationship Id="rId37" Type="http://schemas.openxmlformats.org/officeDocument/2006/relationships/hyperlink" Target="https://www.ema.europa.eu/en/human-regulatory/research-development/scientific-advice-protocol-assistance" TargetMode="External"/><Relationship Id="rId40" Type="http://schemas.openxmlformats.org/officeDocument/2006/relationships/hyperlink" Target="https://www.ncbi.nlm.nih.gov/pmc/articles/PMC5319201/"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doi.org/10.1371/journal.pone.0216095" TargetMode="External"/><Relationship Id="rId23" Type="http://schemas.openxmlformats.org/officeDocument/2006/relationships/hyperlink" Target="https://health.ec.europa.eu/medicinal-products/eudralex/eudralex-volume-10_en" TargetMode="External"/><Relationship Id="rId28" Type="http://schemas.openxmlformats.org/officeDocument/2006/relationships/hyperlink" Target="http://www.nature.com/news/master-protocol-aims-to-revamp-cancer-trials-1.13176" TargetMode="External"/><Relationship Id="rId36" Type="http://schemas.openxmlformats.org/officeDocument/2006/relationships/hyperlink" Target="https://www.pei.de/EN/information/license-applicants/advice/scientific-advice/scientific-advice-node.html" TargetMode="External"/><Relationship Id="rId10" Type="http://schemas.openxmlformats.org/officeDocument/2006/relationships/hyperlink" Target="https://en.wikipedia.org/wiki/HER2/neu" TargetMode="External"/><Relationship Id="rId19" Type="http://schemas.openxmlformats.org/officeDocument/2006/relationships/hyperlink" Target="file:///Volumes/GoogleDrive/My%20Drive/E4Ldrugdevice/dylan_notes_docs/dylan_case_study/demo" TargetMode="External"/><Relationship Id="rId31" Type="http://schemas.openxmlformats.org/officeDocument/2006/relationships/hyperlink" Target="https://www.fda.gov/regulatory-information/food-and-drug-administration-safety-and-innovation-act-fdasia/fact-sheet-breakthrough-therapies"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n.wikipedia.org/wiki/Protein_dimer" TargetMode="External"/><Relationship Id="rId14" Type="http://schemas.openxmlformats.org/officeDocument/2006/relationships/image" Target="media/image1.jpeg"/><Relationship Id="rId22" Type="http://schemas.openxmlformats.org/officeDocument/2006/relationships/hyperlink" Target="https://ec.europa.eu/health/documents/eudralex/vol-10_en" TargetMode="External"/><Relationship Id="rId27" Type="http://schemas.openxmlformats.org/officeDocument/2006/relationships/hyperlink" Target="https://www.ema.europa.eu/en/requirements-chemical-pharmaceutical-quality-documentation-concerning-investigational-medicinal" TargetMode="External"/><Relationship Id="rId30" Type="http://schemas.openxmlformats.org/officeDocument/2006/relationships/hyperlink" Target="https://www.ema.europa.eu/en/human-regulatory/research-development/prime-priority-medicines" TargetMode="External"/><Relationship Id="rId35" Type="http://schemas.openxmlformats.org/officeDocument/2006/relationships/hyperlink" Target="https://health.ec.europa.eu/system/files/2016-11/18540104en_en_0.pdf" TargetMode="External"/><Relationship Id="rId43" Type="http://schemas.openxmlformats.org/officeDocument/2006/relationships/footer" Target="foot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en.wikipedia.org/wiki/Genentech" TargetMode="External"/><Relationship Id="rId17" Type="http://schemas.openxmlformats.org/officeDocument/2006/relationships/image" Target="media/image2.png"/><Relationship Id="rId25" Type="http://schemas.openxmlformats.org/officeDocument/2006/relationships/hyperlink" Target="https://database.ich.org/sites/default/files/M3_R2__Guideline.pdf" TargetMode="External"/><Relationship Id="rId33" Type="http://schemas.openxmlformats.org/officeDocument/2006/relationships/hyperlink" Target="https://ec.europa.eu/health/documents/eudralex/vol-10_en" TargetMode="External"/><Relationship Id="rId38" Type="http://schemas.openxmlformats.org/officeDocument/2006/relationships/hyperlink" Target="https://health.ec.europa.eu/medicinal-products/eudralex/eudralex-volume-10_en" TargetMode="External"/><Relationship Id="rId20" Type="http://schemas.openxmlformats.org/officeDocument/2006/relationships/image" Target="media/image3.png"/><Relationship Id="rId4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tPU6ZDFB00Jrn59BOrJti+pSpQ==">AMUW2mUz4NSiRvf1WxHOzH+Jl5LkwGP5pxvYm4hyaEKhwaeka1jV3piOIwafFOqh8FnbNVF9JJYxowMVsfFco48543KTHlCW0Pd6EN26W0iMAcUU+CAOmys=</go:docsCustomData>
</go:gDocsCustomXmlDataStorage>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EFD8C4F-8C94-5640-93EE-1EA3313C3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16</Pages>
  <Words>9128</Words>
  <Characters>52035</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Lawless [RPG]</dc:creator>
  <cp:lastModifiedBy>Dylan Lawless</cp:lastModifiedBy>
  <cp:revision>85</cp:revision>
  <dcterms:created xsi:type="dcterms:W3CDTF">2022-08-25T11:28:00Z</dcterms:created>
  <dcterms:modified xsi:type="dcterms:W3CDTF">2022-10-10T15:51:00Z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zotero-version="6.0.15"&gt;&lt;session id="tO5Wn7KZ"/&gt;&lt;style id="http://www.zotero.org/styles/ieee" locale="en-US" hasBibliography="1" bibliographyStyleHasBeenSet="1"/&gt;&lt;prefs&gt;&lt;pref name="fieldType" value="Field"/&gt;&lt;/prefs&gt;&lt;/data&gt;</vt:lpwstr>
  </property>
</Properties>
</file>