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9A30" w14:textId="47A52B99" w:rsidR="008249FA" w:rsidRPr="00FB20BF" w:rsidRDefault="008249FA">
      <w:pPr>
        <w:rPr>
          <w:rFonts w:cstheme="minorHAnsi"/>
        </w:rPr>
      </w:pPr>
      <w:r w:rsidRPr="00FB20BF">
        <w:rPr>
          <w:rFonts w:cstheme="minorHAnsi"/>
        </w:rPr>
        <w:t xml:space="preserve">  </w:t>
      </w:r>
    </w:p>
    <w:sdt>
      <w:sdtPr>
        <w:rPr>
          <w:rFonts w:cstheme="minorHAnsi"/>
        </w:rPr>
        <w:id w:val="610479733"/>
        <w:docPartObj>
          <w:docPartGallery w:val="Cover Pages"/>
          <w:docPartUnique/>
        </w:docPartObj>
      </w:sdtPr>
      <w:sdtEndPr>
        <w:rPr>
          <w:rFonts w:eastAsiaTheme="majorEastAsia"/>
          <w:color w:val="2F5496" w:themeColor="accent1" w:themeShade="BF"/>
          <w:lang w:val="en-US"/>
        </w:rPr>
      </w:sdtEndPr>
      <w:sdtContent>
        <w:p w14:paraId="5B90A1D4" w14:textId="444F0A22" w:rsidR="00F07F33" w:rsidRPr="00FB20BF" w:rsidRDefault="00F07F33">
          <w:pPr>
            <w:rPr>
              <w:rFonts w:cstheme="minorHAnsi"/>
            </w:rPr>
          </w:pPr>
        </w:p>
        <w:p w14:paraId="569D2A8A" w14:textId="06FC3E82" w:rsidR="00F07F33" w:rsidRPr="00FB20BF" w:rsidRDefault="001B7EE1">
          <w:pPr>
            <w:rPr>
              <w:rFonts w:eastAsiaTheme="majorEastAsia" w:cstheme="minorHAnsi"/>
              <w:color w:val="2F5496" w:themeColor="accent1" w:themeShade="BF"/>
              <w:lang w:val="en-US"/>
            </w:rPr>
          </w:pPr>
          <w:r w:rsidRPr="00FB20BF">
            <w:rPr>
              <w:rFonts w:cstheme="minorHAnsi"/>
              <w:noProof/>
            </w:rPr>
            <mc:AlternateContent>
              <mc:Choice Requires="wps">
                <w:drawing>
                  <wp:anchor distT="0" distB="0" distL="182880" distR="182880" simplePos="0" relativeHeight="251660288" behindDoc="0" locked="0" layoutInCell="1" allowOverlap="1" wp14:anchorId="067879DB" wp14:editId="1CB2809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28185" cy="159956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8185" cy="159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7062E" w14:textId="3A7F537D" w:rsidR="0091360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81C17">
                                      <w:rPr>
                                        <w:color w:val="4472C4" w:themeColor="accent1"/>
                                        <w:sz w:val="72"/>
                                        <w:szCs w:val="72"/>
                                      </w:rPr>
                                      <w:t>Drug Development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314FC96" w14:textId="79A92E8F" w:rsidR="00913603" w:rsidRDefault="00DA7091">
                                    <w:pPr>
                                      <w:pStyle w:val="NoSpacing"/>
                                      <w:spacing w:before="40" w:after="40"/>
                                      <w:rPr>
                                        <w:caps/>
                                        <w:color w:val="1F4E79" w:themeColor="accent5" w:themeShade="80"/>
                                        <w:sz w:val="28"/>
                                        <w:szCs w:val="28"/>
                                      </w:rPr>
                                    </w:pPr>
                                    <w:r>
                                      <w:rPr>
                                        <w:caps/>
                                        <w:color w:val="1F4E79" w:themeColor="accent5" w:themeShade="80"/>
                                        <w:sz w:val="28"/>
                                        <w:szCs w:val="28"/>
                                      </w:rPr>
                                      <w:t>mAbs - Hertumig</w:t>
                                    </w:r>
                                  </w:p>
                                </w:sdtContent>
                              </w:sdt>
                              <w:p w14:paraId="472AD34B" w14:textId="0BB29DB6" w:rsidR="00913603" w:rsidRDefault="00A22D9D">
                                <w:pPr>
                                  <w:pStyle w:val="NoSpacing"/>
                                  <w:spacing w:before="80" w:after="40"/>
                                  <w:rPr>
                                    <w:caps/>
                                    <w:color w:val="5B9BD5" w:themeColor="accent5"/>
                                    <w:sz w:val="24"/>
                                    <w:szCs w:val="24"/>
                                  </w:rPr>
                                </w:pPr>
                                <w:r>
                                  <w:rPr>
                                    <w:caps/>
                                    <w:color w:val="5B9BD5" w:themeColor="accent5"/>
                                    <w:sz w:val="24"/>
                                    <w:szCs w:val="24"/>
                                  </w:rPr>
                                  <w:t>TeaM Number</w:t>
                                </w:r>
                                <w:r w:rsidR="00652A59">
                                  <w:rPr>
                                    <w:caps/>
                                    <w:color w:val="5B9BD5" w:themeColor="accent5"/>
                                    <w:sz w:val="24"/>
                                    <w:szCs w:val="24"/>
                                  </w:rPr>
                                  <w:t xml:space="preserve"> 3</w:t>
                                </w:r>
                              </w:p>
                              <w:p w14:paraId="50F8C50E" w14:textId="10489AC8" w:rsidR="00A22D9D" w:rsidRDefault="00A22D9D">
                                <w:pPr>
                                  <w:pStyle w:val="NoSpacing"/>
                                  <w:spacing w:before="80" w:after="40"/>
                                  <w:rPr>
                                    <w:caps/>
                                    <w:color w:val="5B9BD5" w:themeColor="accent5"/>
                                    <w:sz w:val="24"/>
                                    <w:szCs w:val="24"/>
                                  </w:rPr>
                                </w:pPr>
                                <w:r>
                                  <w:rPr>
                                    <w:caps/>
                                    <w:color w:val="5B9BD5" w:themeColor="accent5"/>
                                    <w:sz w:val="24"/>
                                    <w:szCs w:val="24"/>
                                  </w:rPr>
                                  <w:t xml:space="preserve">Date </w:t>
                                </w:r>
                                <w:r w:rsidR="008741EE">
                                  <w:rPr>
                                    <w:caps/>
                                    <w:color w:val="5B9BD5" w:themeColor="accent5"/>
                                    <w:sz w:val="24"/>
                                    <w:szCs w:val="24"/>
                                  </w:rPr>
                                  <w:t>15</w:t>
                                </w:r>
                                <w:r>
                                  <w:rPr>
                                    <w:caps/>
                                    <w:color w:val="5B9BD5" w:themeColor="accent5"/>
                                    <w:sz w:val="24"/>
                                    <w:szCs w:val="24"/>
                                  </w:rPr>
                                  <w:t>/</w:t>
                                </w:r>
                                <w:r w:rsidR="008741EE">
                                  <w:rPr>
                                    <w:caps/>
                                    <w:color w:val="5B9BD5" w:themeColor="accent5"/>
                                    <w:sz w:val="24"/>
                                    <w:szCs w:val="24"/>
                                  </w:rPr>
                                  <w:t>10</w:t>
                                </w:r>
                                <w:r>
                                  <w:rPr>
                                    <w:caps/>
                                    <w:color w:val="5B9BD5" w:themeColor="accent5"/>
                                    <w:sz w:val="24"/>
                                    <w:szCs w:val="24"/>
                                  </w:rPr>
                                  <w:t>/</w:t>
                                </w:r>
                                <w:r w:rsidR="008741EE">
                                  <w:rPr>
                                    <w:caps/>
                                    <w:color w:val="5B9BD5" w:themeColor="accent5"/>
                                    <w:sz w:val="24"/>
                                    <w:szCs w:val="24"/>
                                  </w:rPr>
                                  <w:t>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67879DB" id="_x0000_t202" coordsize="21600,21600" o:spt="202" path="m,l,21600r21600,l21600,xe">
                    <v:stroke joinstyle="miter"/>
                    <v:path gradientshapeok="t" o:connecttype="rect"/>
                  </v:shapetype>
                  <v:shape id="Text Box 2" o:spid="_x0000_s1026" type="#_x0000_t202" style="position:absolute;margin-left:0;margin-top:0;width:356.55pt;height:125.9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" filled="f" stroked="f" strokeweight=".5pt">
                    <v:textbox style="mso-fit-shape-to-text:t" inset="0,0,0,0">
                      <w:txbxContent>
                        <w:p w14:paraId="6BD7062E" w14:textId="3A7F537D" w:rsidR="0091360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81C17">
                                <w:rPr>
                                  <w:color w:val="4472C4" w:themeColor="accent1"/>
                                  <w:sz w:val="72"/>
                                  <w:szCs w:val="72"/>
                                </w:rPr>
                                <w:t>Drug Development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314FC96" w14:textId="79A92E8F" w:rsidR="00913603" w:rsidRDefault="00DA7091">
                              <w:pPr>
                                <w:pStyle w:val="NoSpacing"/>
                                <w:spacing w:before="40" w:after="40"/>
                                <w:rPr>
                                  <w:caps/>
                                  <w:color w:val="1F4E79" w:themeColor="accent5" w:themeShade="80"/>
                                  <w:sz w:val="28"/>
                                  <w:szCs w:val="28"/>
                                </w:rPr>
                              </w:pPr>
                              <w:r>
                                <w:rPr>
                                  <w:caps/>
                                  <w:color w:val="1F4E79" w:themeColor="accent5" w:themeShade="80"/>
                                  <w:sz w:val="28"/>
                                  <w:szCs w:val="28"/>
                                </w:rPr>
                                <w:t>mAbs - Hertumig</w:t>
                              </w:r>
                            </w:p>
                          </w:sdtContent>
                        </w:sdt>
                        <w:p w14:paraId="472AD34B" w14:textId="0BB29DB6" w:rsidR="00913603" w:rsidRDefault="00A22D9D">
                          <w:pPr>
                            <w:pStyle w:val="NoSpacing"/>
                            <w:spacing w:before="80" w:after="40"/>
                            <w:rPr>
                              <w:caps/>
                              <w:color w:val="5B9BD5" w:themeColor="accent5"/>
                              <w:sz w:val="24"/>
                              <w:szCs w:val="24"/>
                            </w:rPr>
                          </w:pPr>
                          <w:r>
                            <w:rPr>
                              <w:caps/>
                              <w:color w:val="5B9BD5" w:themeColor="accent5"/>
                              <w:sz w:val="24"/>
                              <w:szCs w:val="24"/>
                            </w:rPr>
                            <w:t>TeaM Number</w:t>
                          </w:r>
                          <w:r w:rsidR="00652A59">
                            <w:rPr>
                              <w:caps/>
                              <w:color w:val="5B9BD5" w:themeColor="accent5"/>
                              <w:sz w:val="24"/>
                              <w:szCs w:val="24"/>
                            </w:rPr>
                            <w:t xml:space="preserve"> 3</w:t>
                          </w:r>
                        </w:p>
                        <w:p w14:paraId="50F8C50E" w14:textId="10489AC8" w:rsidR="00A22D9D" w:rsidRDefault="00A22D9D">
                          <w:pPr>
                            <w:pStyle w:val="NoSpacing"/>
                            <w:spacing w:before="80" w:after="40"/>
                            <w:rPr>
                              <w:caps/>
                              <w:color w:val="5B9BD5" w:themeColor="accent5"/>
                              <w:sz w:val="24"/>
                              <w:szCs w:val="24"/>
                            </w:rPr>
                          </w:pPr>
                          <w:r>
                            <w:rPr>
                              <w:caps/>
                              <w:color w:val="5B9BD5" w:themeColor="accent5"/>
                              <w:sz w:val="24"/>
                              <w:szCs w:val="24"/>
                            </w:rPr>
                            <w:t xml:space="preserve">Date </w:t>
                          </w:r>
                          <w:r w:rsidR="008741EE">
                            <w:rPr>
                              <w:caps/>
                              <w:color w:val="5B9BD5" w:themeColor="accent5"/>
                              <w:sz w:val="24"/>
                              <w:szCs w:val="24"/>
                            </w:rPr>
                            <w:t>15</w:t>
                          </w:r>
                          <w:r>
                            <w:rPr>
                              <w:caps/>
                              <w:color w:val="5B9BD5" w:themeColor="accent5"/>
                              <w:sz w:val="24"/>
                              <w:szCs w:val="24"/>
                            </w:rPr>
                            <w:t>/</w:t>
                          </w:r>
                          <w:r w:rsidR="008741EE">
                            <w:rPr>
                              <w:caps/>
                              <w:color w:val="5B9BD5" w:themeColor="accent5"/>
                              <w:sz w:val="24"/>
                              <w:szCs w:val="24"/>
                            </w:rPr>
                            <w:t>10</w:t>
                          </w:r>
                          <w:r>
                            <w:rPr>
                              <w:caps/>
                              <w:color w:val="5B9BD5" w:themeColor="accent5"/>
                              <w:sz w:val="24"/>
                              <w:szCs w:val="24"/>
                            </w:rPr>
                            <w:t>/</w:t>
                          </w:r>
                          <w:r w:rsidR="008741EE">
                            <w:rPr>
                              <w:caps/>
                              <w:color w:val="5B9BD5" w:themeColor="accent5"/>
                              <w:sz w:val="24"/>
                              <w:szCs w:val="24"/>
                            </w:rPr>
                            <w:t>2022</w:t>
                          </w:r>
                        </w:p>
                      </w:txbxContent>
                    </v:textbox>
                    <w10:wrap type="square" anchorx="margin" anchory="page"/>
                  </v:shape>
                </w:pict>
              </mc:Fallback>
            </mc:AlternateContent>
          </w:r>
          <w:r w:rsidRPr="00FB20BF">
            <w:rPr>
              <w:rFonts w:cstheme="minorHAnsi"/>
              <w:noProof/>
            </w:rPr>
            <mc:AlternateContent>
              <mc:Choice Requires="wps">
                <w:drawing>
                  <wp:anchor distT="0" distB="0" distL="114300" distR="114300" simplePos="0" relativeHeight="251659264" behindDoc="0" locked="0" layoutInCell="1" allowOverlap="1" wp14:anchorId="5FC93E08" wp14:editId="5E89F4A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7-18T00:00:00Z">
                                    <w:dateFormat w:val="yyyy"/>
                                    <w:lid w:val="en-US"/>
                                    <w:storeMappedDataAs w:val="dateTime"/>
                                    <w:calendar w:val="gregorian"/>
                                  </w:date>
                                </w:sdtPr>
                                <w:sdtContent>
                                  <w:p w14:paraId="5D7681FA" w14:textId="3A8BD7E3" w:rsidR="00913603" w:rsidRDefault="008F2311">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FC93E08" id="Rectangle 1" o:spid="_x0000_s1027" style="position:absolute;margin-left:-5.95pt;margin-top:0;width:45.25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7-18T00:00:00Z">
                              <w:dateFormat w:val="yyyy"/>
                              <w:lid w:val="en-US"/>
                              <w:storeMappedDataAs w:val="dateTime"/>
                              <w:calendar w:val="gregorian"/>
                            </w:date>
                          </w:sdtPr>
                          <w:sdtContent>
                            <w:p w14:paraId="5D7681FA" w14:textId="3A8BD7E3" w:rsidR="00913603" w:rsidRDefault="008F2311">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F07F33" w:rsidRPr="00FB20BF">
            <w:rPr>
              <w:rFonts w:eastAsiaTheme="majorEastAsia" w:cstheme="minorHAnsi"/>
              <w:color w:val="2F5496" w:themeColor="accent1" w:themeShade="BF"/>
              <w:lang w:val="en-US"/>
            </w:rPr>
            <w:br w:type="page"/>
          </w:r>
        </w:p>
      </w:sdtContent>
    </w:sdt>
    <w:sdt>
      <w:sdtPr>
        <w:rPr>
          <w:rFonts w:asciiTheme="minorHAnsi" w:eastAsiaTheme="minorHAnsi" w:hAnsiTheme="minorHAnsi" w:cstheme="minorHAnsi"/>
          <w:color w:val="auto"/>
          <w:sz w:val="22"/>
          <w:szCs w:val="22"/>
          <w:lang w:val="en-GB"/>
        </w:rPr>
        <w:id w:val="74946410"/>
        <w:docPartObj>
          <w:docPartGallery w:val="Table of Contents"/>
          <w:docPartUnique/>
        </w:docPartObj>
      </w:sdtPr>
      <w:sdtEndPr>
        <w:rPr>
          <w:b/>
          <w:bCs/>
          <w:noProof/>
        </w:rPr>
      </w:sdtEndPr>
      <w:sdtContent>
        <w:p w14:paraId="6675D8E1" w14:textId="77777777" w:rsidR="00F07F33" w:rsidRPr="00FB20BF" w:rsidRDefault="00F07F33">
          <w:pPr>
            <w:pStyle w:val="TOCHeading"/>
            <w:rPr>
              <w:rFonts w:asciiTheme="minorHAnsi" w:hAnsiTheme="minorHAnsi" w:cstheme="minorHAnsi"/>
              <w:sz w:val="22"/>
              <w:szCs w:val="22"/>
            </w:rPr>
          </w:pPr>
          <w:r w:rsidRPr="00FB20BF">
            <w:rPr>
              <w:rFonts w:asciiTheme="minorHAnsi" w:hAnsiTheme="minorHAnsi" w:cstheme="minorHAnsi"/>
              <w:sz w:val="22"/>
              <w:szCs w:val="22"/>
            </w:rPr>
            <w:t>Table of Contents</w:t>
          </w:r>
        </w:p>
        <w:p w14:paraId="18E5D90C" w14:textId="302C4A58" w:rsidR="005F0570" w:rsidRDefault="00F07F33">
          <w:pPr>
            <w:pStyle w:val="TOC1"/>
            <w:tabs>
              <w:tab w:val="left" w:pos="440"/>
              <w:tab w:val="right" w:leader="dot" w:pos="9016"/>
            </w:tabs>
            <w:rPr>
              <w:rFonts w:eastAsiaTheme="minorEastAsia"/>
              <w:noProof/>
              <w:lang w:eastAsia="en-GB"/>
            </w:rPr>
          </w:pPr>
          <w:r w:rsidRPr="00FB20BF">
            <w:rPr>
              <w:rFonts w:cstheme="minorHAnsi"/>
            </w:rPr>
            <w:fldChar w:fldCharType="begin"/>
          </w:r>
          <w:r w:rsidRPr="00FB20BF">
            <w:rPr>
              <w:rFonts w:cstheme="minorHAnsi"/>
            </w:rPr>
            <w:instrText xml:space="preserve"> TOC \o "1-3" \h \z \u </w:instrText>
          </w:r>
          <w:r w:rsidRPr="00FB20BF">
            <w:rPr>
              <w:rFonts w:cstheme="minorHAnsi"/>
            </w:rPr>
            <w:fldChar w:fldCharType="separate"/>
          </w:r>
          <w:hyperlink w:anchor="_Toc116766269" w:history="1">
            <w:r w:rsidR="005F0570" w:rsidRPr="00644A5D">
              <w:rPr>
                <w:rStyle w:val="Hyperlink"/>
                <w:rFonts w:cstheme="minorHAnsi"/>
                <w:noProof/>
              </w:rPr>
              <w:t>1.</w:t>
            </w:r>
            <w:r w:rsidR="005F0570">
              <w:rPr>
                <w:rFonts w:eastAsiaTheme="minorEastAsia"/>
                <w:noProof/>
                <w:lang w:eastAsia="en-GB"/>
              </w:rPr>
              <w:tab/>
            </w:r>
            <w:r w:rsidR="005F0570" w:rsidRPr="00644A5D">
              <w:rPr>
                <w:rStyle w:val="Hyperlink"/>
                <w:rFonts w:cstheme="minorHAnsi"/>
                <w:noProof/>
              </w:rPr>
              <w:t>Executive summary</w:t>
            </w:r>
            <w:r w:rsidR="005F0570">
              <w:rPr>
                <w:noProof/>
                <w:webHidden/>
              </w:rPr>
              <w:tab/>
            </w:r>
            <w:r w:rsidR="005F0570">
              <w:rPr>
                <w:noProof/>
                <w:webHidden/>
              </w:rPr>
              <w:fldChar w:fldCharType="begin"/>
            </w:r>
            <w:r w:rsidR="005F0570">
              <w:rPr>
                <w:noProof/>
                <w:webHidden/>
              </w:rPr>
              <w:instrText xml:space="preserve"> PAGEREF _Toc116766269 \h </w:instrText>
            </w:r>
            <w:r w:rsidR="005F0570">
              <w:rPr>
                <w:noProof/>
                <w:webHidden/>
              </w:rPr>
            </w:r>
            <w:r w:rsidR="005F0570">
              <w:rPr>
                <w:noProof/>
                <w:webHidden/>
              </w:rPr>
              <w:fldChar w:fldCharType="separate"/>
            </w:r>
            <w:r w:rsidR="009304EF">
              <w:rPr>
                <w:noProof/>
                <w:webHidden/>
              </w:rPr>
              <w:t>2</w:t>
            </w:r>
            <w:r w:rsidR="005F0570">
              <w:rPr>
                <w:noProof/>
                <w:webHidden/>
              </w:rPr>
              <w:fldChar w:fldCharType="end"/>
            </w:r>
          </w:hyperlink>
        </w:p>
        <w:p w14:paraId="44C4694A" w14:textId="0C08F9C1" w:rsidR="005F0570" w:rsidRDefault="005F0570">
          <w:pPr>
            <w:pStyle w:val="TOC1"/>
            <w:tabs>
              <w:tab w:val="left" w:pos="440"/>
              <w:tab w:val="right" w:leader="dot" w:pos="9016"/>
            </w:tabs>
            <w:rPr>
              <w:rFonts w:eastAsiaTheme="minorEastAsia"/>
              <w:noProof/>
              <w:lang w:eastAsia="en-GB"/>
            </w:rPr>
          </w:pPr>
          <w:hyperlink w:anchor="_Toc116766270" w:history="1">
            <w:r w:rsidRPr="00644A5D">
              <w:rPr>
                <w:rStyle w:val="Hyperlink"/>
                <w:rFonts w:cstheme="minorHAnsi"/>
                <w:noProof/>
              </w:rPr>
              <w:t>2.</w:t>
            </w:r>
            <w:r>
              <w:rPr>
                <w:rFonts w:eastAsiaTheme="minorEastAsia"/>
                <w:noProof/>
                <w:lang w:eastAsia="en-GB"/>
              </w:rPr>
              <w:tab/>
            </w:r>
            <w:r w:rsidRPr="00644A5D">
              <w:rPr>
                <w:rStyle w:val="Hyperlink"/>
                <w:rFonts w:cstheme="minorHAnsi"/>
                <w:noProof/>
              </w:rPr>
              <w:t>Introduction</w:t>
            </w:r>
            <w:r>
              <w:rPr>
                <w:noProof/>
                <w:webHidden/>
              </w:rPr>
              <w:tab/>
            </w:r>
            <w:r>
              <w:rPr>
                <w:noProof/>
                <w:webHidden/>
              </w:rPr>
              <w:fldChar w:fldCharType="begin"/>
            </w:r>
            <w:r>
              <w:rPr>
                <w:noProof/>
                <w:webHidden/>
              </w:rPr>
              <w:instrText xml:space="preserve"> PAGEREF _Toc116766270 \h </w:instrText>
            </w:r>
            <w:r>
              <w:rPr>
                <w:noProof/>
                <w:webHidden/>
              </w:rPr>
            </w:r>
            <w:r>
              <w:rPr>
                <w:noProof/>
                <w:webHidden/>
              </w:rPr>
              <w:fldChar w:fldCharType="separate"/>
            </w:r>
            <w:r w:rsidR="009304EF">
              <w:rPr>
                <w:noProof/>
                <w:webHidden/>
              </w:rPr>
              <w:t>3</w:t>
            </w:r>
            <w:r>
              <w:rPr>
                <w:noProof/>
                <w:webHidden/>
              </w:rPr>
              <w:fldChar w:fldCharType="end"/>
            </w:r>
          </w:hyperlink>
        </w:p>
        <w:p w14:paraId="3E08241C" w14:textId="01F32890" w:rsidR="005F0570" w:rsidRDefault="005F0570">
          <w:pPr>
            <w:pStyle w:val="TOC1"/>
            <w:tabs>
              <w:tab w:val="left" w:pos="440"/>
              <w:tab w:val="right" w:leader="dot" w:pos="9016"/>
            </w:tabs>
            <w:rPr>
              <w:rFonts w:eastAsiaTheme="minorEastAsia"/>
              <w:noProof/>
              <w:lang w:eastAsia="en-GB"/>
            </w:rPr>
          </w:pPr>
          <w:hyperlink w:anchor="_Toc116766271" w:history="1">
            <w:r w:rsidRPr="00644A5D">
              <w:rPr>
                <w:rStyle w:val="Hyperlink"/>
                <w:rFonts w:cstheme="minorHAnsi"/>
                <w:noProof/>
              </w:rPr>
              <w:t>3.</w:t>
            </w:r>
            <w:r>
              <w:rPr>
                <w:rFonts w:eastAsiaTheme="minorEastAsia"/>
                <w:noProof/>
                <w:lang w:eastAsia="en-GB"/>
              </w:rPr>
              <w:tab/>
            </w:r>
            <w:r w:rsidRPr="00644A5D">
              <w:rPr>
                <w:rStyle w:val="Hyperlink"/>
                <w:rFonts w:cstheme="minorHAnsi"/>
                <w:noProof/>
              </w:rPr>
              <w:t>Development Plan:</w:t>
            </w:r>
            <w:r>
              <w:rPr>
                <w:noProof/>
                <w:webHidden/>
              </w:rPr>
              <w:tab/>
            </w:r>
            <w:r>
              <w:rPr>
                <w:noProof/>
                <w:webHidden/>
              </w:rPr>
              <w:fldChar w:fldCharType="begin"/>
            </w:r>
            <w:r>
              <w:rPr>
                <w:noProof/>
                <w:webHidden/>
              </w:rPr>
              <w:instrText xml:space="preserve"> PAGEREF _Toc116766271 \h </w:instrText>
            </w:r>
            <w:r>
              <w:rPr>
                <w:noProof/>
                <w:webHidden/>
              </w:rPr>
            </w:r>
            <w:r>
              <w:rPr>
                <w:noProof/>
                <w:webHidden/>
              </w:rPr>
              <w:fldChar w:fldCharType="separate"/>
            </w:r>
            <w:r w:rsidR="009304EF">
              <w:rPr>
                <w:noProof/>
                <w:webHidden/>
              </w:rPr>
              <w:t>5</w:t>
            </w:r>
            <w:r>
              <w:rPr>
                <w:noProof/>
                <w:webHidden/>
              </w:rPr>
              <w:fldChar w:fldCharType="end"/>
            </w:r>
          </w:hyperlink>
        </w:p>
        <w:p w14:paraId="595E130C" w14:textId="73D47073" w:rsidR="005F0570" w:rsidRDefault="005F0570">
          <w:pPr>
            <w:pStyle w:val="TOC2"/>
            <w:tabs>
              <w:tab w:val="right" w:leader="dot" w:pos="9016"/>
            </w:tabs>
            <w:rPr>
              <w:rFonts w:eastAsiaTheme="minorEastAsia"/>
              <w:noProof/>
              <w:lang w:eastAsia="en-GB"/>
            </w:rPr>
          </w:pPr>
          <w:hyperlink w:anchor="_Toc116766272" w:history="1">
            <w:r w:rsidRPr="00644A5D">
              <w:rPr>
                <w:rStyle w:val="Hyperlink"/>
                <w:rFonts w:cstheme="minorHAnsi"/>
                <w:noProof/>
              </w:rPr>
              <w:t>Part A. Preclinical Plan</w:t>
            </w:r>
            <w:r>
              <w:rPr>
                <w:noProof/>
                <w:webHidden/>
              </w:rPr>
              <w:tab/>
            </w:r>
            <w:r>
              <w:rPr>
                <w:noProof/>
                <w:webHidden/>
              </w:rPr>
              <w:fldChar w:fldCharType="begin"/>
            </w:r>
            <w:r>
              <w:rPr>
                <w:noProof/>
                <w:webHidden/>
              </w:rPr>
              <w:instrText xml:space="preserve"> PAGEREF _Toc116766272 \h </w:instrText>
            </w:r>
            <w:r>
              <w:rPr>
                <w:noProof/>
                <w:webHidden/>
              </w:rPr>
            </w:r>
            <w:r>
              <w:rPr>
                <w:noProof/>
                <w:webHidden/>
              </w:rPr>
              <w:fldChar w:fldCharType="separate"/>
            </w:r>
            <w:r w:rsidR="009304EF">
              <w:rPr>
                <w:noProof/>
                <w:webHidden/>
              </w:rPr>
              <w:t>5</w:t>
            </w:r>
            <w:r>
              <w:rPr>
                <w:noProof/>
                <w:webHidden/>
              </w:rPr>
              <w:fldChar w:fldCharType="end"/>
            </w:r>
          </w:hyperlink>
        </w:p>
        <w:p w14:paraId="090D9B24" w14:textId="46809B24" w:rsidR="005F0570" w:rsidRDefault="005F0570">
          <w:pPr>
            <w:pStyle w:val="TOC2"/>
            <w:tabs>
              <w:tab w:val="right" w:leader="dot" w:pos="9016"/>
            </w:tabs>
            <w:rPr>
              <w:rFonts w:eastAsiaTheme="minorEastAsia"/>
              <w:noProof/>
              <w:lang w:eastAsia="en-GB"/>
            </w:rPr>
          </w:pPr>
          <w:hyperlink w:anchor="_Toc116766273" w:history="1">
            <w:r w:rsidRPr="00644A5D">
              <w:rPr>
                <w:rStyle w:val="Hyperlink"/>
                <w:rFonts w:cstheme="minorHAnsi"/>
                <w:noProof/>
              </w:rPr>
              <w:t>Exploratory Clinical Trials</w:t>
            </w:r>
            <w:r>
              <w:rPr>
                <w:noProof/>
                <w:webHidden/>
              </w:rPr>
              <w:tab/>
            </w:r>
            <w:r>
              <w:rPr>
                <w:noProof/>
                <w:webHidden/>
              </w:rPr>
              <w:fldChar w:fldCharType="begin"/>
            </w:r>
            <w:r>
              <w:rPr>
                <w:noProof/>
                <w:webHidden/>
              </w:rPr>
              <w:instrText xml:space="preserve"> PAGEREF _Toc116766273 \h </w:instrText>
            </w:r>
            <w:r>
              <w:rPr>
                <w:noProof/>
                <w:webHidden/>
              </w:rPr>
            </w:r>
            <w:r>
              <w:rPr>
                <w:noProof/>
                <w:webHidden/>
              </w:rPr>
              <w:fldChar w:fldCharType="separate"/>
            </w:r>
            <w:r w:rsidR="009304EF">
              <w:rPr>
                <w:noProof/>
                <w:webHidden/>
              </w:rPr>
              <w:t>7</w:t>
            </w:r>
            <w:r>
              <w:rPr>
                <w:noProof/>
                <w:webHidden/>
              </w:rPr>
              <w:fldChar w:fldCharType="end"/>
            </w:r>
          </w:hyperlink>
        </w:p>
        <w:p w14:paraId="6A055724" w14:textId="17846C85" w:rsidR="005F0570" w:rsidRDefault="005F0570">
          <w:pPr>
            <w:pStyle w:val="TOC2"/>
            <w:tabs>
              <w:tab w:val="right" w:leader="dot" w:pos="9016"/>
            </w:tabs>
            <w:rPr>
              <w:rFonts w:eastAsiaTheme="minorEastAsia"/>
              <w:noProof/>
              <w:lang w:eastAsia="en-GB"/>
            </w:rPr>
          </w:pPr>
          <w:hyperlink w:anchor="_Toc116766274" w:history="1">
            <w:r w:rsidRPr="00644A5D">
              <w:rPr>
                <w:rStyle w:val="Hyperlink"/>
                <w:rFonts w:cstheme="minorHAnsi"/>
                <w:noProof/>
              </w:rPr>
              <w:t>Local Tolerance Clinical Trials</w:t>
            </w:r>
            <w:r>
              <w:rPr>
                <w:noProof/>
                <w:webHidden/>
              </w:rPr>
              <w:tab/>
            </w:r>
            <w:r>
              <w:rPr>
                <w:noProof/>
                <w:webHidden/>
              </w:rPr>
              <w:fldChar w:fldCharType="begin"/>
            </w:r>
            <w:r>
              <w:rPr>
                <w:noProof/>
                <w:webHidden/>
              </w:rPr>
              <w:instrText xml:space="preserve"> PAGEREF _Toc116766274 \h </w:instrText>
            </w:r>
            <w:r>
              <w:rPr>
                <w:noProof/>
                <w:webHidden/>
              </w:rPr>
            </w:r>
            <w:r>
              <w:rPr>
                <w:noProof/>
                <w:webHidden/>
              </w:rPr>
              <w:fldChar w:fldCharType="separate"/>
            </w:r>
            <w:r w:rsidR="009304EF">
              <w:rPr>
                <w:noProof/>
                <w:webHidden/>
              </w:rPr>
              <w:t>7</w:t>
            </w:r>
            <w:r>
              <w:rPr>
                <w:noProof/>
                <w:webHidden/>
              </w:rPr>
              <w:fldChar w:fldCharType="end"/>
            </w:r>
          </w:hyperlink>
        </w:p>
        <w:p w14:paraId="69ED0094" w14:textId="209738C5" w:rsidR="005F0570" w:rsidRDefault="005F0570">
          <w:pPr>
            <w:pStyle w:val="TOC2"/>
            <w:tabs>
              <w:tab w:val="right" w:leader="dot" w:pos="9016"/>
            </w:tabs>
            <w:rPr>
              <w:rFonts w:eastAsiaTheme="minorEastAsia"/>
              <w:noProof/>
              <w:lang w:eastAsia="en-GB"/>
            </w:rPr>
          </w:pPr>
          <w:hyperlink w:anchor="_Toc116766275" w:history="1">
            <w:r w:rsidRPr="00644A5D">
              <w:rPr>
                <w:rStyle w:val="Hyperlink"/>
                <w:rFonts w:cstheme="minorHAnsi"/>
                <w:noProof/>
              </w:rPr>
              <w:t>Part B. Clinical Plan</w:t>
            </w:r>
            <w:r>
              <w:rPr>
                <w:noProof/>
                <w:webHidden/>
              </w:rPr>
              <w:tab/>
            </w:r>
            <w:r>
              <w:rPr>
                <w:noProof/>
                <w:webHidden/>
              </w:rPr>
              <w:fldChar w:fldCharType="begin"/>
            </w:r>
            <w:r>
              <w:rPr>
                <w:noProof/>
                <w:webHidden/>
              </w:rPr>
              <w:instrText xml:space="preserve"> PAGEREF _Toc116766275 \h </w:instrText>
            </w:r>
            <w:r>
              <w:rPr>
                <w:noProof/>
                <w:webHidden/>
              </w:rPr>
            </w:r>
            <w:r>
              <w:rPr>
                <w:noProof/>
                <w:webHidden/>
              </w:rPr>
              <w:fldChar w:fldCharType="separate"/>
            </w:r>
            <w:r w:rsidR="009304EF">
              <w:rPr>
                <w:noProof/>
                <w:webHidden/>
              </w:rPr>
              <w:t>7</w:t>
            </w:r>
            <w:r>
              <w:rPr>
                <w:noProof/>
                <w:webHidden/>
              </w:rPr>
              <w:fldChar w:fldCharType="end"/>
            </w:r>
          </w:hyperlink>
        </w:p>
        <w:p w14:paraId="443C1B50" w14:textId="4152C024" w:rsidR="005F0570" w:rsidRDefault="005F0570">
          <w:pPr>
            <w:pStyle w:val="TOC2"/>
            <w:tabs>
              <w:tab w:val="right" w:leader="dot" w:pos="9016"/>
            </w:tabs>
            <w:rPr>
              <w:rFonts w:eastAsiaTheme="minorEastAsia"/>
              <w:noProof/>
              <w:lang w:eastAsia="en-GB"/>
            </w:rPr>
          </w:pPr>
          <w:hyperlink w:anchor="_Toc116766276" w:history="1">
            <w:r w:rsidRPr="00644A5D">
              <w:rPr>
                <w:rStyle w:val="Hyperlink"/>
                <w:rFonts w:cstheme="minorHAnsi"/>
                <w:noProof/>
              </w:rPr>
              <w:t>Part C. Chemistry, Manufacturing and Controls</w:t>
            </w:r>
            <w:r>
              <w:rPr>
                <w:noProof/>
                <w:webHidden/>
              </w:rPr>
              <w:tab/>
            </w:r>
            <w:r>
              <w:rPr>
                <w:noProof/>
                <w:webHidden/>
              </w:rPr>
              <w:fldChar w:fldCharType="begin"/>
            </w:r>
            <w:r>
              <w:rPr>
                <w:noProof/>
                <w:webHidden/>
              </w:rPr>
              <w:instrText xml:space="preserve"> PAGEREF _Toc116766276 \h </w:instrText>
            </w:r>
            <w:r>
              <w:rPr>
                <w:noProof/>
                <w:webHidden/>
              </w:rPr>
            </w:r>
            <w:r>
              <w:rPr>
                <w:noProof/>
                <w:webHidden/>
              </w:rPr>
              <w:fldChar w:fldCharType="separate"/>
            </w:r>
            <w:r w:rsidR="009304EF">
              <w:rPr>
                <w:noProof/>
                <w:webHidden/>
              </w:rPr>
              <w:t>8</w:t>
            </w:r>
            <w:r>
              <w:rPr>
                <w:noProof/>
                <w:webHidden/>
              </w:rPr>
              <w:fldChar w:fldCharType="end"/>
            </w:r>
          </w:hyperlink>
        </w:p>
        <w:p w14:paraId="50F094F8" w14:textId="490D9FE9" w:rsidR="005F0570" w:rsidRDefault="005F0570">
          <w:pPr>
            <w:pStyle w:val="TOC1"/>
            <w:tabs>
              <w:tab w:val="left" w:pos="440"/>
              <w:tab w:val="right" w:leader="dot" w:pos="9016"/>
            </w:tabs>
            <w:rPr>
              <w:rFonts w:eastAsiaTheme="minorEastAsia"/>
              <w:noProof/>
              <w:lang w:eastAsia="en-GB"/>
            </w:rPr>
          </w:pPr>
          <w:hyperlink w:anchor="_Toc116766277" w:history="1">
            <w:r w:rsidRPr="00644A5D">
              <w:rPr>
                <w:rStyle w:val="Hyperlink"/>
                <w:rFonts w:cstheme="minorHAnsi"/>
                <w:noProof/>
              </w:rPr>
              <w:t>4.</w:t>
            </w:r>
            <w:r>
              <w:rPr>
                <w:rFonts w:eastAsiaTheme="minorEastAsia"/>
                <w:noProof/>
                <w:lang w:eastAsia="en-GB"/>
              </w:rPr>
              <w:tab/>
            </w:r>
            <w:r w:rsidRPr="00644A5D">
              <w:rPr>
                <w:rStyle w:val="Hyperlink"/>
                <w:rFonts w:cstheme="minorHAnsi"/>
                <w:noProof/>
              </w:rPr>
              <w:t>References</w:t>
            </w:r>
            <w:r>
              <w:rPr>
                <w:noProof/>
                <w:webHidden/>
              </w:rPr>
              <w:tab/>
            </w:r>
            <w:r>
              <w:rPr>
                <w:noProof/>
                <w:webHidden/>
              </w:rPr>
              <w:fldChar w:fldCharType="begin"/>
            </w:r>
            <w:r>
              <w:rPr>
                <w:noProof/>
                <w:webHidden/>
              </w:rPr>
              <w:instrText xml:space="preserve"> PAGEREF _Toc116766277 \h </w:instrText>
            </w:r>
            <w:r>
              <w:rPr>
                <w:noProof/>
                <w:webHidden/>
              </w:rPr>
            </w:r>
            <w:r>
              <w:rPr>
                <w:noProof/>
                <w:webHidden/>
              </w:rPr>
              <w:fldChar w:fldCharType="separate"/>
            </w:r>
            <w:r w:rsidR="009304EF">
              <w:rPr>
                <w:noProof/>
                <w:webHidden/>
              </w:rPr>
              <w:t>9</w:t>
            </w:r>
            <w:r>
              <w:rPr>
                <w:noProof/>
                <w:webHidden/>
              </w:rPr>
              <w:fldChar w:fldCharType="end"/>
            </w:r>
          </w:hyperlink>
        </w:p>
        <w:p w14:paraId="7D81F675" w14:textId="388FBDD1" w:rsidR="00F07F33" w:rsidRPr="00FB20BF" w:rsidRDefault="00F07F33">
          <w:pPr>
            <w:rPr>
              <w:rFonts w:cstheme="minorHAnsi"/>
            </w:rPr>
          </w:pPr>
          <w:r w:rsidRPr="00FB20BF">
            <w:rPr>
              <w:rFonts w:cstheme="minorHAnsi"/>
              <w:b/>
              <w:bCs/>
              <w:noProof/>
            </w:rPr>
            <w:fldChar w:fldCharType="end"/>
          </w:r>
        </w:p>
      </w:sdtContent>
    </w:sdt>
    <w:p w14:paraId="7DD8D47F" w14:textId="77777777" w:rsidR="003D29A2" w:rsidRPr="00FB20BF" w:rsidRDefault="003D29A2">
      <w:pPr>
        <w:rPr>
          <w:rFonts w:cstheme="minorHAnsi"/>
        </w:rPr>
      </w:pPr>
    </w:p>
    <w:p w14:paraId="025CFEDB" w14:textId="77777777" w:rsidR="00F07F33" w:rsidRPr="00FB20BF" w:rsidRDefault="00F07F33">
      <w:pPr>
        <w:rPr>
          <w:rFonts w:cstheme="minorHAnsi"/>
        </w:rPr>
      </w:pPr>
    </w:p>
    <w:p w14:paraId="44A9CEA2" w14:textId="77777777" w:rsidR="00F07F33" w:rsidRPr="00FB20BF" w:rsidRDefault="00F07F33">
      <w:pPr>
        <w:rPr>
          <w:rFonts w:cstheme="minorHAnsi"/>
        </w:rPr>
      </w:pPr>
    </w:p>
    <w:p w14:paraId="4168E3BC" w14:textId="77777777" w:rsidR="00F07F33" w:rsidRPr="00FB20BF" w:rsidRDefault="00F07F33">
      <w:pPr>
        <w:rPr>
          <w:rFonts w:cstheme="minorHAnsi"/>
        </w:rPr>
      </w:pPr>
    </w:p>
    <w:p w14:paraId="6FF58DB1" w14:textId="77777777" w:rsidR="00F07F33" w:rsidRPr="00FB20BF" w:rsidRDefault="00F07F33">
      <w:pPr>
        <w:rPr>
          <w:rFonts w:cstheme="minorHAnsi"/>
        </w:rPr>
      </w:pPr>
    </w:p>
    <w:p w14:paraId="3A49BCCE" w14:textId="77777777" w:rsidR="00F07F33" w:rsidRPr="00FB20BF" w:rsidRDefault="00F07F33">
      <w:pPr>
        <w:rPr>
          <w:rFonts w:cstheme="minorHAnsi"/>
        </w:rPr>
      </w:pPr>
    </w:p>
    <w:p w14:paraId="39DD0E44" w14:textId="77777777" w:rsidR="00F07F33" w:rsidRPr="00FB20BF" w:rsidRDefault="00F07F33">
      <w:pPr>
        <w:rPr>
          <w:rFonts w:cstheme="minorHAnsi"/>
        </w:rPr>
      </w:pPr>
    </w:p>
    <w:p w14:paraId="707921F7" w14:textId="77777777" w:rsidR="00F07F33" w:rsidRPr="00FB20BF" w:rsidRDefault="00F07F33">
      <w:pPr>
        <w:rPr>
          <w:rFonts w:cstheme="minorHAnsi"/>
        </w:rPr>
      </w:pPr>
    </w:p>
    <w:p w14:paraId="7218E3B5" w14:textId="77777777" w:rsidR="00F07F33" w:rsidRPr="00FB20BF" w:rsidRDefault="00F07F33">
      <w:pPr>
        <w:rPr>
          <w:rFonts w:cstheme="minorHAnsi"/>
        </w:rPr>
      </w:pPr>
    </w:p>
    <w:p w14:paraId="3FE49502" w14:textId="77777777" w:rsidR="00F07F33" w:rsidRPr="00FB20BF" w:rsidRDefault="00F07F33">
      <w:pPr>
        <w:rPr>
          <w:rFonts w:cstheme="minorHAnsi"/>
        </w:rPr>
      </w:pPr>
    </w:p>
    <w:p w14:paraId="3F354A1D" w14:textId="77777777" w:rsidR="00F07F33" w:rsidRPr="00FB20BF" w:rsidRDefault="00F07F33">
      <w:pPr>
        <w:rPr>
          <w:rFonts w:cstheme="minorHAnsi"/>
        </w:rPr>
      </w:pPr>
    </w:p>
    <w:p w14:paraId="7A6912F3" w14:textId="77777777" w:rsidR="00F07F33" w:rsidRPr="00FB20BF" w:rsidRDefault="00F07F33">
      <w:pPr>
        <w:rPr>
          <w:rFonts w:cstheme="minorHAnsi"/>
        </w:rPr>
      </w:pPr>
    </w:p>
    <w:p w14:paraId="2C08DB01" w14:textId="77777777" w:rsidR="00F07F33" w:rsidRPr="00FB20BF" w:rsidRDefault="00F07F33">
      <w:pPr>
        <w:rPr>
          <w:rFonts w:cstheme="minorHAnsi"/>
        </w:rPr>
      </w:pPr>
    </w:p>
    <w:p w14:paraId="6AC69066" w14:textId="77777777" w:rsidR="00F07F33" w:rsidRPr="00FB20BF" w:rsidRDefault="00F07F33">
      <w:pPr>
        <w:rPr>
          <w:rFonts w:cstheme="minorHAnsi"/>
        </w:rPr>
      </w:pPr>
    </w:p>
    <w:p w14:paraId="5E9E8D7E" w14:textId="77777777" w:rsidR="00F07F33" w:rsidRPr="00FB20BF" w:rsidRDefault="00F07F33">
      <w:pPr>
        <w:rPr>
          <w:rFonts w:cstheme="minorHAnsi"/>
        </w:rPr>
      </w:pPr>
    </w:p>
    <w:p w14:paraId="03A6FF1B" w14:textId="77777777" w:rsidR="00F07F33" w:rsidRPr="00FB20BF" w:rsidRDefault="00F07F33">
      <w:pPr>
        <w:rPr>
          <w:rFonts w:cstheme="minorHAnsi"/>
        </w:rPr>
      </w:pPr>
    </w:p>
    <w:p w14:paraId="38956A9A" w14:textId="77777777" w:rsidR="00F07F33" w:rsidRPr="00FB20BF" w:rsidRDefault="00F07F33">
      <w:pPr>
        <w:rPr>
          <w:rFonts w:cstheme="minorHAnsi"/>
        </w:rPr>
      </w:pPr>
    </w:p>
    <w:p w14:paraId="57276DD6" w14:textId="77777777" w:rsidR="00F07F33" w:rsidRPr="00FB20BF" w:rsidRDefault="00F07F33">
      <w:pPr>
        <w:rPr>
          <w:rFonts w:cstheme="minorHAnsi"/>
        </w:rPr>
      </w:pPr>
    </w:p>
    <w:p w14:paraId="1EAD870E" w14:textId="77777777" w:rsidR="00F07F33" w:rsidRPr="00FB20BF" w:rsidRDefault="00F07F33">
      <w:pPr>
        <w:rPr>
          <w:rFonts w:cstheme="minorHAnsi"/>
        </w:rPr>
      </w:pPr>
    </w:p>
    <w:p w14:paraId="2ECA9135" w14:textId="77777777" w:rsidR="00F07F33" w:rsidRPr="00FB20BF" w:rsidRDefault="00F07F33">
      <w:pPr>
        <w:rPr>
          <w:rFonts w:cstheme="minorHAnsi"/>
        </w:rPr>
      </w:pPr>
    </w:p>
    <w:p w14:paraId="2C315986" w14:textId="77777777" w:rsidR="00F07F33" w:rsidRPr="00FB20BF" w:rsidRDefault="00F07F33" w:rsidP="005B234A">
      <w:pPr>
        <w:pStyle w:val="Heading1"/>
        <w:numPr>
          <w:ilvl w:val="0"/>
          <w:numId w:val="1"/>
        </w:numPr>
        <w:spacing w:line="480" w:lineRule="auto"/>
        <w:rPr>
          <w:rFonts w:asciiTheme="minorHAnsi" w:hAnsiTheme="minorHAnsi" w:cstheme="minorHAnsi"/>
          <w:sz w:val="22"/>
          <w:szCs w:val="22"/>
        </w:rPr>
      </w:pPr>
      <w:bookmarkStart w:id="0" w:name="_Toc116766269"/>
      <w:r w:rsidRPr="00FB20BF">
        <w:rPr>
          <w:rFonts w:asciiTheme="minorHAnsi" w:hAnsiTheme="minorHAnsi" w:cstheme="minorHAnsi"/>
          <w:sz w:val="22"/>
          <w:szCs w:val="22"/>
        </w:rPr>
        <w:lastRenderedPageBreak/>
        <w:t>Executive summary</w:t>
      </w:r>
      <w:bookmarkEnd w:id="0"/>
    </w:p>
    <w:p w14:paraId="13E5E93C" w14:textId="32315B86" w:rsidR="008C4061" w:rsidRPr="00FB20BF" w:rsidRDefault="00947952" w:rsidP="005B234A">
      <w:pPr>
        <w:spacing w:before="120" w:after="120" w:line="480" w:lineRule="auto"/>
        <w:jc w:val="both"/>
        <w:rPr>
          <w:rFonts w:cstheme="minorHAnsi"/>
          <w:lang w:val="en-US"/>
        </w:rPr>
      </w:pPr>
      <w:r w:rsidRPr="00FB20BF">
        <w:rPr>
          <w:rFonts w:cstheme="minorHAnsi"/>
          <w:lang w:val="en-US"/>
        </w:rPr>
        <w:t>Vaud</w:t>
      </w:r>
      <w:r w:rsidRPr="00FB20BF">
        <w:rPr>
          <w:rFonts w:cstheme="minorHAnsi"/>
        </w:rPr>
        <w:t>BioTech</w:t>
      </w:r>
      <w:r w:rsidRPr="00FB20BF">
        <w:rPr>
          <w:rFonts w:cstheme="minorHAnsi"/>
        </w:rPr>
        <w:t xml:space="preserve"> – Lausanne/ Ecublens is a spin-off from EPFL which </w:t>
      </w:r>
      <w:r w:rsidR="001C27E8" w:rsidRPr="00FB20BF">
        <w:rPr>
          <w:rFonts w:cstheme="minorHAnsi"/>
        </w:rPr>
        <w:t xml:space="preserve">started its activity </w:t>
      </w:r>
      <w:r w:rsidR="008C4061" w:rsidRPr="00FB20BF">
        <w:rPr>
          <w:rFonts w:cstheme="minorHAnsi"/>
        </w:rPr>
        <w:t>i</w:t>
      </w:r>
      <w:r w:rsidR="003D57D1" w:rsidRPr="00FB20BF">
        <w:rPr>
          <w:rFonts w:cstheme="minorHAnsi"/>
        </w:rPr>
        <w:t xml:space="preserve">n </w:t>
      </w:r>
      <w:r w:rsidR="008C4061" w:rsidRPr="00FB20BF">
        <w:rPr>
          <w:rFonts w:cstheme="minorHAnsi"/>
        </w:rPr>
        <w:t xml:space="preserve">the field of </w:t>
      </w:r>
      <w:r w:rsidR="003D57D1" w:rsidRPr="00FB20BF">
        <w:rPr>
          <w:rFonts w:cstheme="minorHAnsi"/>
        </w:rPr>
        <w:t>monoclonal antibodies</w:t>
      </w:r>
      <w:r w:rsidR="008C4061" w:rsidRPr="00FB20BF">
        <w:rPr>
          <w:rFonts w:cstheme="minorHAnsi"/>
        </w:rPr>
        <w:t xml:space="preserve"> (mAbs)</w:t>
      </w:r>
      <w:r w:rsidR="003D57D1" w:rsidRPr="00FB20BF">
        <w:rPr>
          <w:rFonts w:cstheme="minorHAnsi"/>
        </w:rPr>
        <w:t xml:space="preserve">. One of the </w:t>
      </w:r>
      <w:r w:rsidR="008C4061" w:rsidRPr="00FB20BF">
        <w:rPr>
          <w:rFonts w:cstheme="minorHAnsi"/>
        </w:rPr>
        <w:t>most promising candidates</w:t>
      </w:r>
      <w:r w:rsidR="00401ED0" w:rsidRPr="00FB20BF">
        <w:rPr>
          <w:rFonts w:cstheme="minorHAnsi"/>
        </w:rPr>
        <w:t xml:space="preserve"> developed by VaudBioTech. </w:t>
      </w:r>
      <w:r w:rsidR="008C4061" w:rsidRPr="00FB20BF">
        <w:rPr>
          <w:rFonts w:cstheme="minorHAnsi"/>
        </w:rPr>
        <w:t xml:space="preserve">Hertumig </w:t>
      </w:r>
      <w:r w:rsidR="00401ED0" w:rsidRPr="00FB20BF">
        <w:rPr>
          <w:rFonts w:cstheme="minorHAnsi"/>
        </w:rPr>
        <w:t xml:space="preserve">had been </w:t>
      </w:r>
      <w:r w:rsidR="008C4061" w:rsidRPr="00FB20BF">
        <w:rPr>
          <w:rFonts w:cstheme="minorHAnsi"/>
        </w:rPr>
        <w:t xml:space="preserve">developed as </w:t>
      </w:r>
      <w:r w:rsidR="005B6E97" w:rsidRPr="00FB20BF">
        <w:rPr>
          <w:rFonts w:cstheme="minorHAnsi"/>
        </w:rPr>
        <w:t>treatment</w:t>
      </w:r>
      <w:r w:rsidR="008C4061" w:rsidRPr="00FB20BF">
        <w:rPr>
          <w:rFonts w:cstheme="minorHAnsi"/>
        </w:rPr>
        <w:t xml:space="preserve"> of HER2 receptor positive breast cancer.</w:t>
      </w:r>
      <w:r w:rsidR="008C4061" w:rsidRPr="00FB20BF">
        <w:rPr>
          <w:rFonts w:cstheme="minorHAnsi"/>
        </w:rPr>
        <w:t xml:space="preserve"> </w:t>
      </w:r>
      <w:r w:rsidR="008C4061" w:rsidRPr="00FB20BF">
        <w:rPr>
          <w:rFonts w:cstheme="minorHAnsi"/>
          <w:lang w:val="en-US"/>
        </w:rPr>
        <w:t>Similar to the mode of action from Pertuzumab and Herceptin</w:t>
      </w:r>
      <w:r w:rsidR="00456066" w:rsidRPr="00FB20BF">
        <w:rPr>
          <w:rFonts w:cstheme="minorHAnsi"/>
          <w:lang w:val="en-US"/>
        </w:rPr>
        <w:t xml:space="preserve">, </w:t>
      </w:r>
      <w:r w:rsidR="008C4061" w:rsidRPr="00FB20BF">
        <w:rPr>
          <w:rFonts w:cstheme="minorHAnsi"/>
        </w:rPr>
        <w:t>Hertum</w:t>
      </w:r>
      <w:r w:rsidR="008C4061" w:rsidRPr="00FB20BF">
        <w:rPr>
          <w:rFonts w:cstheme="minorHAnsi"/>
          <w:lang w:val="en-US"/>
        </w:rPr>
        <w:t>ig</w:t>
      </w:r>
      <w:r w:rsidR="008C4061" w:rsidRPr="00FB20BF">
        <w:rPr>
          <w:rFonts w:cstheme="minorHAnsi"/>
        </w:rPr>
        <w:t xml:space="preserve"> </w:t>
      </w:r>
      <w:r w:rsidR="008C4061" w:rsidRPr="00FB20BF">
        <w:rPr>
          <w:rFonts w:cstheme="minorHAnsi"/>
          <w:lang w:val="en-US"/>
        </w:rPr>
        <w:t xml:space="preserve">targets a newly defined antigen of HER2 which </w:t>
      </w:r>
      <w:r w:rsidR="008C4061" w:rsidRPr="00FB20BF">
        <w:rPr>
          <w:rFonts w:cstheme="minorHAnsi"/>
        </w:rPr>
        <w:t>inhibits the</w:t>
      </w:r>
      <w:r w:rsidR="008C4061" w:rsidRPr="00FB20BF">
        <w:rPr>
          <w:rFonts w:cstheme="minorHAnsi"/>
          <w:lang w:val="en-US"/>
        </w:rPr>
        <w:t xml:space="preserve"> </w:t>
      </w:r>
      <w:r w:rsidR="008C4061" w:rsidRPr="00FB20BF">
        <w:rPr>
          <w:rFonts w:cstheme="minorHAnsi"/>
        </w:rPr>
        <w:t>dimerization with other HER receptors</w:t>
      </w:r>
      <w:r w:rsidR="008C4061" w:rsidRPr="00FB20BF">
        <w:rPr>
          <w:rFonts w:cstheme="minorHAnsi"/>
          <w:lang w:val="en-US"/>
        </w:rPr>
        <w:t>, thereby</w:t>
      </w:r>
      <w:r w:rsidR="008C4061" w:rsidRPr="00FB20BF">
        <w:rPr>
          <w:rFonts w:cstheme="minorHAnsi"/>
        </w:rPr>
        <w:t xml:space="preserve"> </w:t>
      </w:r>
      <w:r w:rsidR="008C4061" w:rsidRPr="00FB20BF">
        <w:rPr>
          <w:rFonts w:cstheme="minorHAnsi"/>
          <w:lang w:val="en-US"/>
        </w:rPr>
        <w:t xml:space="preserve">preventing </w:t>
      </w:r>
      <w:r w:rsidR="00456066" w:rsidRPr="00FB20BF">
        <w:rPr>
          <w:rFonts w:cstheme="minorHAnsi"/>
        </w:rPr>
        <w:t>signalling</w:t>
      </w:r>
      <w:r w:rsidR="008C4061" w:rsidRPr="00FB20BF">
        <w:rPr>
          <w:rFonts w:cstheme="minorHAnsi"/>
          <w:lang w:val="en-US"/>
        </w:rPr>
        <w:t xml:space="preserve"> </w:t>
      </w:r>
      <w:r w:rsidR="008C4061" w:rsidRPr="00FB20BF">
        <w:rPr>
          <w:rFonts w:cstheme="minorHAnsi"/>
        </w:rPr>
        <w:t xml:space="preserve">in ways that promote cell growth and proliferation. HER2 positive breast cancer is caused by ERBB2 gene amplification that results in overexpression of HER2 in approximately 15-30% of breast cancer </w:t>
      </w:r>
      <w:r w:rsidR="00170318" w:rsidRPr="00FB20BF">
        <w:rPr>
          <w:rFonts w:cstheme="minorHAnsi"/>
        </w:rPr>
        <w:t>tumours</w:t>
      </w:r>
      <w:r w:rsidR="008C4061" w:rsidRPr="00FB20BF">
        <w:rPr>
          <w:rFonts w:cstheme="minorHAnsi"/>
        </w:rPr>
        <w:t>. Stimulates cell proliferation and cell growth</w:t>
      </w:r>
      <w:r w:rsidR="008C4061" w:rsidRPr="00FB20BF">
        <w:rPr>
          <w:rFonts w:cstheme="minorHAnsi"/>
          <w:lang w:val="en-US"/>
        </w:rPr>
        <w:t>. It is a b</w:t>
      </w:r>
      <w:r w:rsidR="008C4061" w:rsidRPr="00FB20BF">
        <w:rPr>
          <w:rFonts w:cstheme="minorHAnsi"/>
        </w:rPr>
        <w:t>ispecific monoclonal antibody</w:t>
      </w:r>
      <w:r w:rsidR="008C4061" w:rsidRPr="00FB20BF">
        <w:rPr>
          <w:rFonts w:cstheme="minorHAnsi"/>
          <w:lang w:val="en-US"/>
        </w:rPr>
        <w:t xml:space="preserve"> (BsMAb)</w:t>
      </w:r>
      <w:r w:rsidR="008C4061" w:rsidRPr="00FB20BF">
        <w:rPr>
          <w:rFonts w:cstheme="minorHAnsi"/>
        </w:rPr>
        <w:t xml:space="preserve"> </w:t>
      </w:r>
      <w:r w:rsidR="008C4061" w:rsidRPr="00FB20BF">
        <w:rPr>
          <w:rFonts w:cstheme="minorHAnsi"/>
          <w:lang w:val="en-US"/>
        </w:rPr>
        <w:t>which targets two epitopes.</w:t>
      </w:r>
    </w:p>
    <w:p w14:paraId="11160F0F" w14:textId="2473B3FB" w:rsidR="001D4C8B" w:rsidRPr="00FB20BF" w:rsidRDefault="001D4C8B" w:rsidP="005B234A">
      <w:pPr>
        <w:spacing w:before="120" w:after="120" w:line="480" w:lineRule="auto"/>
        <w:jc w:val="both"/>
        <w:rPr>
          <w:rFonts w:cstheme="minorHAnsi"/>
        </w:rPr>
      </w:pPr>
      <w:r w:rsidRPr="00FB20BF">
        <w:rPr>
          <w:rFonts w:cstheme="minorHAnsi"/>
          <w:lang w:val="en-US"/>
        </w:rPr>
        <w:t>Hertumig was reaching extremely relevant results based on non-clinical</w:t>
      </w:r>
      <w:r w:rsidR="00AC3B0F">
        <w:rPr>
          <w:rFonts w:cstheme="minorHAnsi"/>
          <w:lang w:val="en-US"/>
        </w:rPr>
        <w:t xml:space="preserve"> and Phase 1</w:t>
      </w:r>
      <w:r w:rsidRPr="00FB20BF">
        <w:rPr>
          <w:rFonts w:cstheme="minorHAnsi"/>
          <w:lang w:val="en-US"/>
        </w:rPr>
        <w:t xml:space="preserve"> studies results, </w:t>
      </w:r>
      <w:r w:rsidR="00FB20BF" w:rsidRPr="00FB20BF">
        <w:rPr>
          <w:rFonts w:cstheme="minorHAnsi"/>
          <w:lang w:val="en-US"/>
        </w:rPr>
        <w:t>therefore</w:t>
      </w:r>
      <w:r w:rsidRPr="00FB20BF">
        <w:rPr>
          <w:rFonts w:cstheme="minorHAnsi"/>
          <w:lang w:val="en-US"/>
        </w:rPr>
        <w:t xml:space="preserve"> </w:t>
      </w:r>
      <w:r w:rsidRPr="00FB20BF">
        <w:rPr>
          <w:rFonts w:cstheme="minorHAnsi"/>
          <w:lang w:val="en-US"/>
        </w:rPr>
        <w:t>Vaud</w:t>
      </w:r>
      <w:r w:rsidRPr="00FB20BF">
        <w:rPr>
          <w:rFonts w:cstheme="minorHAnsi"/>
        </w:rPr>
        <w:t>BioTech</w:t>
      </w:r>
      <w:r w:rsidRPr="00FB20BF">
        <w:rPr>
          <w:rFonts w:cstheme="minorHAnsi"/>
        </w:rPr>
        <w:t xml:space="preserve"> will </w:t>
      </w:r>
      <w:r w:rsidR="001438B9">
        <w:rPr>
          <w:rFonts w:cstheme="minorHAnsi"/>
        </w:rPr>
        <w:t xml:space="preserve">be </w:t>
      </w:r>
      <w:r w:rsidRPr="00FB20BF">
        <w:rPr>
          <w:rFonts w:cstheme="minorHAnsi"/>
        </w:rPr>
        <w:t>consider</w:t>
      </w:r>
      <w:r w:rsidR="001438B9">
        <w:rPr>
          <w:rFonts w:cstheme="minorHAnsi"/>
        </w:rPr>
        <w:t>ed</w:t>
      </w:r>
      <w:r w:rsidRPr="00FB20BF">
        <w:rPr>
          <w:rFonts w:cstheme="minorHAnsi"/>
        </w:rPr>
        <w:t xml:space="preserve"> </w:t>
      </w:r>
      <w:r w:rsidR="001438B9">
        <w:rPr>
          <w:rFonts w:cstheme="minorHAnsi"/>
        </w:rPr>
        <w:t>for drug-approval process</w:t>
      </w:r>
      <w:r w:rsidRPr="00FB20BF">
        <w:rPr>
          <w:rFonts w:cstheme="minorHAnsi"/>
        </w:rPr>
        <w:t>.</w:t>
      </w:r>
      <w:r w:rsidR="00FB20BF">
        <w:rPr>
          <w:rFonts w:cstheme="minorHAnsi"/>
        </w:rPr>
        <w:t xml:space="preserve"> </w:t>
      </w:r>
      <w:r w:rsidRPr="00FB20BF">
        <w:rPr>
          <w:rFonts w:cstheme="minorHAnsi"/>
        </w:rPr>
        <w:t xml:space="preserve">To ensure GMP compliance, </w:t>
      </w:r>
      <w:r w:rsidRPr="00FB20BF">
        <w:rPr>
          <w:rFonts w:cstheme="minorHAnsi"/>
          <w:lang w:val="en-US"/>
        </w:rPr>
        <w:t>Vaud</w:t>
      </w:r>
      <w:r w:rsidRPr="00FB20BF">
        <w:rPr>
          <w:rFonts w:cstheme="minorHAnsi"/>
        </w:rPr>
        <w:t>BioTech</w:t>
      </w:r>
      <w:r w:rsidRPr="00FB20BF">
        <w:rPr>
          <w:rFonts w:cstheme="minorHAnsi"/>
        </w:rPr>
        <w:t xml:space="preserve"> will licence the production of Hertumig to a </w:t>
      </w:r>
      <w:r w:rsidR="00920D16" w:rsidRPr="00FB20BF">
        <w:rPr>
          <w:rFonts w:cstheme="minorHAnsi"/>
        </w:rPr>
        <w:t>Contract Development and Manufacturing Organization in order to assess the potential of Hertumig.</w:t>
      </w:r>
    </w:p>
    <w:p w14:paraId="115E2EE6" w14:textId="76315FA3" w:rsidR="008C4061" w:rsidRPr="00FB20BF" w:rsidRDefault="008C4061" w:rsidP="005B234A">
      <w:pPr>
        <w:spacing w:before="120" w:after="120" w:line="480" w:lineRule="auto"/>
        <w:rPr>
          <w:rFonts w:cstheme="minorHAnsi"/>
          <w:lang w:val="en-US"/>
        </w:rPr>
      </w:pPr>
    </w:p>
    <w:p w14:paraId="331F816B" w14:textId="6539E633" w:rsidR="00F07F33" w:rsidRPr="00FB20BF" w:rsidRDefault="00F07F33" w:rsidP="005B234A">
      <w:pPr>
        <w:spacing w:line="480" w:lineRule="auto"/>
        <w:rPr>
          <w:rFonts w:cstheme="minorHAnsi"/>
        </w:rPr>
      </w:pPr>
    </w:p>
    <w:p w14:paraId="5AB4A39C" w14:textId="77777777" w:rsidR="00F07F33" w:rsidRPr="00FB20BF" w:rsidRDefault="00F07F33" w:rsidP="005B234A">
      <w:pPr>
        <w:spacing w:line="480" w:lineRule="auto"/>
        <w:rPr>
          <w:rFonts w:cstheme="minorHAnsi"/>
        </w:rPr>
      </w:pPr>
    </w:p>
    <w:p w14:paraId="5EF58B49" w14:textId="77777777" w:rsidR="00F07F33" w:rsidRPr="00FB20BF" w:rsidRDefault="00F07F33" w:rsidP="005B234A">
      <w:pPr>
        <w:spacing w:line="480" w:lineRule="auto"/>
        <w:rPr>
          <w:rFonts w:cstheme="minorHAnsi"/>
        </w:rPr>
      </w:pPr>
    </w:p>
    <w:p w14:paraId="0CED53C7" w14:textId="736D501E" w:rsidR="004423BB" w:rsidRDefault="004423BB">
      <w:pPr>
        <w:rPr>
          <w:rFonts w:cstheme="minorHAnsi"/>
        </w:rPr>
      </w:pPr>
      <w:r>
        <w:rPr>
          <w:rFonts w:cstheme="minorHAnsi"/>
        </w:rPr>
        <w:br w:type="page"/>
      </w:r>
    </w:p>
    <w:p w14:paraId="3A7B3148" w14:textId="77777777" w:rsidR="00F07F33" w:rsidRPr="00FB20BF" w:rsidRDefault="00F07F33" w:rsidP="005B234A">
      <w:pPr>
        <w:pStyle w:val="Heading1"/>
        <w:numPr>
          <w:ilvl w:val="0"/>
          <w:numId w:val="1"/>
        </w:numPr>
        <w:spacing w:line="480" w:lineRule="auto"/>
        <w:rPr>
          <w:rFonts w:asciiTheme="minorHAnsi" w:hAnsiTheme="minorHAnsi" w:cstheme="minorHAnsi"/>
          <w:sz w:val="22"/>
          <w:szCs w:val="22"/>
        </w:rPr>
      </w:pPr>
      <w:bookmarkStart w:id="1" w:name="_Toc116766270"/>
      <w:r w:rsidRPr="00FB20BF">
        <w:rPr>
          <w:rFonts w:asciiTheme="minorHAnsi" w:hAnsiTheme="minorHAnsi" w:cstheme="minorHAnsi"/>
          <w:sz w:val="22"/>
          <w:szCs w:val="22"/>
        </w:rPr>
        <w:lastRenderedPageBreak/>
        <w:t>Introduction</w:t>
      </w:r>
      <w:bookmarkEnd w:id="1"/>
    </w:p>
    <w:p w14:paraId="15348B02" w14:textId="01CC07E0" w:rsidR="001C0DD6" w:rsidRPr="00FB20BF" w:rsidRDefault="001C0DD6" w:rsidP="005B234A">
      <w:pPr>
        <w:spacing w:before="120" w:after="120" w:line="480" w:lineRule="auto"/>
        <w:jc w:val="both"/>
        <w:rPr>
          <w:rFonts w:cstheme="minorHAnsi"/>
          <w:lang w:val="en-US"/>
        </w:rPr>
      </w:pPr>
      <w:r w:rsidRPr="00FB20BF">
        <w:rPr>
          <w:rFonts w:cstheme="minorHAnsi"/>
        </w:rPr>
        <w:t xml:space="preserve">Monoclonal antibodies (mAb) are well established as cancer therapies. In 1980, human trials of mAb therapy for the treatment of lymphoma were performed and </w:t>
      </w:r>
      <w:r w:rsidR="009C4AF3">
        <w:rPr>
          <w:rFonts w:cstheme="minorHAnsi"/>
        </w:rPr>
        <w:t xml:space="preserve">later </w:t>
      </w:r>
      <w:r w:rsidRPr="00FB20BF">
        <w:rPr>
          <w:rFonts w:cstheme="minorHAnsi"/>
        </w:rPr>
        <w:t xml:space="preserve">this treatment strategy became a powerful tool for precision medicine [1]. </w:t>
      </w:r>
      <w:r w:rsidR="0018232D" w:rsidRPr="00FB20BF">
        <w:rPr>
          <w:rFonts w:cstheme="minorHAnsi"/>
        </w:rPr>
        <w:t xml:space="preserve">Nowadays </w:t>
      </w:r>
      <w:r w:rsidRPr="00FB20BF">
        <w:rPr>
          <w:rFonts w:cstheme="minorHAnsi"/>
        </w:rPr>
        <w:t xml:space="preserve">mAb are often produced by isolation or transformation of Ab-producing cells taken directly from immunized animals or humans. The immunoglobulin genes responsible for the Ab of interest are subsequently transplanted into cell lines [2]. </w:t>
      </w:r>
      <w:r w:rsidR="0018232D" w:rsidRPr="00FB20BF">
        <w:rPr>
          <w:rFonts w:cstheme="minorHAnsi"/>
        </w:rPr>
        <w:t xml:space="preserve">The number of approvals of </w:t>
      </w:r>
      <w:r w:rsidRPr="00FB20BF">
        <w:rPr>
          <w:rFonts w:cstheme="minorHAnsi"/>
        </w:rPr>
        <w:t>FDA</w:t>
      </w:r>
      <w:r w:rsidR="0018232D" w:rsidRPr="00FB20BF">
        <w:rPr>
          <w:rFonts w:cstheme="minorHAnsi"/>
        </w:rPr>
        <w:t xml:space="preserve"> is continu</w:t>
      </w:r>
      <w:r w:rsidR="00892D57" w:rsidRPr="00FB20BF">
        <w:rPr>
          <w:rFonts w:cstheme="minorHAnsi"/>
        </w:rPr>
        <w:t>ing to</w:t>
      </w:r>
      <w:r w:rsidR="0018232D" w:rsidRPr="00FB20BF">
        <w:rPr>
          <w:rFonts w:cstheme="minorHAnsi"/>
        </w:rPr>
        <w:t xml:space="preserve"> rising</w:t>
      </w:r>
      <w:r w:rsidRPr="00FB20BF">
        <w:rPr>
          <w:rFonts w:cstheme="minorHAnsi"/>
        </w:rPr>
        <w:t xml:space="preserve"> [3]</w:t>
      </w:r>
      <w:r w:rsidR="00892D57" w:rsidRPr="00FB20BF">
        <w:rPr>
          <w:rFonts w:cstheme="minorHAnsi"/>
        </w:rPr>
        <w:t>, starting with the first approval (</w:t>
      </w:r>
      <w:r w:rsidRPr="00FB20BF">
        <w:rPr>
          <w:rFonts w:cstheme="minorHAnsi"/>
        </w:rPr>
        <w:t>1986</w:t>
      </w:r>
      <w:r w:rsidR="00892D57" w:rsidRPr="00FB20BF">
        <w:rPr>
          <w:rFonts w:cstheme="minorHAnsi"/>
        </w:rPr>
        <w:t>)</w:t>
      </w:r>
      <w:r w:rsidRPr="00FB20BF">
        <w:rPr>
          <w:rFonts w:cstheme="minorHAnsi"/>
        </w:rPr>
        <w:t xml:space="preserve"> with the majority of products consisting of canonical antibodies, and a small number of alternative constructs including antibody–drug conjugates, bispecific Abs, fragment Abs, and others. While a high potential exists, the hurdles for biological drug approvals limit the number of products available thus far. The pharmacokinetics (PK) of monoclonal antibodies is generally well understood. The major drug disposition processes relevant for mAbs can be estimated </w:t>
      </w:r>
      <w:r w:rsidR="00D33E0F" w:rsidRPr="00FB20BF">
        <w:rPr>
          <w:rFonts w:cstheme="minorHAnsi"/>
        </w:rPr>
        <w:t xml:space="preserve">starting to </w:t>
      </w:r>
      <w:r w:rsidRPr="00FB20BF">
        <w:rPr>
          <w:rFonts w:cstheme="minorHAnsi"/>
        </w:rPr>
        <w:t>preclinical development</w:t>
      </w:r>
      <w:r w:rsidR="00D33E0F" w:rsidRPr="00FB20BF">
        <w:rPr>
          <w:rFonts w:cstheme="minorHAnsi"/>
        </w:rPr>
        <w:t xml:space="preserve"> phase</w:t>
      </w:r>
      <w:r w:rsidRPr="00FB20BF">
        <w:rPr>
          <w:rFonts w:cstheme="minorHAnsi"/>
        </w:rPr>
        <w:t xml:space="preserve">. The product-specific and patient-specific factors that can </w:t>
      </w:r>
      <w:r w:rsidR="00BA452A">
        <w:rPr>
          <w:rFonts w:cstheme="minorHAnsi"/>
        </w:rPr>
        <w:t>impact</w:t>
      </w:r>
      <w:r w:rsidRPr="00FB20BF">
        <w:rPr>
          <w:rFonts w:cstheme="minorHAnsi"/>
        </w:rPr>
        <w:t xml:space="preserve"> PK </w:t>
      </w:r>
      <w:r w:rsidR="00892D57" w:rsidRPr="00FB20BF">
        <w:rPr>
          <w:rFonts w:cstheme="minorHAnsi"/>
        </w:rPr>
        <w:t>behaviour</w:t>
      </w:r>
      <w:r w:rsidRPr="00FB20BF">
        <w:rPr>
          <w:rFonts w:cstheme="minorHAnsi"/>
        </w:rPr>
        <w:t xml:space="preserve"> can be considered for successful clinical therapy [4]. Each particular mAb has unique risks</w:t>
      </w:r>
      <w:r w:rsidR="00E72557">
        <w:rPr>
          <w:rFonts w:cstheme="minorHAnsi"/>
        </w:rPr>
        <w:t xml:space="preserve"> and efforts needs to be done in order to</w:t>
      </w:r>
      <w:r w:rsidRPr="00FB20BF">
        <w:rPr>
          <w:rFonts w:cstheme="minorHAnsi"/>
        </w:rPr>
        <w:t xml:space="preserve"> minimize potential adverse effects must be clear and accurate</w:t>
      </w:r>
      <w:r w:rsidR="006B723C" w:rsidRPr="00FB20BF">
        <w:rPr>
          <w:rFonts w:cstheme="minorHAnsi"/>
        </w:rPr>
        <w:t xml:space="preserve">, </w:t>
      </w:r>
      <w:r w:rsidR="002E63B3" w:rsidRPr="00FB20BF">
        <w:rPr>
          <w:rFonts w:cstheme="minorHAnsi"/>
        </w:rPr>
        <w:t>therefore</w:t>
      </w:r>
      <w:r w:rsidRPr="00FB20BF">
        <w:rPr>
          <w:rFonts w:cstheme="minorHAnsi"/>
        </w:rPr>
        <w:t xml:space="preserve"> preclinical and clinical protocols must be established to avoid infusion reactions [5]. Preclinical validation of in vitro safety using human tissues is necessary to predict potential outcome for administration to humans. For clinical trial volunteer safety, communication must be maintained between scientists and clinicians both in pha</w:t>
      </w:r>
      <w:r w:rsidR="00892D57" w:rsidRPr="00FB20BF">
        <w:rPr>
          <w:rFonts w:cstheme="minorHAnsi"/>
        </w:rPr>
        <w:t>r</w:t>
      </w:r>
      <w:r w:rsidRPr="00FB20BF">
        <w:rPr>
          <w:rFonts w:cstheme="minorHAnsi"/>
        </w:rPr>
        <w:t>ma/biotech companies and those performing clinical studies [5].</w:t>
      </w:r>
      <w:r w:rsidRPr="00FB20BF">
        <w:rPr>
          <w:rFonts w:cstheme="minorHAnsi"/>
        </w:rPr>
        <w:pgNum/>
        <w:t xml:space="preserve"> The serious risks of off-target antigen binding are well-known, particularly after the adverse outcome seen during the phase 1 trial of anti-CD28 mAb TGN1412 resulting in systemic inflammatory response [6]. mAb are recognized as versatile platforms for cancer immunotherapy by directly stimulating or inhibiting immunological protein pathways [7]. The induction of antitumor immune responses can be </w:t>
      </w:r>
      <w:r w:rsidR="0072192C">
        <w:rPr>
          <w:rFonts w:cstheme="minorHAnsi"/>
        </w:rPr>
        <w:t>used</w:t>
      </w:r>
      <w:r w:rsidRPr="00FB20BF">
        <w:rPr>
          <w:rFonts w:cstheme="minorHAnsi"/>
        </w:rPr>
        <w:t xml:space="preserve"> to develop new cancer treatment strategies based on </w:t>
      </w:r>
      <w:r w:rsidR="006B723C" w:rsidRPr="00FB20BF">
        <w:rPr>
          <w:rFonts w:cstheme="minorHAnsi"/>
        </w:rPr>
        <w:t>tumours</w:t>
      </w:r>
      <w:r w:rsidR="00892D57" w:rsidRPr="00FB20BF">
        <w:rPr>
          <w:rFonts w:cstheme="minorHAnsi"/>
        </w:rPr>
        <w:t xml:space="preserve"> </w:t>
      </w:r>
      <w:r w:rsidR="006B723C" w:rsidRPr="00FB20BF">
        <w:rPr>
          <w:rFonts w:cstheme="minorHAnsi"/>
        </w:rPr>
        <w:t>s</w:t>
      </w:r>
      <w:r w:rsidRPr="00FB20BF">
        <w:rPr>
          <w:rFonts w:cstheme="minorHAnsi"/>
        </w:rPr>
        <w:t xml:space="preserve">pecific response of natural or engineered mAb [7]. The nomenclature for </w:t>
      </w:r>
      <w:r w:rsidR="00CA530D">
        <w:rPr>
          <w:rFonts w:cstheme="minorHAnsi"/>
        </w:rPr>
        <w:t>the</w:t>
      </w:r>
      <w:r w:rsidRPr="00FB20BF">
        <w:rPr>
          <w:rFonts w:cstheme="minorHAnsi"/>
        </w:rPr>
        <w:t xml:space="preserve"> drug is defined according to the WHO International Nonproprietary </w:t>
      </w:r>
      <w:r w:rsidRPr="00FB20BF">
        <w:rPr>
          <w:rFonts w:cstheme="minorHAnsi"/>
        </w:rPr>
        <w:lastRenderedPageBreak/>
        <w:t>Names (INN) (Programme and Classification of Medical Product) [8]. The current state of the art in anti-cancer monoclonal antibodies (mAbs) is overviewed by Chiavernna, et al. [9].</w:t>
      </w:r>
    </w:p>
    <w:p w14:paraId="2AD751D5" w14:textId="4E94F694" w:rsidR="008C56EA" w:rsidRPr="00FB20BF" w:rsidRDefault="008C56EA">
      <w:pPr>
        <w:rPr>
          <w:rFonts w:cstheme="minorHAnsi"/>
          <w:lang w:val="en-US"/>
        </w:rPr>
      </w:pPr>
      <w:r w:rsidRPr="00FB20BF">
        <w:rPr>
          <w:rFonts w:cstheme="minorHAnsi"/>
          <w:lang w:val="en-US"/>
        </w:rPr>
        <w:br w:type="page"/>
      </w:r>
    </w:p>
    <w:p w14:paraId="1C7CB760" w14:textId="77777777" w:rsidR="00F81C17" w:rsidRPr="00FB20BF" w:rsidRDefault="00F81C17" w:rsidP="005B234A">
      <w:pPr>
        <w:pStyle w:val="Heading1"/>
        <w:numPr>
          <w:ilvl w:val="0"/>
          <w:numId w:val="1"/>
        </w:numPr>
        <w:spacing w:line="480" w:lineRule="auto"/>
        <w:rPr>
          <w:rFonts w:asciiTheme="minorHAnsi" w:hAnsiTheme="minorHAnsi" w:cstheme="minorHAnsi"/>
          <w:sz w:val="22"/>
          <w:szCs w:val="22"/>
        </w:rPr>
      </w:pPr>
      <w:bookmarkStart w:id="2" w:name="_Toc116766271"/>
      <w:r w:rsidRPr="00FB20BF">
        <w:rPr>
          <w:rFonts w:asciiTheme="minorHAnsi" w:hAnsiTheme="minorHAnsi" w:cstheme="minorHAnsi"/>
          <w:sz w:val="22"/>
          <w:szCs w:val="22"/>
        </w:rPr>
        <w:lastRenderedPageBreak/>
        <w:t>Development Plan:</w:t>
      </w:r>
      <w:bookmarkEnd w:id="2"/>
    </w:p>
    <w:p w14:paraId="4E8D42C3" w14:textId="79D3CC53" w:rsidR="00F07F33" w:rsidRPr="00FB20BF" w:rsidRDefault="00F81C17" w:rsidP="005B234A">
      <w:pPr>
        <w:pStyle w:val="Heading2"/>
        <w:spacing w:line="480" w:lineRule="auto"/>
        <w:rPr>
          <w:rFonts w:asciiTheme="minorHAnsi" w:hAnsiTheme="minorHAnsi" w:cstheme="minorHAnsi"/>
          <w:sz w:val="22"/>
          <w:szCs w:val="22"/>
        </w:rPr>
      </w:pPr>
      <w:bookmarkStart w:id="3" w:name="_Toc116766272"/>
      <w:r w:rsidRPr="00FB20BF">
        <w:rPr>
          <w:rFonts w:asciiTheme="minorHAnsi" w:hAnsiTheme="minorHAnsi" w:cstheme="minorHAnsi"/>
          <w:sz w:val="22"/>
          <w:szCs w:val="22"/>
        </w:rPr>
        <w:t xml:space="preserve">Part A. </w:t>
      </w:r>
      <w:r w:rsidR="00F07F33" w:rsidRPr="00FB20BF">
        <w:rPr>
          <w:rFonts w:asciiTheme="minorHAnsi" w:hAnsiTheme="minorHAnsi" w:cstheme="minorHAnsi"/>
          <w:sz w:val="22"/>
          <w:szCs w:val="22"/>
        </w:rPr>
        <w:t xml:space="preserve">Preclinical </w:t>
      </w:r>
      <w:r w:rsidRPr="00FB20BF">
        <w:rPr>
          <w:rFonts w:asciiTheme="minorHAnsi" w:hAnsiTheme="minorHAnsi" w:cstheme="minorHAnsi"/>
          <w:sz w:val="22"/>
          <w:szCs w:val="22"/>
        </w:rPr>
        <w:t>Plan</w:t>
      </w:r>
      <w:bookmarkEnd w:id="3"/>
      <w:r w:rsidRPr="00FB20BF">
        <w:rPr>
          <w:rFonts w:asciiTheme="minorHAnsi" w:hAnsiTheme="minorHAnsi" w:cstheme="minorHAnsi"/>
          <w:sz w:val="22"/>
          <w:szCs w:val="22"/>
        </w:rPr>
        <w:t xml:space="preserve"> </w:t>
      </w:r>
    </w:p>
    <w:p w14:paraId="7089773E" w14:textId="77777777" w:rsidR="004955CC" w:rsidRPr="00FB20BF" w:rsidRDefault="004955CC" w:rsidP="004955CC">
      <w:pPr>
        <w:spacing w:line="480" w:lineRule="auto"/>
        <w:jc w:val="both"/>
        <w:rPr>
          <w:rFonts w:cstheme="minorHAnsi"/>
        </w:rPr>
      </w:pPr>
      <w:r w:rsidRPr="00FB20BF">
        <w:rPr>
          <w:rFonts w:cstheme="minorHAnsi"/>
        </w:rPr>
        <w:t xml:space="preserve">Toxico-pharmacological aspects </w:t>
      </w:r>
    </w:p>
    <w:p w14:paraId="64B07205" w14:textId="71451EDA" w:rsidR="004955CC" w:rsidRPr="00FB20BF" w:rsidRDefault="004955CC" w:rsidP="004955CC">
      <w:pPr>
        <w:spacing w:line="480" w:lineRule="auto"/>
        <w:jc w:val="both"/>
        <w:rPr>
          <w:rFonts w:cstheme="minorHAnsi"/>
        </w:rPr>
      </w:pPr>
      <w:r w:rsidRPr="00FB20BF">
        <w:rPr>
          <w:rFonts w:cstheme="minorHAnsi"/>
        </w:rPr>
        <w:t>Hertumig is directed against HER2</w:t>
      </w:r>
      <w:r w:rsidR="00F74DA2">
        <w:rPr>
          <w:rFonts w:cstheme="minorHAnsi"/>
        </w:rPr>
        <w:t xml:space="preserve">, </w:t>
      </w:r>
      <w:r w:rsidRPr="00FB20BF">
        <w:rPr>
          <w:rFonts w:cstheme="minorHAnsi"/>
        </w:rPr>
        <w:t>which is part of a family of membrane-bound phosphoglycoproteins with tyrosine kinase activity. The proteins coded by the oncogens, the oncoproteins, are all involved in the signalling cascades that control cell proliferation and differentiation</w:t>
      </w:r>
      <w:r w:rsidR="00671E75">
        <w:rPr>
          <w:rFonts w:cstheme="minorHAnsi"/>
        </w:rPr>
        <w:t xml:space="preserve"> [12]</w:t>
      </w:r>
      <w:r w:rsidRPr="00FB20BF">
        <w:rPr>
          <w:rFonts w:cstheme="minorHAnsi"/>
        </w:rPr>
        <w:t xml:space="preserve">. </w:t>
      </w:r>
    </w:p>
    <w:p w14:paraId="549714AB" w14:textId="77777777" w:rsidR="004955CC" w:rsidRPr="00FB20BF" w:rsidRDefault="004955CC" w:rsidP="004955CC">
      <w:pPr>
        <w:spacing w:line="480" w:lineRule="auto"/>
        <w:jc w:val="both"/>
        <w:rPr>
          <w:rFonts w:cstheme="minorHAnsi"/>
        </w:rPr>
      </w:pPr>
      <w:r w:rsidRPr="00FB20BF">
        <w:rPr>
          <w:rFonts w:cstheme="minorHAnsi"/>
        </w:rPr>
        <w:t xml:space="preserve">Pharmacodynamics </w:t>
      </w:r>
    </w:p>
    <w:p w14:paraId="4300C2E8" w14:textId="4A5A2678" w:rsidR="004955CC" w:rsidRPr="00FB20BF" w:rsidRDefault="004955CC" w:rsidP="004955CC">
      <w:pPr>
        <w:spacing w:line="480" w:lineRule="auto"/>
        <w:jc w:val="both"/>
        <w:rPr>
          <w:rFonts w:cstheme="minorHAnsi"/>
        </w:rPr>
      </w:pPr>
      <w:r w:rsidRPr="00FB20BF">
        <w:rPr>
          <w:rFonts w:cstheme="minorHAnsi"/>
        </w:rPr>
        <w:t xml:space="preserve">In vitro studies Hertumig inhibited proliferation of HER2 overexpressing cells and induced loss of intrinsic resistance of cells that overexpress HER2. Furthermore, reduction in synthesis of cellular components affecting cell adhesion and the metastatic potential of tumour cells </w:t>
      </w:r>
      <w:r w:rsidR="00671E75">
        <w:rPr>
          <w:rFonts w:cstheme="minorHAnsi"/>
        </w:rPr>
        <w:t>in</w:t>
      </w:r>
      <w:r w:rsidRPr="00FB20BF">
        <w:rPr>
          <w:rFonts w:cstheme="minorHAnsi"/>
        </w:rPr>
        <w:t xml:space="preserve"> treatment with Hertumig. </w:t>
      </w:r>
    </w:p>
    <w:p w14:paraId="0F420F82" w14:textId="10695938" w:rsidR="004955CC" w:rsidRPr="00FB20BF" w:rsidRDefault="004955CC" w:rsidP="004955CC">
      <w:pPr>
        <w:spacing w:line="480" w:lineRule="auto"/>
        <w:jc w:val="both"/>
        <w:rPr>
          <w:rFonts w:cstheme="minorHAnsi"/>
        </w:rPr>
      </w:pPr>
      <w:r w:rsidRPr="00FB20BF">
        <w:rPr>
          <w:rFonts w:cstheme="minorHAnsi"/>
        </w:rPr>
        <w:t>Although Hertumig has been shown to bind to HER2 on several breast adenocarcinoma cell lines and activate the complement cascade</w:t>
      </w:r>
      <w:r w:rsidR="00337F36">
        <w:rPr>
          <w:rFonts w:cstheme="minorHAnsi"/>
        </w:rPr>
        <w:t xml:space="preserve"> </w:t>
      </w:r>
      <w:r w:rsidR="00671E75">
        <w:rPr>
          <w:rFonts w:cstheme="minorHAnsi"/>
        </w:rPr>
        <w:t>[12]</w:t>
      </w:r>
      <w:r w:rsidRPr="00FB20BF">
        <w:rPr>
          <w:rFonts w:cstheme="minorHAnsi"/>
        </w:rPr>
        <w:t xml:space="preserve">. </w:t>
      </w:r>
    </w:p>
    <w:p w14:paraId="74599DCE" w14:textId="79350255" w:rsidR="004955CC" w:rsidRPr="00FB20BF" w:rsidRDefault="004955CC" w:rsidP="004955CC">
      <w:pPr>
        <w:spacing w:line="480" w:lineRule="auto"/>
        <w:jc w:val="both"/>
        <w:rPr>
          <w:rFonts w:cstheme="minorHAnsi"/>
        </w:rPr>
      </w:pPr>
      <w:r w:rsidRPr="00FB20BF">
        <w:rPr>
          <w:rFonts w:cstheme="minorHAnsi"/>
        </w:rPr>
        <w:t xml:space="preserve">In cross-reactivity studies with frozen human or Cynomolgus monkey’s tissues, Hertumig and muMAb 4D5 showed similar patterns of immunoreactivity. </w:t>
      </w:r>
    </w:p>
    <w:p w14:paraId="2D07CECA" w14:textId="4826A975" w:rsidR="004955CC" w:rsidRPr="00FB20BF" w:rsidRDefault="004955CC" w:rsidP="004955CC">
      <w:pPr>
        <w:spacing w:line="480" w:lineRule="auto"/>
        <w:jc w:val="both"/>
        <w:rPr>
          <w:rFonts w:cstheme="minorHAnsi"/>
        </w:rPr>
      </w:pPr>
      <w:r w:rsidRPr="00FB20BF">
        <w:rPr>
          <w:rFonts w:cstheme="minorHAnsi"/>
        </w:rPr>
        <w:t>The nonlinear PK observed at lower doses of Hertumig in monkey is consistent with specific, saturable binding. The tissue cross reactivity and nonclinical PK studies and the demonstrated specificity for HER2, support the conclusion that Hertum</w:t>
      </w:r>
      <w:r w:rsidRPr="00337F36">
        <w:rPr>
          <w:rFonts w:cstheme="minorHAnsi"/>
        </w:rPr>
        <w:t>ig recognised monkey HER2</w:t>
      </w:r>
      <w:r w:rsidR="00F82AB8">
        <w:rPr>
          <w:rFonts w:cstheme="minorHAnsi"/>
        </w:rPr>
        <w:t xml:space="preserve"> [12]</w:t>
      </w:r>
      <w:r w:rsidRPr="00337F36">
        <w:rPr>
          <w:rFonts w:cstheme="minorHAnsi"/>
        </w:rPr>
        <w:t>.</w:t>
      </w:r>
      <w:r w:rsidRPr="00FB20BF">
        <w:rPr>
          <w:rFonts w:cstheme="minorHAnsi"/>
        </w:rPr>
        <w:t xml:space="preserve"> </w:t>
      </w:r>
    </w:p>
    <w:p w14:paraId="1F94E50A" w14:textId="7958CCEF" w:rsidR="004955CC" w:rsidRPr="00FB20BF" w:rsidRDefault="004955CC" w:rsidP="004955CC">
      <w:pPr>
        <w:spacing w:line="480" w:lineRule="auto"/>
        <w:jc w:val="both"/>
        <w:rPr>
          <w:rFonts w:cstheme="minorHAnsi"/>
        </w:rPr>
      </w:pPr>
      <w:r w:rsidRPr="00FB20BF">
        <w:rPr>
          <w:rFonts w:cstheme="minorHAnsi"/>
        </w:rPr>
        <w:t>Several studies on the pharmacokinetic profiles of Hertumig after a single administration revealed a terminal half-life ranging from 8 to 1</w:t>
      </w:r>
      <w:r w:rsidR="00DA3222">
        <w:rPr>
          <w:rFonts w:cstheme="minorHAnsi"/>
        </w:rPr>
        <w:t>5</w:t>
      </w:r>
      <w:r w:rsidRPr="00FB20BF">
        <w:rPr>
          <w:rFonts w:cstheme="minorHAnsi"/>
        </w:rPr>
        <w:t xml:space="preserve"> days determined in mice, and cynomolgus monkeys. The presence of free extracellular domains (ECD) of HER-2 in the serum of cynomolgus resulted in an increased clearance and thus a shorter half life of Hertumig. ECD clearance was also decreased in the </w:t>
      </w:r>
      <w:r w:rsidRPr="00FB20BF">
        <w:rPr>
          <w:rFonts w:cstheme="minorHAnsi"/>
        </w:rPr>
        <w:lastRenderedPageBreak/>
        <w:t xml:space="preserve">presence of Hertumig in both the mouse and the monkey indicating that ECD can be maintained in circulation when complexed with Hertumig. </w:t>
      </w:r>
    </w:p>
    <w:p w14:paraId="2E237951" w14:textId="66F173EC" w:rsidR="004955CC" w:rsidRPr="00FB20BF" w:rsidRDefault="004955CC" w:rsidP="004955CC">
      <w:pPr>
        <w:spacing w:line="480" w:lineRule="auto"/>
        <w:jc w:val="both"/>
        <w:rPr>
          <w:rFonts w:cstheme="minorHAnsi"/>
        </w:rPr>
      </w:pPr>
      <w:r w:rsidRPr="00FB20BF">
        <w:rPr>
          <w:rFonts w:cstheme="minorHAnsi"/>
        </w:rPr>
        <w:t>In single-dose studies in mice Cmax was 1</w:t>
      </w:r>
      <w:r w:rsidR="005D1D3A">
        <w:rPr>
          <w:rFonts w:cstheme="minorHAnsi"/>
        </w:rPr>
        <w:t>8</w:t>
      </w:r>
      <w:r w:rsidRPr="00FB20BF">
        <w:rPr>
          <w:rFonts w:cstheme="minorHAnsi"/>
        </w:rPr>
        <w:t>, 2</w:t>
      </w:r>
      <w:r w:rsidR="003A7633">
        <w:rPr>
          <w:rFonts w:cstheme="minorHAnsi"/>
        </w:rPr>
        <w:t>80</w:t>
      </w:r>
      <w:r w:rsidRPr="00FB20BF">
        <w:rPr>
          <w:rFonts w:cstheme="minorHAnsi"/>
        </w:rPr>
        <w:t>0, 2250 µg/ml for the doses of 1, 10, 100 mg/kg respectively. The dose response in terms of Cmax or AUC in the rhesus monkey was non-linear.</w:t>
      </w:r>
    </w:p>
    <w:p w14:paraId="7589A379" w14:textId="77777777" w:rsidR="004955CC" w:rsidRPr="00FB20BF" w:rsidRDefault="004955CC" w:rsidP="004955CC">
      <w:pPr>
        <w:spacing w:line="480" w:lineRule="auto"/>
        <w:jc w:val="both"/>
        <w:rPr>
          <w:rFonts w:cstheme="minorHAnsi"/>
        </w:rPr>
      </w:pPr>
      <w:r w:rsidRPr="00FB20BF">
        <w:rPr>
          <w:rFonts w:cstheme="minorHAnsi"/>
        </w:rPr>
        <w:t xml:space="preserve">Toxicology Single Dose </w:t>
      </w:r>
    </w:p>
    <w:p w14:paraId="21F1D33F" w14:textId="491382D9" w:rsidR="004955CC" w:rsidRPr="00FB20BF" w:rsidRDefault="004955CC" w:rsidP="004955CC">
      <w:pPr>
        <w:spacing w:line="480" w:lineRule="auto"/>
        <w:jc w:val="both"/>
        <w:rPr>
          <w:rFonts w:cstheme="minorHAnsi"/>
        </w:rPr>
      </w:pPr>
      <w:r w:rsidRPr="00FB20BF">
        <w:rPr>
          <w:rFonts w:cstheme="minorHAnsi"/>
        </w:rPr>
        <w:t>Toxicity Single-dose acute studies were undertaken using iv bolus administration in mice (M+F) at 0, 9.</w:t>
      </w:r>
      <w:r w:rsidR="003A7633">
        <w:rPr>
          <w:rFonts w:cstheme="minorHAnsi"/>
        </w:rPr>
        <w:t>5</w:t>
      </w:r>
      <w:r w:rsidRPr="00FB20BF">
        <w:rPr>
          <w:rFonts w:cstheme="minorHAnsi"/>
        </w:rPr>
        <w:t>, 4</w:t>
      </w:r>
      <w:r w:rsidR="003A7633">
        <w:rPr>
          <w:rFonts w:cstheme="minorHAnsi"/>
        </w:rPr>
        <w:t>9</w:t>
      </w:r>
      <w:r w:rsidRPr="00FB20BF">
        <w:rPr>
          <w:rFonts w:cstheme="minorHAnsi"/>
        </w:rPr>
        <w:t xml:space="preserve"> and 94 mg/kg and in rhesus monkeys (M+F) at 0, 4.7, 23.5 and 47 mg/kg. The absence of toxicity of several different preparations and formulations of Hertumig could be demonstrated.</w:t>
      </w:r>
    </w:p>
    <w:p w14:paraId="5541E1EA" w14:textId="6394E8F2" w:rsidR="004955CC" w:rsidRPr="00FB20BF" w:rsidRDefault="004955CC" w:rsidP="004955CC">
      <w:pPr>
        <w:spacing w:line="480" w:lineRule="auto"/>
        <w:jc w:val="both"/>
        <w:rPr>
          <w:rFonts w:cstheme="minorHAnsi"/>
        </w:rPr>
      </w:pPr>
    </w:p>
    <w:p w14:paraId="4D527CC5" w14:textId="459075A2" w:rsidR="004955CC" w:rsidRDefault="004955CC" w:rsidP="004955CC">
      <w:pPr>
        <w:rPr>
          <w:rFonts w:cstheme="minorHAnsi"/>
        </w:rPr>
      </w:pPr>
    </w:p>
    <w:p w14:paraId="51FD8F1C" w14:textId="5E71F0E1" w:rsidR="002D3538" w:rsidRDefault="002D3538">
      <w:pPr>
        <w:rPr>
          <w:rFonts w:cstheme="minorHAnsi"/>
        </w:rPr>
      </w:pPr>
      <w:r>
        <w:rPr>
          <w:rFonts w:cstheme="minorHAnsi"/>
        </w:rPr>
        <w:br w:type="page"/>
      </w:r>
    </w:p>
    <w:p w14:paraId="5432E205" w14:textId="77777777" w:rsidR="00ED7416" w:rsidRPr="00FB20BF" w:rsidRDefault="00ED7416" w:rsidP="004955CC">
      <w:pPr>
        <w:rPr>
          <w:rFonts w:cstheme="minorHAnsi"/>
        </w:rPr>
      </w:pPr>
    </w:p>
    <w:p w14:paraId="48E2F27A" w14:textId="59F6B42D" w:rsidR="006B723C" w:rsidRPr="00FB20BF" w:rsidRDefault="006B723C" w:rsidP="006B723C">
      <w:pPr>
        <w:pStyle w:val="Heading2"/>
        <w:rPr>
          <w:rFonts w:asciiTheme="minorHAnsi" w:hAnsiTheme="minorHAnsi" w:cstheme="minorHAnsi"/>
          <w:sz w:val="22"/>
          <w:szCs w:val="22"/>
        </w:rPr>
      </w:pPr>
      <w:bookmarkStart w:id="4" w:name="_Toc116766273"/>
      <w:r w:rsidRPr="00FB20BF">
        <w:rPr>
          <w:rFonts w:asciiTheme="minorHAnsi" w:hAnsiTheme="minorHAnsi" w:cstheme="minorHAnsi"/>
          <w:sz w:val="22"/>
          <w:szCs w:val="22"/>
        </w:rPr>
        <w:t>Exploratory Clinical Trials</w:t>
      </w:r>
      <w:bookmarkEnd w:id="4"/>
    </w:p>
    <w:p w14:paraId="365EB151" w14:textId="4870081F" w:rsidR="006B723C" w:rsidRPr="00FB20BF" w:rsidRDefault="006B723C" w:rsidP="006B723C">
      <w:pPr>
        <w:rPr>
          <w:rFonts w:cstheme="minorHAnsi"/>
        </w:rPr>
      </w:pPr>
    </w:p>
    <w:p w14:paraId="1E702054" w14:textId="3400C7F5" w:rsidR="00BD1051" w:rsidRDefault="006C0FE1" w:rsidP="005F467B">
      <w:pPr>
        <w:pBdr>
          <w:bottom w:val="single" w:sz="6" w:space="1" w:color="auto"/>
        </w:pBdr>
        <w:spacing w:line="480" w:lineRule="auto"/>
        <w:jc w:val="both"/>
        <w:rPr>
          <w:rFonts w:cstheme="minorHAnsi"/>
        </w:rPr>
      </w:pPr>
      <w:r w:rsidRPr="00FB20BF">
        <w:rPr>
          <w:rFonts w:cstheme="minorHAnsi"/>
        </w:rPr>
        <w:t>The draft revision of the ICH M3</w:t>
      </w:r>
      <w:r w:rsidR="00796911">
        <w:rPr>
          <w:rFonts w:cstheme="minorHAnsi"/>
        </w:rPr>
        <w:t xml:space="preserve"> (R2)</w:t>
      </w:r>
      <w:r w:rsidRPr="00FB20BF">
        <w:rPr>
          <w:rFonts w:cstheme="minorHAnsi"/>
        </w:rPr>
        <w:t xml:space="preserve"> guideline</w:t>
      </w:r>
      <w:r w:rsidR="004C1DCF" w:rsidRPr="00FB20BF">
        <w:rPr>
          <w:rFonts w:cstheme="minorHAnsi"/>
        </w:rPr>
        <w:t xml:space="preserve"> </w:t>
      </w:r>
      <w:r w:rsidRPr="00FB20BF">
        <w:rPr>
          <w:rFonts w:cstheme="minorHAnsi"/>
        </w:rPr>
        <w:t>[</w:t>
      </w:r>
      <w:r w:rsidRPr="00FB20BF">
        <w:rPr>
          <w:rFonts w:cstheme="minorHAnsi"/>
        </w:rPr>
        <w:t>10</w:t>
      </w:r>
      <w:r w:rsidRPr="00FB20BF">
        <w:rPr>
          <w:rFonts w:cstheme="minorHAnsi"/>
        </w:rPr>
        <w:t>] describes five approaches, including two that use microdoses (objective: receptor occupancy and biodistribution) and three with pharmacological doses as a single dose or with up to 14 days of repeated dosing [objective: pharmacodynamic activity (PD) and/or pharmacokinetics (PK, PK/PD)]</w:t>
      </w:r>
      <w:r w:rsidRPr="00FB20BF">
        <w:rPr>
          <w:rFonts w:cstheme="minorHAnsi"/>
        </w:rPr>
        <w:t>.</w:t>
      </w:r>
    </w:p>
    <w:p w14:paraId="24D7B84E" w14:textId="77777777" w:rsidR="00C33255" w:rsidRDefault="00C33255" w:rsidP="00C33255">
      <w:pPr>
        <w:pStyle w:val="Heading2"/>
        <w:rPr>
          <w:rFonts w:asciiTheme="minorHAnsi" w:hAnsiTheme="minorHAnsi" w:cstheme="minorHAnsi"/>
          <w:sz w:val="22"/>
          <w:szCs w:val="22"/>
        </w:rPr>
      </w:pPr>
      <w:bookmarkStart w:id="5" w:name="_Toc116766274"/>
    </w:p>
    <w:p w14:paraId="027D0047" w14:textId="10804B5C" w:rsidR="00C33255" w:rsidRPr="00FB20BF" w:rsidRDefault="00C33255" w:rsidP="00C33255">
      <w:pPr>
        <w:pStyle w:val="Heading2"/>
        <w:rPr>
          <w:rFonts w:asciiTheme="minorHAnsi" w:hAnsiTheme="minorHAnsi" w:cstheme="minorHAnsi"/>
          <w:sz w:val="22"/>
          <w:szCs w:val="22"/>
        </w:rPr>
      </w:pPr>
      <w:r w:rsidRPr="00FB20BF">
        <w:rPr>
          <w:rFonts w:asciiTheme="minorHAnsi" w:hAnsiTheme="minorHAnsi" w:cstheme="minorHAnsi"/>
          <w:sz w:val="22"/>
          <w:szCs w:val="22"/>
        </w:rPr>
        <w:t>Local Tolerance Clinical Trials</w:t>
      </w:r>
      <w:bookmarkEnd w:id="5"/>
    </w:p>
    <w:p w14:paraId="213EAD83" w14:textId="77777777" w:rsidR="00BD1051" w:rsidRPr="00FB20BF" w:rsidRDefault="00BD1051" w:rsidP="006C0FE1">
      <w:pPr>
        <w:spacing w:line="480" w:lineRule="auto"/>
        <w:jc w:val="both"/>
        <w:rPr>
          <w:rFonts w:cstheme="minorHAnsi"/>
        </w:rPr>
      </w:pPr>
    </w:p>
    <w:p w14:paraId="021CD694" w14:textId="0A5466EE" w:rsidR="00BD1051" w:rsidRPr="00FB20BF" w:rsidRDefault="00BD1051" w:rsidP="006C0FE1">
      <w:pPr>
        <w:spacing w:line="480" w:lineRule="auto"/>
        <w:jc w:val="both"/>
        <w:rPr>
          <w:rFonts w:cstheme="minorHAnsi"/>
        </w:rPr>
      </w:pPr>
      <w:r w:rsidRPr="00FB20BF">
        <w:rPr>
          <w:rFonts w:cstheme="minorHAnsi"/>
        </w:rPr>
        <w:t xml:space="preserve">Pharmacodynamics </w:t>
      </w:r>
    </w:p>
    <w:p w14:paraId="41F00B62" w14:textId="28DA53F5" w:rsidR="00BD1051" w:rsidRPr="00FB20BF" w:rsidRDefault="00A602D0" w:rsidP="006C0FE1">
      <w:pPr>
        <w:spacing w:line="480" w:lineRule="auto"/>
        <w:jc w:val="both"/>
        <w:rPr>
          <w:rFonts w:cstheme="minorHAnsi"/>
        </w:rPr>
      </w:pPr>
      <w:r w:rsidRPr="00FB20BF">
        <w:rPr>
          <w:rFonts w:cstheme="minorHAnsi"/>
        </w:rPr>
        <w:t xml:space="preserve">In alignment to ICH M3 (R2) </w:t>
      </w:r>
      <w:r w:rsidR="00C66375" w:rsidRPr="00FB20BF">
        <w:rPr>
          <w:rFonts w:cstheme="minorHAnsi"/>
        </w:rPr>
        <w:t>[1</w:t>
      </w:r>
      <w:r w:rsidR="00796911">
        <w:rPr>
          <w:rFonts w:cstheme="minorHAnsi"/>
        </w:rPr>
        <w:t>0</w:t>
      </w:r>
      <w:r w:rsidR="00C66375" w:rsidRPr="00FB20BF">
        <w:rPr>
          <w:rFonts w:cstheme="minorHAnsi"/>
        </w:rPr>
        <w:t>]</w:t>
      </w:r>
      <w:r w:rsidRPr="00FB20BF">
        <w:rPr>
          <w:rFonts w:cstheme="minorHAnsi"/>
        </w:rPr>
        <w:t>, n</w:t>
      </w:r>
      <w:r w:rsidR="00BD1051" w:rsidRPr="00FB20BF">
        <w:rPr>
          <w:rFonts w:cstheme="minorHAnsi"/>
        </w:rPr>
        <w:t xml:space="preserve">o specific pharmacodynamic study has been performed. The data gained from the exploratory pharmacodynamic analysis of the pivotal trial are too limited to draw any conclusion concerning trends between shed HER2 extracellular domain (ECD) and clinical response. </w:t>
      </w:r>
      <w:r w:rsidR="00937CF2">
        <w:rPr>
          <w:rFonts w:cstheme="minorHAnsi"/>
        </w:rPr>
        <w:t>I</w:t>
      </w:r>
      <w:r w:rsidR="00BD1051" w:rsidRPr="00FB20BF">
        <w:rPr>
          <w:rFonts w:cstheme="minorHAnsi"/>
        </w:rPr>
        <w:t xml:space="preserve">t remains open whether ECD concentrations at baseline &gt; 200 ng/mL are predictive of a worse clinical outcome. </w:t>
      </w:r>
    </w:p>
    <w:p w14:paraId="6575A10B" w14:textId="77777777" w:rsidR="00863E7D" w:rsidRPr="00FB20BF" w:rsidRDefault="00F81C17" w:rsidP="005B234A">
      <w:pPr>
        <w:pStyle w:val="Heading2"/>
        <w:spacing w:line="480" w:lineRule="auto"/>
        <w:rPr>
          <w:rFonts w:asciiTheme="minorHAnsi" w:hAnsiTheme="minorHAnsi" w:cstheme="minorHAnsi"/>
          <w:sz w:val="22"/>
          <w:szCs w:val="22"/>
        </w:rPr>
      </w:pPr>
      <w:bookmarkStart w:id="6" w:name="_Toc116766275"/>
      <w:r w:rsidRPr="00FB20BF">
        <w:rPr>
          <w:rFonts w:asciiTheme="minorHAnsi" w:hAnsiTheme="minorHAnsi" w:cstheme="minorHAnsi"/>
          <w:sz w:val="22"/>
          <w:szCs w:val="22"/>
        </w:rPr>
        <w:t>Part B. Clinical Plan</w:t>
      </w:r>
      <w:bookmarkEnd w:id="6"/>
    </w:p>
    <w:p w14:paraId="03320A1F" w14:textId="2B912846" w:rsidR="00F07F33" w:rsidRPr="00FB20BF" w:rsidRDefault="00333C62" w:rsidP="00420A4B">
      <w:pPr>
        <w:spacing w:line="480" w:lineRule="auto"/>
        <w:jc w:val="both"/>
        <w:rPr>
          <w:rFonts w:cstheme="minorHAnsi"/>
        </w:rPr>
      </w:pPr>
      <w:r>
        <w:rPr>
          <w:rFonts w:cstheme="minorHAnsi"/>
        </w:rPr>
        <w:t>In accordance with</w:t>
      </w:r>
      <w:r w:rsidR="003772D1">
        <w:rPr>
          <w:rFonts w:cstheme="minorHAnsi"/>
        </w:rPr>
        <w:t xml:space="preserve"> ICH E6 (R2)</w:t>
      </w:r>
      <w:r>
        <w:rPr>
          <w:rFonts w:cstheme="minorHAnsi"/>
        </w:rPr>
        <w:t xml:space="preserve"> [11], t</w:t>
      </w:r>
      <w:r w:rsidR="00420A4B" w:rsidRPr="00FB20BF">
        <w:rPr>
          <w:rFonts w:cstheme="minorHAnsi"/>
        </w:rPr>
        <w:t>here were three open-label, phase I clinical trials in</w:t>
      </w:r>
      <w:r w:rsidR="00420A4B" w:rsidRPr="00FB20BF">
        <w:rPr>
          <w:rFonts w:cstheme="minorHAnsi"/>
        </w:rPr>
        <w:t xml:space="preserve"> </w:t>
      </w:r>
      <w:r w:rsidR="00420A4B" w:rsidRPr="00FB20BF">
        <w:rPr>
          <w:rFonts w:cstheme="minorHAnsi"/>
        </w:rPr>
        <w:t>patients with refractory (grade 4) HER2-positive meta-static breast cance</w:t>
      </w:r>
      <w:r w:rsidR="00420A4B" w:rsidRPr="00FB20BF">
        <w:rPr>
          <w:rFonts w:cstheme="minorHAnsi"/>
        </w:rPr>
        <w:t>r,</w:t>
      </w:r>
      <w:r w:rsidR="00420A4B" w:rsidRPr="00FB20BF">
        <w:rPr>
          <w:rFonts w:cstheme="minorHAnsi"/>
        </w:rPr>
        <w:t xml:space="preserve"> which were primarily</w:t>
      </w:r>
      <w:r w:rsidR="00420A4B" w:rsidRPr="00FB20BF">
        <w:rPr>
          <w:rFonts w:cstheme="minorHAnsi"/>
        </w:rPr>
        <w:t xml:space="preserve"> </w:t>
      </w:r>
      <w:r w:rsidR="00420A4B" w:rsidRPr="00FB20BF">
        <w:rPr>
          <w:rFonts w:cstheme="minorHAnsi"/>
        </w:rPr>
        <w:t>designed to determine the safety, maximum tolerated</w:t>
      </w:r>
      <w:r>
        <w:rPr>
          <w:rFonts w:cstheme="minorHAnsi"/>
        </w:rPr>
        <w:t xml:space="preserve"> </w:t>
      </w:r>
      <w:r w:rsidR="00420A4B" w:rsidRPr="00FB20BF">
        <w:rPr>
          <w:rFonts w:cstheme="minorHAnsi"/>
        </w:rPr>
        <w:t xml:space="preserve">dose and pharmacokinetics of </w:t>
      </w:r>
      <w:r w:rsidR="00420A4B" w:rsidRPr="00FB20BF">
        <w:rPr>
          <w:rFonts w:cstheme="minorHAnsi"/>
        </w:rPr>
        <w:t>Hertumig</w:t>
      </w:r>
      <w:r w:rsidR="00420A4B" w:rsidRPr="00FB20BF">
        <w:rPr>
          <w:rFonts w:cstheme="minorHAnsi"/>
        </w:rPr>
        <w:t>. The</w:t>
      </w:r>
      <w:r w:rsidR="00420A4B" w:rsidRPr="00FB20BF">
        <w:rPr>
          <w:rFonts w:cstheme="minorHAnsi"/>
        </w:rPr>
        <w:t xml:space="preserve"> </w:t>
      </w:r>
      <w:r w:rsidR="00420A4B" w:rsidRPr="00FB20BF">
        <w:rPr>
          <w:rFonts w:cstheme="minorHAnsi"/>
        </w:rPr>
        <w:t>weekly schedule of i.v. infusion was based on the expected</w:t>
      </w:r>
      <w:r w:rsidR="00420A4B" w:rsidRPr="00FB20BF">
        <w:rPr>
          <w:rFonts w:cstheme="minorHAnsi"/>
        </w:rPr>
        <w:t xml:space="preserve"> </w:t>
      </w:r>
      <w:r w:rsidR="00420A4B" w:rsidRPr="00FB20BF">
        <w:rPr>
          <w:rFonts w:cstheme="minorHAnsi"/>
        </w:rPr>
        <w:t>clearance calculated from preclinical</w:t>
      </w:r>
      <w:r w:rsidR="00420A4B" w:rsidRPr="00FB20BF">
        <w:rPr>
          <w:rFonts w:cstheme="minorHAnsi"/>
        </w:rPr>
        <w:t xml:space="preserve"> </w:t>
      </w:r>
      <w:r w:rsidR="00420A4B" w:rsidRPr="00FB20BF">
        <w:rPr>
          <w:rFonts w:cstheme="minorHAnsi"/>
        </w:rPr>
        <w:t>studies and was continued until disease progressed. As is usual</w:t>
      </w:r>
      <w:r w:rsidR="00420A4B" w:rsidRPr="00FB20BF">
        <w:rPr>
          <w:rFonts w:cstheme="minorHAnsi"/>
        </w:rPr>
        <w:t xml:space="preserve"> </w:t>
      </w:r>
      <w:r w:rsidR="00420A4B" w:rsidRPr="00FB20BF">
        <w:rPr>
          <w:rFonts w:cstheme="minorHAnsi"/>
        </w:rPr>
        <w:t>in such studies, relatively low numbers of patients were</w:t>
      </w:r>
      <w:r w:rsidR="00420A4B" w:rsidRPr="00FB20BF">
        <w:rPr>
          <w:rFonts w:cstheme="minorHAnsi"/>
        </w:rPr>
        <w:t xml:space="preserve"> </w:t>
      </w:r>
      <w:r w:rsidR="00420A4B" w:rsidRPr="00FB20BF">
        <w:rPr>
          <w:rFonts w:cstheme="minorHAnsi"/>
        </w:rPr>
        <w:t xml:space="preserve">recruited in these phase I clinical trials (n </w:t>
      </w:r>
      <w:r w:rsidR="00420A4B" w:rsidRPr="00FB20BF">
        <w:rPr>
          <w:rFonts w:cstheme="minorHAnsi"/>
        </w:rPr>
        <w:t>=</w:t>
      </w:r>
      <w:r w:rsidR="00420A4B" w:rsidRPr="00FB20BF">
        <w:rPr>
          <w:rFonts w:cstheme="minorHAnsi"/>
        </w:rPr>
        <w:t>15-1</w:t>
      </w:r>
      <w:r w:rsidR="000D705F">
        <w:rPr>
          <w:rFonts w:cstheme="minorHAnsi"/>
        </w:rPr>
        <w:t>8</w:t>
      </w:r>
      <w:r w:rsidR="00420A4B" w:rsidRPr="00FB20BF">
        <w:rPr>
          <w:rFonts w:cstheme="minorHAnsi"/>
        </w:rPr>
        <w:t>) and</w:t>
      </w:r>
      <w:r w:rsidR="00420A4B" w:rsidRPr="00FB20BF">
        <w:rPr>
          <w:rFonts w:cstheme="minorHAnsi"/>
        </w:rPr>
        <w:t xml:space="preserve"> </w:t>
      </w:r>
      <w:r w:rsidR="00420A4B" w:rsidRPr="00FB20BF">
        <w:rPr>
          <w:rFonts w:cstheme="minorHAnsi"/>
        </w:rPr>
        <w:t xml:space="preserve">the </w:t>
      </w:r>
      <w:r w:rsidR="00420A4B" w:rsidRPr="00FB20BF">
        <w:rPr>
          <w:rFonts w:cstheme="minorHAnsi"/>
        </w:rPr>
        <w:t>enrolment</w:t>
      </w:r>
      <w:r w:rsidR="00420A4B" w:rsidRPr="00FB20BF">
        <w:rPr>
          <w:rFonts w:cstheme="minorHAnsi"/>
        </w:rPr>
        <w:t xml:space="preserve"> was completed in short period of time.</w:t>
      </w:r>
      <w:r w:rsidR="00420A4B" w:rsidRPr="00FB20BF">
        <w:rPr>
          <w:rFonts w:cstheme="minorHAnsi"/>
        </w:rPr>
        <w:t xml:space="preserve"> </w:t>
      </w:r>
      <w:r w:rsidR="00EA143A">
        <w:rPr>
          <w:rFonts w:cstheme="minorHAnsi"/>
        </w:rPr>
        <w:t xml:space="preserve">As a result, </w:t>
      </w:r>
      <w:r w:rsidR="00420A4B" w:rsidRPr="00FB20BF">
        <w:rPr>
          <w:rFonts w:cstheme="minorHAnsi"/>
        </w:rPr>
        <w:t>Hertumig was well tolerated at all doses from 10-</w:t>
      </w:r>
      <w:r w:rsidR="001C771B">
        <w:rPr>
          <w:rFonts w:cstheme="minorHAnsi"/>
        </w:rPr>
        <w:t xml:space="preserve">450 </w:t>
      </w:r>
      <w:r w:rsidR="00420A4B" w:rsidRPr="00FB20BF">
        <w:rPr>
          <w:rFonts w:cstheme="minorHAnsi"/>
        </w:rPr>
        <w:t>mg i.v. and a maximum tolerated dose was not</w:t>
      </w:r>
      <w:r w:rsidR="00420A4B" w:rsidRPr="00FB20BF">
        <w:rPr>
          <w:rFonts w:cstheme="minorHAnsi"/>
        </w:rPr>
        <w:t xml:space="preserve"> </w:t>
      </w:r>
      <w:r w:rsidR="00420A4B" w:rsidRPr="00FB20BF">
        <w:rPr>
          <w:rFonts w:cstheme="minorHAnsi"/>
        </w:rPr>
        <w:t>reached. In the single-agent trials, serious adverse events</w:t>
      </w:r>
      <w:r w:rsidR="00420A4B" w:rsidRPr="00FB20BF">
        <w:rPr>
          <w:rFonts w:cstheme="minorHAnsi"/>
        </w:rPr>
        <w:t xml:space="preserve"> </w:t>
      </w:r>
      <w:r w:rsidR="00420A4B" w:rsidRPr="00FB20BF">
        <w:rPr>
          <w:rFonts w:cstheme="minorHAnsi"/>
        </w:rPr>
        <w:t>were recorded in four patients, but none were considered</w:t>
      </w:r>
      <w:r w:rsidR="00420A4B" w:rsidRPr="00FB20BF">
        <w:rPr>
          <w:rFonts w:cstheme="minorHAnsi"/>
        </w:rPr>
        <w:t xml:space="preserve"> </w:t>
      </w:r>
      <w:r w:rsidR="00420A4B" w:rsidRPr="00FB20BF">
        <w:rPr>
          <w:rFonts w:cstheme="minorHAnsi"/>
        </w:rPr>
        <w:t>related to the administration of Hertumig</w:t>
      </w:r>
      <w:r>
        <w:rPr>
          <w:rFonts w:cstheme="minorHAnsi"/>
        </w:rPr>
        <w:t>.</w:t>
      </w:r>
    </w:p>
    <w:p w14:paraId="31BAE635" w14:textId="152E574E" w:rsidR="00A5313F" w:rsidRPr="00FB20BF" w:rsidRDefault="00F81C17" w:rsidP="005B234A">
      <w:pPr>
        <w:pStyle w:val="Heading2"/>
        <w:spacing w:line="480" w:lineRule="auto"/>
        <w:rPr>
          <w:rFonts w:asciiTheme="minorHAnsi" w:hAnsiTheme="minorHAnsi" w:cstheme="minorHAnsi"/>
          <w:sz w:val="22"/>
          <w:szCs w:val="22"/>
        </w:rPr>
      </w:pPr>
      <w:bookmarkStart w:id="7" w:name="_Toc116766276"/>
      <w:r w:rsidRPr="00FB20BF">
        <w:rPr>
          <w:rFonts w:asciiTheme="minorHAnsi" w:hAnsiTheme="minorHAnsi" w:cstheme="minorHAnsi"/>
          <w:sz w:val="22"/>
          <w:szCs w:val="22"/>
        </w:rPr>
        <w:lastRenderedPageBreak/>
        <w:t xml:space="preserve">Part C. </w:t>
      </w:r>
      <w:r w:rsidR="00F07F33" w:rsidRPr="00FB20BF">
        <w:rPr>
          <w:rFonts w:asciiTheme="minorHAnsi" w:hAnsiTheme="minorHAnsi" w:cstheme="minorHAnsi"/>
          <w:sz w:val="22"/>
          <w:szCs w:val="22"/>
        </w:rPr>
        <w:t>Chemistry, Manufacturing and Controls</w:t>
      </w:r>
      <w:bookmarkEnd w:id="7"/>
    </w:p>
    <w:p w14:paraId="483B274C" w14:textId="77777777" w:rsidR="003E779E" w:rsidRDefault="007F759A" w:rsidP="007F759A">
      <w:pPr>
        <w:spacing w:line="480" w:lineRule="auto"/>
        <w:jc w:val="both"/>
      </w:pPr>
      <w:r>
        <w:t xml:space="preserve">Overall, description of the upstream (cell expansion and main fermentation) and downstream process </w:t>
      </w:r>
      <w:r w:rsidR="00D92765">
        <w:t>will be provided</w:t>
      </w:r>
      <w:r>
        <w:t xml:space="preserve">. The steps, control parameters, test methods used for control, and acceptance criteria </w:t>
      </w:r>
      <w:r w:rsidR="00123734">
        <w:t>to be</w:t>
      </w:r>
      <w:r>
        <w:t xml:space="preserve"> indicated</w:t>
      </w:r>
      <w:r w:rsidR="00403015">
        <w:t>, in addition to</w:t>
      </w:r>
      <w:r>
        <w:t xml:space="preserve"> </w:t>
      </w:r>
      <w:r w:rsidR="00403015">
        <w:t>i</w:t>
      </w:r>
      <w:r>
        <w:t>nformation about buffer volumes, flow rates, in process controls, maximum target mass, and collection mode</w:t>
      </w:r>
      <w:r w:rsidR="003E779E">
        <w:t>.</w:t>
      </w:r>
    </w:p>
    <w:p w14:paraId="6A1E59C4" w14:textId="34AEAF3F" w:rsidR="00AB69BA" w:rsidRPr="00BD77C4" w:rsidRDefault="007F759A" w:rsidP="007F759A">
      <w:pPr>
        <w:spacing w:line="480" w:lineRule="auto"/>
        <w:jc w:val="both"/>
        <w:rPr>
          <w:rFonts w:cstheme="minorHAnsi"/>
          <w:iCs/>
        </w:rPr>
      </w:pPr>
      <w:r>
        <w:t xml:space="preserve">Each step in the filling, storage, and shipping steps </w:t>
      </w:r>
      <w:r w:rsidR="003E779E">
        <w:t>will be</w:t>
      </w:r>
      <w:r>
        <w:t xml:space="preserve"> described adequately, along with in-process controls and tests. The specifications for the raw materials used</w:t>
      </w:r>
      <w:r w:rsidR="00564C11">
        <w:t xml:space="preserve"> for</w:t>
      </w:r>
      <w:r>
        <w:t xml:space="preserve"> purification, and the bulk formulation process </w:t>
      </w:r>
      <w:r w:rsidR="006D0459">
        <w:t>will be</w:t>
      </w:r>
      <w:r>
        <w:t xml:space="preserve"> provided</w:t>
      </w:r>
      <w:r>
        <w:t>.</w:t>
      </w:r>
    </w:p>
    <w:p w14:paraId="2966B53B" w14:textId="77777777" w:rsidR="00A5313F" w:rsidRPr="00FB20BF" w:rsidRDefault="00A5313F" w:rsidP="005B234A">
      <w:pPr>
        <w:spacing w:line="480" w:lineRule="auto"/>
        <w:rPr>
          <w:rFonts w:eastAsiaTheme="majorEastAsia" w:cstheme="minorHAnsi"/>
          <w:color w:val="2F5496" w:themeColor="accent1" w:themeShade="BF"/>
        </w:rPr>
      </w:pPr>
      <w:r w:rsidRPr="00FB20BF">
        <w:rPr>
          <w:rFonts w:cstheme="minorHAnsi"/>
        </w:rPr>
        <w:br w:type="page"/>
      </w:r>
    </w:p>
    <w:p w14:paraId="2558437B" w14:textId="6D3B9A48" w:rsidR="007B6283" w:rsidRPr="00FB20BF" w:rsidRDefault="007B6283">
      <w:pPr>
        <w:rPr>
          <w:rFonts w:cstheme="minorHAnsi"/>
          <w:iCs/>
        </w:rPr>
      </w:pPr>
    </w:p>
    <w:p w14:paraId="0EFDD6E1" w14:textId="4D6215D0" w:rsidR="007B6283" w:rsidRPr="00FB20BF" w:rsidRDefault="007B6283" w:rsidP="007B6283">
      <w:pPr>
        <w:pStyle w:val="Heading1"/>
        <w:numPr>
          <w:ilvl w:val="0"/>
          <w:numId w:val="1"/>
        </w:numPr>
        <w:spacing w:line="480" w:lineRule="auto"/>
        <w:rPr>
          <w:rFonts w:asciiTheme="minorHAnsi" w:hAnsiTheme="minorHAnsi" w:cstheme="minorHAnsi"/>
          <w:sz w:val="22"/>
          <w:szCs w:val="22"/>
        </w:rPr>
      </w:pPr>
      <w:bookmarkStart w:id="8" w:name="_Toc116766277"/>
      <w:r w:rsidRPr="00FB20BF">
        <w:rPr>
          <w:rFonts w:asciiTheme="minorHAnsi" w:hAnsiTheme="minorHAnsi" w:cstheme="minorHAnsi"/>
          <w:sz w:val="22"/>
          <w:szCs w:val="22"/>
        </w:rPr>
        <w:t>References</w:t>
      </w:r>
      <w:bookmarkEnd w:id="8"/>
    </w:p>
    <w:p w14:paraId="779B841C" w14:textId="77777777" w:rsidR="0077258C" w:rsidRPr="00FB20BF" w:rsidRDefault="0077258C" w:rsidP="0077258C">
      <w:pPr>
        <w:ind w:firstLine="720"/>
        <w:rPr>
          <w:rFonts w:cstheme="minorHAnsi"/>
        </w:rPr>
      </w:pPr>
      <w:r w:rsidRPr="00FB20BF">
        <w:rPr>
          <w:rFonts w:cstheme="minorHAnsi"/>
        </w:rPr>
        <w:t xml:space="preserve">[1] D. Zahavi and L. Weiner, “Monoclonal antibodies in cancer therapy,” Antibodies, vol. 9, no. 3, p. 34, 2020. </w:t>
      </w:r>
    </w:p>
    <w:p w14:paraId="327A8C74" w14:textId="77777777" w:rsidR="0077258C" w:rsidRPr="00FB20BF" w:rsidRDefault="0077258C" w:rsidP="0077258C">
      <w:pPr>
        <w:ind w:firstLine="720"/>
        <w:rPr>
          <w:rFonts w:cstheme="minorHAnsi"/>
        </w:rPr>
      </w:pPr>
      <w:r w:rsidRPr="00FB20BF">
        <w:rPr>
          <w:rFonts w:cstheme="minorHAnsi"/>
        </w:rPr>
        <w:t xml:space="preserve">[2] K. Rajewsky, The advent and rise of monoclonal antibodies. Nature Publishing Group, 2019. </w:t>
      </w:r>
    </w:p>
    <w:p w14:paraId="7DAF95F4" w14:textId="77777777" w:rsidR="0077258C" w:rsidRPr="00FB20BF" w:rsidRDefault="0077258C" w:rsidP="0077258C">
      <w:pPr>
        <w:ind w:firstLine="720"/>
        <w:rPr>
          <w:rFonts w:cstheme="minorHAnsi"/>
        </w:rPr>
      </w:pPr>
      <w:r w:rsidRPr="00FB20BF">
        <w:rPr>
          <w:rFonts w:cstheme="minorHAnsi"/>
        </w:rPr>
        <w:t xml:space="preserve">[3] A. Mullard, “FDA approves 100th monoclonal antibody product.,” Nature reviews. Drug discovery, 2021. </w:t>
      </w:r>
    </w:p>
    <w:p w14:paraId="503AF65C" w14:textId="77777777" w:rsidR="0077258C" w:rsidRPr="00FB20BF" w:rsidRDefault="0077258C" w:rsidP="0077258C">
      <w:pPr>
        <w:ind w:firstLine="720"/>
        <w:rPr>
          <w:rFonts w:cstheme="minorHAnsi"/>
        </w:rPr>
      </w:pPr>
      <w:r w:rsidRPr="00FB20BF">
        <w:rPr>
          <w:rFonts w:cstheme="minorHAnsi"/>
        </w:rPr>
        <w:t xml:space="preserve">[4] J. T. Ryman and B. Meibohm, “Pharmacokinetics of monoclonal antibodies,” CPT: pharmacometrics &amp; systems pharmacology, vol. 6, no. 9, pp. 576–588, 2017. </w:t>
      </w:r>
    </w:p>
    <w:p w14:paraId="6A9F3EEE" w14:textId="77777777" w:rsidR="0077258C" w:rsidRPr="00FB20BF" w:rsidRDefault="0077258C" w:rsidP="0077258C">
      <w:pPr>
        <w:ind w:firstLine="720"/>
        <w:rPr>
          <w:rFonts w:cstheme="minorHAnsi"/>
        </w:rPr>
      </w:pPr>
      <w:r w:rsidRPr="00FB20BF">
        <w:rPr>
          <w:rFonts w:cstheme="minorHAnsi"/>
        </w:rPr>
        <w:t>[5] T. T. Hansel, H. Kropshofer, T. Singer, J. A. Mitchell, and A. J. George, “The safety and side effects of monoclonal antibodies,” Nature reviews Drug discovery, vol. 9, no. 4, pp. 325–338, 2010.</w:t>
      </w:r>
    </w:p>
    <w:p w14:paraId="3E14847C" w14:textId="77777777" w:rsidR="0077258C" w:rsidRPr="00FB20BF" w:rsidRDefault="0077258C" w:rsidP="0077258C">
      <w:pPr>
        <w:ind w:firstLine="720"/>
        <w:rPr>
          <w:rFonts w:cstheme="minorHAnsi"/>
        </w:rPr>
      </w:pPr>
      <w:r w:rsidRPr="00FB20BF">
        <w:rPr>
          <w:rFonts w:cstheme="minorHAnsi"/>
        </w:rPr>
        <w:t>[</w:t>
      </w:r>
      <w:r w:rsidRPr="00FB20BF">
        <w:rPr>
          <w:rFonts w:cstheme="minorHAnsi"/>
        </w:rPr>
        <w:t xml:space="preserve">6] G. Suntharalingam et al., “Cytokine storm in a phase 1 trial of the anti-CD28 monoclonal antibody TGN1412.,” N Engl J Med, vol. 355, no. 10, pp. 1018–1028, Sep. 2006, doi: 10.1056/NEJMoa063842. </w:t>
      </w:r>
    </w:p>
    <w:p w14:paraId="7CA910B9" w14:textId="77777777" w:rsidR="0077258C" w:rsidRPr="00FB20BF" w:rsidRDefault="0077258C" w:rsidP="0077258C">
      <w:pPr>
        <w:ind w:firstLine="720"/>
        <w:rPr>
          <w:rFonts w:cstheme="minorHAnsi"/>
        </w:rPr>
      </w:pPr>
      <w:r w:rsidRPr="00FB20BF">
        <w:rPr>
          <w:rFonts w:cstheme="minorHAnsi"/>
        </w:rPr>
        <w:t xml:space="preserve">[7] L. M. Weiner, R. Surana, and S. Wang, “Monoclonal antibodies: versatile platforms for cancer immunotherapy,” Nature Reviews Immunology, vol. 10, no. 5, pp. 317–327, 2010. </w:t>
      </w:r>
    </w:p>
    <w:p w14:paraId="26418F03" w14:textId="77777777" w:rsidR="0077258C" w:rsidRPr="00FB20BF" w:rsidRDefault="0077258C" w:rsidP="0077258C">
      <w:pPr>
        <w:ind w:firstLine="720"/>
        <w:rPr>
          <w:rFonts w:cstheme="minorHAnsi"/>
        </w:rPr>
      </w:pPr>
      <w:r w:rsidRPr="00FB20BF">
        <w:rPr>
          <w:rFonts w:cstheme="minorHAnsi"/>
        </w:rPr>
        <w:t xml:space="preserve">[8] R. Balocco, S. D. S. G. Koch, R. Thorpe, K. Weisser, and S. Malan, “New INN nomenclature for monoclonal antibodies,” The Lancet, vol. 399, no. 10319, p. 24, 2022. </w:t>
      </w:r>
    </w:p>
    <w:p w14:paraId="46EBB40A" w14:textId="3C183DFB" w:rsidR="007B6283" w:rsidRPr="00FB20BF" w:rsidRDefault="0077258C" w:rsidP="0077258C">
      <w:pPr>
        <w:ind w:firstLine="720"/>
        <w:rPr>
          <w:rFonts w:cstheme="minorHAnsi"/>
        </w:rPr>
      </w:pPr>
      <w:r w:rsidRPr="00FB20BF">
        <w:rPr>
          <w:rFonts w:cstheme="minorHAnsi"/>
        </w:rPr>
        <w:t>[9] S. M. Chiavenna, J. P. Jaworski, and A. Vendrell, “State of the art in anti-cancer mAbs.,” J Biomed Sci, vol. 24, no. 1, p. 15, Feb. 2017, doi: 10.1186/s12929-016-0311-y.</w:t>
      </w:r>
    </w:p>
    <w:p w14:paraId="090EA280" w14:textId="356242A5" w:rsidR="0077258C" w:rsidRPr="004E1FA9" w:rsidRDefault="0077258C" w:rsidP="0077258C">
      <w:pPr>
        <w:ind w:firstLine="720"/>
        <w:rPr>
          <w:rFonts w:cstheme="minorHAnsi"/>
          <w:lang w:val="fr-CH"/>
        </w:rPr>
      </w:pPr>
      <w:r w:rsidRPr="00FB20BF">
        <w:rPr>
          <w:rFonts w:cstheme="minorHAnsi"/>
        </w:rPr>
        <w:t>[1</w:t>
      </w:r>
      <w:r w:rsidR="00622D92">
        <w:rPr>
          <w:rFonts w:cstheme="minorHAnsi"/>
        </w:rPr>
        <w:t>0</w:t>
      </w:r>
      <w:r w:rsidRPr="00FB20BF">
        <w:rPr>
          <w:rFonts w:cstheme="minorHAnsi"/>
        </w:rPr>
        <w:t xml:space="preserve">] “EudraLex Volume 10 Clinical trials guidelines.” 2014. [Online]. </w:t>
      </w:r>
      <w:r w:rsidRPr="004E1FA9">
        <w:rPr>
          <w:rFonts w:cstheme="minorHAnsi"/>
          <w:lang w:val="fr-CH"/>
        </w:rPr>
        <w:t xml:space="preserve">Available: </w:t>
      </w:r>
      <w:hyperlink r:id="rId9" w:history="1">
        <w:r w:rsidR="00622D92" w:rsidRPr="004E1FA9">
          <w:rPr>
            <w:rStyle w:val="Hyperlink"/>
            <w:rFonts w:cstheme="minorHAnsi"/>
            <w:lang w:val="fr-CH"/>
          </w:rPr>
          <w:t>https://health.ec.europa.eu/medicinal-products/eudralex/eudralex-volume-10_e</w:t>
        </w:r>
        <w:r w:rsidR="00622D92" w:rsidRPr="004E1FA9">
          <w:rPr>
            <w:rStyle w:val="Hyperlink"/>
            <w:rFonts w:cstheme="minorHAnsi"/>
            <w:lang w:val="fr-CH"/>
          </w:rPr>
          <w:t>n</w:t>
        </w:r>
      </w:hyperlink>
      <w:r w:rsidR="00622D92" w:rsidRPr="004E1FA9">
        <w:rPr>
          <w:rFonts w:cstheme="minorHAnsi"/>
          <w:lang w:val="fr-CH"/>
        </w:rPr>
        <w:t>.</w:t>
      </w:r>
    </w:p>
    <w:p w14:paraId="25DC909B" w14:textId="725B7F39" w:rsidR="00622D92" w:rsidRPr="00E36187" w:rsidRDefault="00622D92" w:rsidP="0077258C">
      <w:pPr>
        <w:ind w:firstLine="720"/>
        <w:rPr>
          <w:lang w:val="fr-CH"/>
        </w:rPr>
      </w:pPr>
      <w:r>
        <w:t>[1</w:t>
      </w:r>
      <w:r>
        <w:t>1</w:t>
      </w:r>
      <w:r>
        <w:t xml:space="preserve">] I. C. H. Guideline, “ICH: E6(R2) Good Clinical Practice (GCP). ICH Efficacy Guidelines.,” 2016. [Online]. </w:t>
      </w:r>
      <w:r w:rsidRPr="00E36187">
        <w:rPr>
          <w:lang w:val="fr-CH"/>
        </w:rPr>
        <w:t xml:space="preserve">Available: </w:t>
      </w:r>
      <w:hyperlink r:id="rId10" w:history="1">
        <w:r w:rsidR="00E36187" w:rsidRPr="00E36187">
          <w:rPr>
            <w:rStyle w:val="Hyperlink"/>
            <w:lang w:val="fr-CH"/>
          </w:rPr>
          <w:t>https://database.ich.org/sites/default/files/E6_R2_Addendum.pdf</w:t>
        </w:r>
      </w:hyperlink>
    </w:p>
    <w:p w14:paraId="71D1558F" w14:textId="0A72D7E6" w:rsidR="00E36187" w:rsidRPr="00E36187" w:rsidRDefault="00E36187" w:rsidP="0077258C">
      <w:pPr>
        <w:ind w:firstLine="720"/>
        <w:rPr>
          <w:rFonts w:cstheme="minorHAnsi"/>
          <w:lang w:val="fr-CH"/>
        </w:rPr>
      </w:pPr>
      <w:r>
        <w:rPr>
          <w:lang w:val="fr-CH"/>
        </w:rPr>
        <w:t>[12] EMA Herceptin Scientific Discussion</w:t>
      </w:r>
    </w:p>
    <w:sectPr w:rsidR="00E36187" w:rsidRPr="00E36187" w:rsidSect="00F07F33">
      <w:footerReference w:type="default" r:id="rId11"/>
      <w:head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7C5A6" w14:textId="77777777" w:rsidR="00626B65" w:rsidRDefault="00626B65" w:rsidP="00A5313F">
      <w:pPr>
        <w:spacing w:after="0" w:line="240" w:lineRule="auto"/>
      </w:pPr>
      <w:r>
        <w:separator/>
      </w:r>
    </w:p>
  </w:endnote>
  <w:endnote w:type="continuationSeparator" w:id="0">
    <w:p w14:paraId="776D8B8E" w14:textId="77777777" w:rsidR="00626B65" w:rsidRDefault="00626B65" w:rsidP="00A5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544753"/>
      <w:docPartObj>
        <w:docPartGallery w:val="Page Numbers (Bottom of Page)"/>
        <w:docPartUnique/>
      </w:docPartObj>
    </w:sdtPr>
    <w:sdtContent>
      <w:sdt>
        <w:sdtPr>
          <w:id w:val="-1769616900"/>
          <w:docPartObj>
            <w:docPartGallery w:val="Page Numbers (Top of Page)"/>
            <w:docPartUnique/>
          </w:docPartObj>
        </w:sdtPr>
        <w:sdtContent>
          <w:p w14:paraId="0DCE1F51" w14:textId="77777777" w:rsidR="00913603" w:rsidRDefault="0091360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22D9D">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22D9D">
              <w:rPr>
                <w:b/>
                <w:bCs/>
                <w:noProof/>
              </w:rPr>
              <w:t>10</w:t>
            </w:r>
            <w:r>
              <w:rPr>
                <w:b/>
                <w:bCs/>
                <w:sz w:val="24"/>
                <w:szCs w:val="24"/>
              </w:rPr>
              <w:fldChar w:fldCharType="end"/>
            </w:r>
          </w:p>
        </w:sdtContent>
      </w:sdt>
    </w:sdtContent>
  </w:sdt>
  <w:p w14:paraId="37942C09" w14:textId="77777777" w:rsidR="00913603" w:rsidRDefault="00913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32B54" w14:textId="77777777" w:rsidR="00626B65" w:rsidRDefault="00626B65" w:rsidP="00A5313F">
      <w:pPr>
        <w:spacing w:after="0" w:line="240" w:lineRule="auto"/>
      </w:pPr>
      <w:r>
        <w:separator/>
      </w:r>
    </w:p>
  </w:footnote>
  <w:footnote w:type="continuationSeparator" w:id="0">
    <w:p w14:paraId="27FEA45F" w14:textId="77777777" w:rsidR="00626B65" w:rsidRDefault="00626B65" w:rsidP="00A53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158B" w14:textId="09C74A21" w:rsidR="00652A59" w:rsidRDefault="008741EE">
    <w:pPr>
      <w:pStyle w:val="Header"/>
    </w:pPr>
    <w:r>
      <w:t>Rev 0</w:t>
    </w:r>
    <w:r w:rsidR="00D3621E">
      <w:t>2</w:t>
    </w:r>
    <w:r>
      <w:t xml:space="preserve"> </w:t>
    </w:r>
  </w:p>
  <w:p w14:paraId="05ADCD4F" w14:textId="56918372" w:rsidR="008741EE" w:rsidRDefault="00652A59">
    <w:pPr>
      <w:pStyle w:val="Header"/>
    </w:pPr>
    <w:r>
      <w:t>Raluca Ganea</w:t>
    </w:r>
    <w:r w:rsidR="008741EE">
      <w:tab/>
    </w:r>
    <w:r w:rsidR="008741EE">
      <w:rPr>
        <w:rFonts w:ascii="Calibri" w:hAnsi="Calibri" w:cs="Calibri"/>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4C8"/>
    <w:multiLevelType w:val="hybridMultilevel"/>
    <w:tmpl w:val="4ABEB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FF0142"/>
    <w:multiLevelType w:val="hybridMultilevel"/>
    <w:tmpl w:val="666EE94A"/>
    <w:lvl w:ilvl="0" w:tplc="5D7E2CFC">
      <w:start w:val="1"/>
      <w:numFmt w:val="bullet"/>
      <w:lvlText w:val=""/>
      <w:lvlJc w:val="left"/>
      <w:pPr>
        <w:ind w:left="1789" w:hanging="360"/>
      </w:pPr>
      <w:rPr>
        <w:rFonts w:ascii="Wingdings" w:hAnsi="Wingdings" w:hint="default"/>
        <w:sz w:val="32"/>
        <w:szCs w:val="32"/>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2" w15:restartNumberingAfterBreak="0">
    <w:nsid w:val="4AFC5B19"/>
    <w:multiLevelType w:val="hybridMultilevel"/>
    <w:tmpl w:val="365A9E20"/>
    <w:lvl w:ilvl="0" w:tplc="16F6204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00AB8"/>
    <w:multiLevelType w:val="hybridMultilevel"/>
    <w:tmpl w:val="56103C3C"/>
    <w:lvl w:ilvl="0" w:tplc="0809000B">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14110C"/>
    <w:multiLevelType w:val="hybridMultilevel"/>
    <w:tmpl w:val="73B8E7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2875952">
    <w:abstractNumId w:val="0"/>
  </w:num>
  <w:num w:numId="2" w16cid:durableId="2029794425">
    <w:abstractNumId w:val="2"/>
  </w:num>
  <w:num w:numId="3" w16cid:durableId="573660928">
    <w:abstractNumId w:val="4"/>
  </w:num>
  <w:num w:numId="4" w16cid:durableId="2124881475">
    <w:abstractNumId w:val="3"/>
  </w:num>
  <w:num w:numId="5" w16cid:durableId="180855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3"/>
    <w:rsid w:val="0000012C"/>
    <w:rsid w:val="000075B5"/>
    <w:rsid w:val="0005694D"/>
    <w:rsid w:val="000D705F"/>
    <w:rsid w:val="000E1D7C"/>
    <w:rsid w:val="000F1B95"/>
    <w:rsid w:val="001132F2"/>
    <w:rsid w:val="00123734"/>
    <w:rsid w:val="00133BF0"/>
    <w:rsid w:val="0013762F"/>
    <w:rsid w:val="001438B9"/>
    <w:rsid w:val="00170318"/>
    <w:rsid w:val="0018232D"/>
    <w:rsid w:val="0019335B"/>
    <w:rsid w:val="001A2A0F"/>
    <w:rsid w:val="001A5520"/>
    <w:rsid w:val="001B7EE1"/>
    <w:rsid w:val="001C0DD6"/>
    <w:rsid w:val="001C27E8"/>
    <w:rsid w:val="001C771B"/>
    <w:rsid w:val="001D4C8B"/>
    <w:rsid w:val="0022329C"/>
    <w:rsid w:val="00223CBB"/>
    <w:rsid w:val="00225F13"/>
    <w:rsid w:val="002628F7"/>
    <w:rsid w:val="00292154"/>
    <w:rsid w:val="002B6B80"/>
    <w:rsid w:val="002D3538"/>
    <w:rsid w:val="002E63B3"/>
    <w:rsid w:val="002F1F1B"/>
    <w:rsid w:val="00333C62"/>
    <w:rsid w:val="00337864"/>
    <w:rsid w:val="00337F36"/>
    <w:rsid w:val="003458E5"/>
    <w:rsid w:val="00357FDB"/>
    <w:rsid w:val="003772D1"/>
    <w:rsid w:val="00377CBF"/>
    <w:rsid w:val="00380381"/>
    <w:rsid w:val="003A7633"/>
    <w:rsid w:val="003B6FEB"/>
    <w:rsid w:val="003C3EB8"/>
    <w:rsid w:val="003C4B77"/>
    <w:rsid w:val="003D29A2"/>
    <w:rsid w:val="003D57D1"/>
    <w:rsid w:val="003E779E"/>
    <w:rsid w:val="003F2503"/>
    <w:rsid w:val="003F5F07"/>
    <w:rsid w:val="00401ED0"/>
    <w:rsid w:val="00403015"/>
    <w:rsid w:val="004047AC"/>
    <w:rsid w:val="00420A4B"/>
    <w:rsid w:val="004423BB"/>
    <w:rsid w:val="00456066"/>
    <w:rsid w:val="00475D9A"/>
    <w:rsid w:val="004955CC"/>
    <w:rsid w:val="004A3BD1"/>
    <w:rsid w:val="004C1DCF"/>
    <w:rsid w:val="004E1FA9"/>
    <w:rsid w:val="004F169D"/>
    <w:rsid w:val="00530CCD"/>
    <w:rsid w:val="0055669D"/>
    <w:rsid w:val="00564C11"/>
    <w:rsid w:val="0059748C"/>
    <w:rsid w:val="005B234A"/>
    <w:rsid w:val="005B6673"/>
    <w:rsid w:val="005B6E97"/>
    <w:rsid w:val="005D1D3A"/>
    <w:rsid w:val="005F0570"/>
    <w:rsid w:val="005F467B"/>
    <w:rsid w:val="00604289"/>
    <w:rsid w:val="00622D92"/>
    <w:rsid w:val="00625A98"/>
    <w:rsid w:val="00626B65"/>
    <w:rsid w:val="00637B35"/>
    <w:rsid w:val="006451CE"/>
    <w:rsid w:val="00652A59"/>
    <w:rsid w:val="006576BA"/>
    <w:rsid w:val="00671E75"/>
    <w:rsid w:val="00677675"/>
    <w:rsid w:val="00683682"/>
    <w:rsid w:val="00692C81"/>
    <w:rsid w:val="006B723C"/>
    <w:rsid w:val="006C0FE1"/>
    <w:rsid w:val="006D0459"/>
    <w:rsid w:val="00704EDC"/>
    <w:rsid w:val="0072192C"/>
    <w:rsid w:val="0073756C"/>
    <w:rsid w:val="0076676B"/>
    <w:rsid w:val="0077258C"/>
    <w:rsid w:val="00790B88"/>
    <w:rsid w:val="007936BE"/>
    <w:rsid w:val="00796911"/>
    <w:rsid w:val="007A20B5"/>
    <w:rsid w:val="007B6283"/>
    <w:rsid w:val="007F759A"/>
    <w:rsid w:val="00802001"/>
    <w:rsid w:val="00810819"/>
    <w:rsid w:val="008249FA"/>
    <w:rsid w:val="00861CC1"/>
    <w:rsid w:val="00863E7D"/>
    <w:rsid w:val="008741EE"/>
    <w:rsid w:val="00881D69"/>
    <w:rsid w:val="0088771A"/>
    <w:rsid w:val="00892D57"/>
    <w:rsid w:val="008C4061"/>
    <w:rsid w:val="008C56EA"/>
    <w:rsid w:val="008F2311"/>
    <w:rsid w:val="00900495"/>
    <w:rsid w:val="00913603"/>
    <w:rsid w:val="00920D16"/>
    <w:rsid w:val="009304EF"/>
    <w:rsid w:val="00933A72"/>
    <w:rsid w:val="009352DE"/>
    <w:rsid w:val="00937CF2"/>
    <w:rsid w:val="00947952"/>
    <w:rsid w:val="0099261E"/>
    <w:rsid w:val="009C4AF3"/>
    <w:rsid w:val="00A22D9D"/>
    <w:rsid w:val="00A30D35"/>
    <w:rsid w:val="00A5313F"/>
    <w:rsid w:val="00A602D0"/>
    <w:rsid w:val="00A70180"/>
    <w:rsid w:val="00A90851"/>
    <w:rsid w:val="00AA5EF9"/>
    <w:rsid w:val="00AB6904"/>
    <w:rsid w:val="00AB69BA"/>
    <w:rsid w:val="00AC3B0F"/>
    <w:rsid w:val="00B5153F"/>
    <w:rsid w:val="00B94E8E"/>
    <w:rsid w:val="00BA452A"/>
    <w:rsid w:val="00BD1051"/>
    <w:rsid w:val="00BD77C4"/>
    <w:rsid w:val="00BF2F44"/>
    <w:rsid w:val="00C16CBF"/>
    <w:rsid w:val="00C33255"/>
    <w:rsid w:val="00C54472"/>
    <w:rsid w:val="00C55B5B"/>
    <w:rsid w:val="00C66375"/>
    <w:rsid w:val="00C66433"/>
    <w:rsid w:val="00C939EF"/>
    <w:rsid w:val="00CA52F3"/>
    <w:rsid w:val="00CA530D"/>
    <w:rsid w:val="00CE5DA7"/>
    <w:rsid w:val="00CF18C9"/>
    <w:rsid w:val="00CF669D"/>
    <w:rsid w:val="00D33E0F"/>
    <w:rsid w:val="00D3621E"/>
    <w:rsid w:val="00D47234"/>
    <w:rsid w:val="00D740AB"/>
    <w:rsid w:val="00D92765"/>
    <w:rsid w:val="00D94EAB"/>
    <w:rsid w:val="00D968EE"/>
    <w:rsid w:val="00DA3222"/>
    <w:rsid w:val="00DA7091"/>
    <w:rsid w:val="00DF320A"/>
    <w:rsid w:val="00DF5327"/>
    <w:rsid w:val="00E051BC"/>
    <w:rsid w:val="00E3551C"/>
    <w:rsid w:val="00E35CA5"/>
    <w:rsid w:val="00E35EBB"/>
    <w:rsid w:val="00E36187"/>
    <w:rsid w:val="00E42C3C"/>
    <w:rsid w:val="00E4762D"/>
    <w:rsid w:val="00E7147F"/>
    <w:rsid w:val="00E72557"/>
    <w:rsid w:val="00EA143A"/>
    <w:rsid w:val="00ED7416"/>
    <w:rsid w:val="00ED7DC1"/>
    <w:rsid w:val="00EF306D"/>
    <w:rsid w:val="00F07F33"/>
    <w:rsid w:val="00F13AE9"/>
    <w:rsid w:val="00F65981"/>
    <w:rsid w:val="00F74DA2"/>
    <w:rsid w:val="00F81C17"/>
    <w:rsid w:val="00F82AB8"/>
    <w:rsid w:val="00FB2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E72A"/>
  <w15:docId w15:val="{75EE7087-C2F7-425B-83D4-EC205A92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C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7F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7F33"/>
    <w:rPr>
      <w:rFonts w:eastAsiaTheme="minorEastAsia"/>
      <w:lang w:val="en-US"/>
    </w:rPr>
  </w:style>
  <w:style w:type="character" w:customStyle="1" w:styleId="Heading1Char">
    <w:name w:val="Heading 1 Char"/>
    <w:basedOn w:val="DefaultParagraphFont"/>
    <w:link w:val="Heading1"/>
    <w:uiPriority w:val="9"/>
    <w:rsid w:val="00F07F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7F33"/>
    <w:pPr>
      <w:outlineLvl w:val="9"/>
    </w:pPr>
    <w:rPr>
      <w:lang w:val="en-US"/>
    </w:rPr>
  </w:style>
  <w:style w:type="paragraph" w:styleId="ListParagraph">
    <w:name w:val="List Paragraph"/>
    <w:basedOn w:val="Normal"/>
    <w:uiPriority w:val="34"/>
    <w:qFormat/>
    <w:rsid w:val="00F07F33"/>
    <w:pPr>
      <w:ind w:left="720"/>
      <w:contextualSpacing/>
    </w:pPr>
  </w:style>
  <w:style w:type="paragraph" w:styleId="Header">
    <w:name w:val="header"/>
    <w:basedOn w:val="Normal"/>
    <w:link w:val="HeaderChar"/>
    <w:uiPriority w:val="99"/>
    <w:unhideWhenUsed/>
    <w:rsid w:val="00A53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3F"/>
  </w:style>
  <w:style w:type="paragraph" w:styleId="Footer">
    <w:name w:val="footer"/>
    <w:basedOn w:val="Normal"/>
    <w:link w:val="FooterChar"/>
    <w:uiPriority w:val="99"/>
    <w:unhideWhenUsed/>
    <w:rsid w:val="00A53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3F"/>
  </w:style>
  <w:style w:type="paragraph" w:styleId="TOC1">
    <w:name w:val="toc 1"/>
    <w:basedOn w:val="Normal"/>
    <w:next w:val="Normal"/>
    <w:autoRedefine/>
    <w:uiPriority w:val="39"/>
    <w:unhideWhenUsed/>
    <w:rsid w:val="00B94E8E"/>
    <w:pPr>
      <w:spacing w:after="100"/>
    </w:pPr>
  </w:style>
  <w:style w:type="character" w:styleId="Hyperlink">
    <w:name w:val="Hyperlink"/>
    <w:basedOn w:val="DefaultParagraphFont"/>
    <w:uiPriority w:val="99"/>
    <w:unhideWhenUsed/>
    <w:rsid w:val="00B94E8E"/>
    <w:rPr>
      <w:color w:val="0563C1" w:themeColor="hyperlink"/>
      <w:u w:val="single"/>
    </w:rPr>
  </w:style>
  <w:style w:type="character" w:styleId="UnresolvedMention">
    <w:name w:val="Unresolved Mention"/>
    <w:basedOn w:val="DefaultParagraphFont"/>
    <w:uiPriority w:val="99"/>
    <w:semiHidden/>
    <w:unhideWhenUsed/>
    <w:rsid w:val="00AB69BA"/>
    <w:rPr>
      <w:color w:val="808080"/>
      <w:shd w:val="clear" w:color="auto" w:fill="E6E6E6"/>
    </w:rPr>
  </w:style>
  <w:style w:type="character" w:customStyle="1" w:styleId="Heading2Char">
    <w:name w:val="Heading 2 Char"/>
    <w:basedOn w:val="DefaultParagraphFont"/>
    <w:link w:val="Heading2"/>
    <w:uiPriority w:val="9"/>
    <w:rsid w:val="00F81C1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2C81"/>
    <w:pPr>
      <w:spacing w:after="100"/>
      <w:ind w:left="220"/>
    </w:pPr>
  </w:style>
  <w:style w:type="character" w:customStyle="1" w:styleId="c-mrkdwntab">
    <w:name w:val="c-mrkdwn__tab"/>
    <w:basedOn w:val="DefaultParagraphFont"/>
    <w:rsid w:val="00D740AB"/>
  </w:style>
  <w:style w:type="table" w:styleId="TableGrid">
    <w:name w:val="Table Grid"/>
    <w:basedOn w:val="TableNormal"/>
    <w:uiPriority w:val="39"/>
    <w:rsid w:val="004A3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atabase.ich.org/sites/default/files/E6_R2_Addendum.pdf" TargetMode="External"/><Relationship Id="rId4" Type="http://schemas.openxmlformats.org/officeDocument/2006/relationships/styles" Target="styles.xml"/><Relationship Id="rId9" Type="http://schemas.openxmlformats.org/officeDocument/2006/relationships/hyperlink" Target="https://health.ec.europa.eu/medicinal-products/eudralex/eudralex-volume-10_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17D98-D344-41B4-BC89-C5841AE16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Drug Development Plan</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Development Plan</dc:title>
  <dc:subject>mAbs - Hertumig</dc:subject>
  <dc:creator>RG</dc:creator>
  <cp:keywords/>
  <dc:description/>
  <cp:lastModifiedBy>RG</cp:lastModifiedBy>
  <cp:revision>49</cp:revision>
  <cp:lastPrinted>2022-10-15T20:53:00Z</cp:lastPrinted>
  <dcterms:created xsi:type="dcterms:W3CDTF">2022-10-15T21:08:00Z</dcterms:created>
  <dcterms:modified xsi:type="dcterms:W3CDTF">2022-10-15T21:41:00Z</dcterms:modified>
</cp:coreProperties>
</file>