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10479733"/>
        <w:docPartObj>
          <w:docPartGallery w:val="Cover Pages"/>
          <w:docPartUnique/>
        </w:docPartObj>
      </w:sdtPr>
      <w:sdtEndPr>
        <w:rPr>
          <w:rFonts w:eastAsiaTheme="majorEastAsia"/>
          <w:color w:val="2F5496" w:themeColor="accent1" w:themeShade="BF"/>
        </w:rPr>
      </w:sdtEndPr>
      <w:sdtContent>
        <w:p w14:paraId="753B14CA" w14:textId="77777777" w:rsidR="00DA0327" w:rsidRPr="00126EE2" w:rsidRDefault="00DA0327" w:rsidP="00DA0327">
          <w:pPr>
            <w:spacing w:line="480" w:lineRule="auto"/>
            <w:jc w:val="both"/>
            <w:rPr>
              <w:rFonts w:cstheme="minorHAnsi"/>
              <w:sz w:val="24"/>
              <w:szCs w:val="24"/>
            </w:rPr>
          </w:pPr>
        </w:p>
        <w:p w14:paraId="769989F5" w14:textId="77777777" w:rsidR="00DA0327" w:rsidRPr="00126EE2" w:rsidRDefault="00DA0327" w:rsidP="00DA0327">
          <w:pPr>
            <w:tabs>
              <w:tab w:val="left" w:pos="6690"/>
            </w:tabs>
            <w:spacing w:line="480" w:lineRule="auto"/>
            <w:jc w:val="both"/>
            <w:rPr>
              <w:rFonts w:eastAsiaTheme="majorEastAsia" w:cstheme="minorHAnsi"/>
              <w:color w:val="2F5496" w:themeColor="accent1" w:themeShade="BF"/>
              <w:sz w:val="24"/>
              <w:szCs w:val="24"/>
            </w:rPr>
          </w:pPr>
          <w:r w:rsidRPr="00126EE2">
            <w:rPr>
              <w:rFonts w:eastAsiaTheme="majorEastAsia" w:cstheme="minorHAnsi"/>
              <w:color w:val="2F5496" w:themeColor="accent1" w:themeShade="BF"/>
              <w:sz w:val="24"/>
              <w:szCs w:val="24"/>
            </w:rPr>
            <mc:AlternateContent>
              <mc:Choice Requires="wps">
                <w:drawing>
                  <wp:anchor distT="0" distB="0" distL="182880" distR="182880" simplePos="0" relativeHeight="251660288" behindDoc="0" locked="0" layoutInCell="1" allowOverlap="1" wp14:anchorId="51F11A93" wp14:editId="299568E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C4583" w14:textId="72DB1715" w:rsidR="00DA0327" w:rsidRPr="00DA0327" w:rsidRDefault="00DA0327" w:rsidP="00DA032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Drug Development Plan</w:t>
                                    </w:r>
                                  </w:sdtContent>
                                </w:sdt>
                              </w:p>
                              <w:p w14:paraId="38939CD7"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gROUP C - Priya bhutada</w:t>
                                </w:r>
                              </w:p>
                              <w:p w14:paraId="11F4AD77"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 xml:space="preserve">track - DRUG </w:t>
                                </w:r>
                              </w:p>
                              <w:p w14:paraId="72AF5B09"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Date 15/10/2022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1F11A93"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CC4583" w14:textId="72DB1715" w:rsidR="00DA0327" w:rsidRPr="00DA0327" w:rsidRDefault="00DA0327" w:rsidP="00DA032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Drug Development Plan</w:t>
                              </w:r>
                            </w:sdtContent>
                          </w:sdt>
                        </w:p>
                        <w:p w14:paraId="38939CD7"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gROUP C - Priya bhutada</w:t>
                          </w:r>
                        </w:p>
                        <w:p w14:paraId="11F4AD77"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 xml:space="preserve">track - DRUG </w:t>
                          </w:r>
                        </w:p>
                        <w:p w14:paraId="72AF5B09" w14:textId="77777777" w:rsidR="00DA0327" w:rsidRDefault="00DA0327" w:rsidP="00DA0327">
                          <w:pPr>
                            <w:pStyle w:val="NoSpacing"/>
                            <w:spacing w:before="80" w:after="40"/>
                            <w:rPr>
                              <w:caps/>
                              <w:color w:val="5B9BD5" w:themeColor="accent5"/>
                              <w:sz w:val="24"/>
                              <w:szCs w:val="24"/>
                            </w:rPr>
                          </w:pPr>
                          <w:r>
                            <w:rPr>
                              <w:caps/>
                              <w:color w:val="5B9BD5" w:themeColor="accent5"/>
                              <w:sz w:val="24"/>
                              <w:szCs w:val="24"/>
                            </w:rPr>
                            <w:t>Date 15/10/2022</w:t>
                          </w:r>
                        </w:p>
                      </w:txbxContent>
                    </v:textbox>
                    <w10:wrap type="square" anchorx="margin" anchory="page"/>
                  </v:shape>
                </w:pict>
              </mc:Fallback>
            </mc:AlternateContent>
          </w:r>
          <w:r w:rsidRPr="00126EE2">
            <w:rPr>
              <w:rFonts w:eastAsiaTheme="majorEastAsia" w:cstheme="minorHAnsi"/>
              <w:color w:val="2F5496" w:themeColor="accent1" w:themeShade="BF"/>
              <w:sz w:val="24"/>
              <w:szCs w:val="24"/>
            </w:rPr>
            <mc:AlternateContent>
              <mc:Choice Requires="wps">
                <w:drawing>
                  <wp:anchor distT="0" distB="0" distL="114300" distR="114300" simplePos="0" relativeHeight="251659264" behindDoc="0" locked="0" layoutInCell="1" allowOverlap="1" wp14:anchorId="63E5FDD1" wp14:editId="094738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0-15T00:00:00Z">
                                    <w:dateFormat w:val="yyyy"/>
                                    <w:lid w:val="en-US"/>
                                    <w:storeMappedDataAs w:val="dateTime"/>
                                    <w:calendar w:val="gregorian"/>
                                  </w:date>
                                </w:sdtPr>
                                <w:sdtContent>
                                  <w:p w14:paraId="4C4459EF" w14:textId="542E70FE" w:rsidR="00DA0327" w:rsidRDefault="00D02B04" w:rsidP="00DA0327">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E5FDD1"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0-15T00:00:00Z">
                              <w:dateFormat w:val="yyyy"/>
                              <w:lid w:val="en-US"/>
                              <w:storeMappedDataAs w:val="dateTime"/>
                              <w:calendar w:val="gregorian"/>
                            </w:date>
                          </w:sdtPr>
                          <w:sdtContent>
                            <w:p w14:paraId="4C4459EF" w14:textId="542E70FE" w:rsidR="00DA0327" w:rsidRDefault="00D02B04" w:rsidP="00DA0327">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Pr="00126EE2">
            <w:rPr>
              <w:rFonts w:eastAsiaTheme="majorEastAsia" w:cstheme="minorHAnsi"/>
              <w:color w:val="2F5496" w:themeColor="accent1" w:themeShade="BF"/>
              <w:sz w:val="24"/>
              <w:szCs w:val="24"/>
            </w:rPr>
            <w:tab/>
          </w:r>
        </w:p>
        <w:p w14:paraId="081C0CFC" w14:textId="77777777" w:rsidR="00DA0327" w:rsidRDefault="00DA0327" w:rsidP="00DA0327">
          <w:pPr>
            <w:tabs>
              <w:tab w:val="left" w:pos="6690"/>
            </w:tabs>
            <w:spacing w:line="480" w:lineRule="auto"/>
            <w:jc w:val="both"/>
            <w:rPr>
              <w:rFonts w:eastAsiaTheme="majorEastAsia" w:cstheme="minorHAnsi"/>
              <w:sz w:val="24"/>
              <w:szCs w:val="24"/>
            </w:rPr>
          </w:pPr>
          <w:r w:rsidRPr="00126EE2">
            <w:rPr>
              <w:rFonts w:eastAsiaTheme="majorEastAsia" w:cstheme="minorHAnsi"/>
              <w:sz w:val="24"/>
              <w:szCs w:val="24"/>
            </w:rPr>
            <w:br w:type="page"/>
          </w:r>
        </w:p>
        <w:p w14:paraId="780EC4F5" w14:textId="77777777" w:rsidR="00DA0327" w:rsidRPr="00126EE2" w:rsidRDefault="00DA0327" w:rsidP="00DA0327">
          <w:pPr>
            <w:jc w:val="both"/>
            <w:rPr>
              <w:rFonts w:cstheme="minorHAnsi"/>
              <w:b/>
              <w:bCs/>
              <w:sz w:val="24"/>
              <w:szCs w:val="24"/>
            </w:rPr>
          </w:pPr>
          <w:r w:rsidRPr="00126EE2">
            <w:rPr>
              <w:rFonts w:cstheme="minorHAnsi"/>
              <w:b/>
              <w:bCs/>
              <w:sz w:val="24"/>
              <w:szCs w:val="24"/>
            </w:rPr>
            <w:lastRenderedPageBreak/>
            <w:t>Product Description -</w:t>
          </w:r>
        </w:p>
        <w:p w14:paraId="69A6DBB2"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b/>
              <w:bCs/>
              <w:color w:val="000000"/>
              <w:lang w:val="en-US"/>
            </w:rPr>
            <w:t>Product name</w:t>
          </w:r>
          <w:r w:rsidRPr="00126EE2">
            <w:rPr>
              <w:rFonts w:asciiTheme="minorHAnsi" w:hAnsiTheme="minorHAnsi" w:cstheme="minorHAnsi"/>
              <w:color w:val="000000"/>
              <w:lang w:val="en-US"/>
            </w:rPr>
            <w:t>: Hertumig</w:t>
          </w:r>
          <w:r w:rsidRPr="00126EE2">
            <w:rPr>
              <w:rFonts w:asciiTheme="minorHAnsi" w:hAnsiTheme="minorHAnsi" w:cstheme="minorHAnsi"/>
              <w:color w:val="212121"/>
              <w:shd w:val="clear" w:color="auto" w:fill="FFFFFF"/>
              <w:vertAlign w:val="superscript"/>
              <w:lang w:val="en-US"/>
            </w:rPr>
            <w:t>®</w:t>
          </w:r>
          <w:r w:rsidRPr="00126EE2">
            <w:rPr>
              <w:rFonts w:asciiTheme="minorHAnsi" w:hAnsiTheme="minorHAnsi" w:cstheme="minorHAnsi"/>
              <w:color w:val="000000"/>
              <w:lang w:val="en-US"/>
            </w:rPr>
            <w:t xml:space="preserve"> / monoclonal antibody (mAb) VBT001 </w:t>
          </w:r>
        </w:p>
        <w:p w14:paraId="41471CB2" w14:textId="77777777" w:rsidR="00DA0327" w:rsidRPr="00126EE2" w:rsidRDefault="00DA0327" w:rsidP="00DA0327">
          <w:pPr>
            <w:spacing w:line="480" w:lineRule="auto"/>
            <w:jc w:val="both"/>
            <w:rPr>
              <w:rFonts w:cstheme="minorHAnsi"/>
              <w:sz w:val="24"/>
              <w:szCs w:val="24"/>
            </w:rPr>
          </w:pPr>
          <w:r w:rsidRPr="00126EE2">
            <w:rPr>
              <w:rFonts w:cstheme="minorHAnsi"/>
              <w:b/>
              <w:bCs/>
              <w:color w:val="000000"/>
              <w:sz w:val="24"/>
              <w:szCs w:val="24"/>
            </w:rPr>
            <w:t xml:space="preserve">Company: </w:t>
          </w:r>
          <w:proofErr w:type="spellStart"/>
          <w:r w:rsidRPr="00126EE2">
            <w:rPr>
              <w:rFonts w:cstheme="minorHAnsi"/>
              <w:sz w:val="24"/>
              <w:szCs w:val="24"/>
            </w:rPr>
            <w:t>VaudBiotech</w:t>
          </w:r>
          <w:proofErr w:type="spellEnd"/>
          <w:r w:rsidRPr="00126EE2">
            <w:rPr>
              <w:rFonts w:cstheme="minorHAnsi"/>
              <w:sz w:val="24"/>
              <w:szCs w:val="24"/>
            </w:rPr>
            <w:t xml:space="preserve"> SA., Swiss Federal Institute of Technology Lausanne (EPFL), Station 19, CH-1015 Lausanne. https://VaudBiotech SA.com</w:t>
          </w:r>
        </w:p>
        <w:p w14:paraId="6024BB1E"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b/>
              <w:bCs/>
              <w:color w:val="000000"/>
              <w:lang w:val="en-US"/>
            </w:rPr>
            <w:t>Treatment</w:t>
          </w:r>
          <w:r w:rsidRPr="00126EE2">
            <w:rPr>
              <w:rFonts w:asciiTheme="minorHAnsi" w:hAnsiTheme="minorHAnsi" w:cstheme="minorHAnsi"/>
              <w:color w:val="000000"/>
              <w:lang w:val="en-US"/>
            </w:rPr>
            <w:t xml:space="preserve">: HER2- positive metastatic/non-metastatic breast cancer </w:t>
          </w:r>
        </w:p>
        <w:p w14:paraId="7C2B61A9"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b/>
              <w:bCs/>
              <w:color w:val="000000"/>
              <w:lang w:val="en-US"/>
            </w:rPr>
            <w:t>Delivery</w:t>
          </w:r>
          <w:r w:rsidRPr="00126EE2">
            <w:rPr>
              <w:rFonts w:asciiTheme="minorHAnsi" w:hAnsiTheme="minorHAnsi" w:cstheme="minorHAnsi"/>
              <w:color w:val="000000"/>
              <w:lang w:val="en-US"/>
            </w:rPr>
            <w:t xml:space="preserve">: Intravenous (IV) administration. </w:t>
          </w:r>
        </w:p>
        <w:p w14:paraId="274E8296"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b/>
              <w:bCs/>
              <w:color w:val="000000"/>
              <w:lang w:val="en-US"/>
            </w:rPr>
            <w:t>Category</w:t>
          </w:r>
          <w:r w:rsidRPr="00126EE2">
            <w:rPr>
              <w:rFonts w:asciiTheme="minorHAnsi" w:hAnsiTheme="minorHAnsi" w:cstheme="minorHAnsi"/>
              <w:color w:val="000000"/>
              <w:lang w:val="en-US"/>
            </w:rPr>
            <w:t xml:space="preserve">: HER2 targeted drug  </w:t>
          </w:r>
        </w:p>
        <w:p w14:paraId="09F48771"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212121"/>
              <w:shd w:val="clear" w:color="auto" w:fill="FFFFFF"/>
              <w:lang w:val="en-US"/>
            </w:rPr>
          </w:pPr>
          <w:r w:rsidRPr="00126EE2">
            <w:rPr>
              <w:rFonts w:asciiTheme="minorHAnsi" w:hAnsiTheme="minorHAnsi" w:cstheme="minorHAnsi"/>
              <w:b/>
              <w:bCs/>
              <w:color w:val="000000"/>
              <w:lang w:val="en-US"/>
            </w:rPr>
            <w:t xml:space="preserve">Product details – </w:t>
          </w:r>
          <w:r w:rsidRPr="00126EE2">
            <w:rPr>
              <w:rFonts w:asciiTheme="minorHAnsi" w:hAnsiTheme="minorHAnsi" w:cstheme="minorHAnsi"/>
              <w:color w:val="000000"/>
              <w:lang w:val="en-US"/>
            </w:rPr>
            <w:t xml:space="preserve">The supplement provides chemical name, molecular formula/molecular weight, amino acid sequences, composition, availability, etc. </w:t>
          </w:r>
        </w:p>
        <w:p w14:paraId="04FCB074" w14:textId="77777777" w:rsidR="00DA0327" w:rsidRPr="00126EE2" w:rsidRDefault="00DA0327" w:rsidP="00DA0327">
          <w:pPr>
            <w:spacing w:line="480" w:lineRule="auto"/>
            <w:jc w:val="both"/>
            <w:rPr>
              <w:rFonts w:cstheme="minorHAnsi"/>
              <w:sz w:val="24"/>
              <w:szCs w:val="24"/>
            </w:rPr>
          </w:pPr>
          <w:r w:rsidRPr="00126EE2">
            <w:rPr>
              <w:rFonts w:cstheme="minorHAnsi"/>
              <w:sz w:val="24"/>
              <w:szCs w:val="24"/>
            </w:rPr>
            <w:t xml:space="preserve">Hertumig® is a registered trade-mark of </w:t>
          </w:r>
          <w:proofErr w:type="spellStart"/>
          <w:r w:rsidRPr="00126EE2">
            <w:rPr>
              <w:rFonts w:cstheme="minorHAnsi"/>
              <w:sz w:val="24"/>
              <w:szCs w:val="24"/>
            </w:rPr>
            <w:t>VaudBiotech</w:t>
          </w:r>
          <w:proofErr w:type="spellEnd"/>
          <w:r w:rsidRPr="00126EE2">
            <w:rPr>
              <w:rFonts w:cstheme="minorHAnsi"/>
              <w:sz w:val="24"/>
              <w:szCs w:val="24"/>
            </w:rPr>
            <w:t xml:space="preserve"> SA. Copyright 2022</w:t>
          </w:r>
        </w:p>
        <w:p w14:paraId="37D90D22" w14:textId="77777777" w:rsidR="00DA0327" w:rsidRDefault="00DA0327" w:rsidP="00DA0327">
          <w:pPr>
            <w:tabs>
              <w:tab w:val="left" w:pos="6690"/>
            </w:tabs>
            <w:spacing w:line="480" w:lineRule="auto"/>
            <w:jc w:val="both"/>
            <w:rPr>
              <w:rFonts w:eastAsiaTheme="majorEastAsia" w:cstheme="minorHAnsi"/>
              <w:sz w:val="24"/>
              <w:szCs w:val="24"/>
            </w:rPr>
          </w:pPr>
        </w:p>
        <w:p w14:paraId="6674FDDE" w14:textId="77777777" w:rsidR="00DA0327" w:rsidRDefault="00DA0327" w:rsidP="00DA0327">
          <w:pPr>
            <w:tabs>
              <w:tab w:val="left" w:pos="6690"/>
            </w:tabs>
            <w:spacing w:line="480" w:lineRule="auto"/>
            <w:jc w:val="both"/>
            <w:rPr>
              <w:rFonts w:eastAsiaTheme="majorEastAsia" w:cstheme="minorHAnsi"/>
              <w:sz w:val="24"/>
              <w:szCs w:val="24"/>
            </w:rPr>
          </w:pPr>
        </w:p>
        <w:p w14:paraId="68008C2F" w14:textId="77777777" w:rsidR="00DA0327" w:rsidRDefault="00DA0327" w:rsidP="00DA0327">
          <w:pPr>
            <w:tabs>
              <w:tab w:val="left" w:pos="6690"/>
            </w:tabs>
            <w:spacing w:line="480" w:lineRule="auto"/>
            <w:jc w:val="both"/>
            <w:rPr>
              <w:rFonts w:eastAsiaTheme="majorEastAsia" w:cstheme="minorHAnsi"/>
              <w:sz w:val="24"/>
              <w:szCs w:val="24"/>
            </w:rPr>
          </w:pPr>
        </w:p>
        <w:p w14:paraId="7B501A4D"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70C9F086"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14BA3A56"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499902D1"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45CFC667"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1510E156" w14:textId="77777777" w:rsidR="00DA0327" w:rsidRDefault="00DA0327" w:rsidP="00DA0327">
          <w:pPr>
            <w:tabs>
              <w:tab w:val="left" w:pos="6690"/>
            </w:tabs>
            <w:spacing w:line="480" w:lineRule="auto"/>
            <w:jc w:val="both"/>
            <w:rPr>
              <w:rFonts w:eastAsiaTheme="majorEastAsia" w:cstheme="minorHAnsi"/>
              <w:color w:val="2F5496" w:themeColor="accent1" w:themeShade="BF"/>
              <w:sz w:val="24"/>
              <w:szCs w:val="24"/>
            </w:rPr>
          </w:pPr>
        </w:p>
        <w:p w14:paraId="7B4E7084" w14:textId="4EFB2D97" w:rsidR="00DA0327" w:rsidRPr="00126EE2" w:rsidRDefault="00DA0327" w:rsidP="00DA0327">
          <w:pPr>
            <w:tabs>
              <w:tab w:val="left" w:pos="6690"/>
            </w:tabs>
            <w:spacing w:line="480" w:lineRule="auto"/>
            <w:jc w:val="both"/>
            <w:rPr>
              <w:rFonts w:eastAsiaTheme="majorEastAsia" w:cstheme="minorHAnsi"/>
              <w:color w:val="2F5496" w:themeColor="accent1" w:themeShade="BF"/>
              <w:sz w:val="24"/>
              <w:szCs w:val="24"/>
            </w:rPr>
          </w:pPr>
          <w:r w:rsidRPr="00126EE2">
            <w:rPr>
              <w:rFonts w:eastAsiaTheme="majorEastAsia" w:cstheme="minorHAnsi"/>
              <w:color w:val="2F5496" w:themeColor="accent1" w:themeShade="BF"/>
              <w:sz w:val="24"/>
              <w:szCs w:val="24"/>
            </w:rPr>
            <w:tab/>
          </w:r>
        </w:p>
      </w:sdtContent>
    </w:sdt>
    <w:sdt>
      <w:sdtPr>
        <w:rPr>
          <w:rFonts w:asciiTheme="minorHAnsi" w:eastAsiaTheme="minorHAnsi" w:hAnsiTheme="minorHAnsi" w:cstheme="minorHAnsi"/>
          <w:color w:val="auto"/>
          <w:sz w:val="24"/>
          <w:szCs w:val="24"/>
        </w:rPr>
        <w:id w:val="74946410"/>
        <w:docPartObj>
          <w:docPartGallery w:val="Table of Contents"/>
          <w:docPartUnique/>
        </w:docPartObj>
      </w:sdtPr>
      <w:sdtEndPr>
        <w:rPr>
          <w:b/>
          <w:bCs/>
        </w:rPr>
      </w:sdtEndPr>
      <w:sdtContent>
        <w:p w14:paraId="0B3F632E" w14:textId="77777777" w:rsidR="00DA0327" w:rsidRPr="00126EE2" w:rsidRDefault="00DA0327" w:rsidP="00DA0327">
          <w:pPr>
            <w:pStyle w:val="TOCHeading"/>
            <w:spacing w:line="480" w:lineRule="auto"/>
            <w:jc w:val="both"/>
            <w:rPr>
              <w:rFonts w:asciiTheme="minorHAnsi" w:hAnsiTheme="minorHAnsi" w:cstheme="minorHAnsi"/>
              <w:sz w:val="24"/>
              <w:szCs w:val="24"/>
            </w:rPr>
          </w:pPr>
          <w:r w:rsidRPr="00126EE2">
            <w:rPr>
              <w:rFonts w:asciiTheme="minorHAnsi" w:hAnsiTheme="minorHAnsi" w:cstheme="minorHAnsi"/>
              <w:sz w:val="24"/>
              <w:szCs w:val="24"/>
            </w:rPr>
            <w:t>Table of Contents</w:t>
          </w:r>
        </w:p>
        <w:p w14:paraId="19CC8C7E" w14:textId="27861934" w:rsidR="00DA0327" w:rsidRPr="00126EE2" w:rsidRDefault="00DA0327" w:rsidP="00DA0327">
          <w:pPr>
            <w:pStyle w:val="TOC1"/>
            <w:tabs>
              <w:tab w:val="left" w:pos="440"/>
              <w:tab w:val="right" w:leader="dot" w:pos="9016"/>
            </w:tabs>
            <w:spacing w:line="480" w:lineRule="auto"/>
            <w:jc w:val="both"/>
            <w:rPr>
              <w:rFonts w:eastAsiaTheme="minorEastAsia" w:cstheme="minorHAnsi"/>
              <w:sz w:val="24"/>
              <w:szCs w:val="24"/>
              <w:lang w:eastAsia="en-GB"/>
            </w:rPr>
          </w:pPr>
          <w:r w:rsidRPr="00126EE2">
            <w:rPr>
              <w:rFonts w:cstheme="minorHAnsi"/>
              <w:sz w:val="24"/>
              <w:szCs w:val="24"/>
            </w:rPr>
            <w:fldChar w:fldCharType="begin"/>
          </w:r>
          <w:r w:rsidRPr="00126EE2">
            <w:rPr>
              <w:rFonts w:cstheme="minorHAnsi"/>
              <w:sz w:val="24"/>
              <w:szCs w:val="24"/>
            </w:rPr>
            <w:instrText xml:space="preserve"> TOC \o "1-3" \h \z \u </w:instrText>
          </w:r>
          <w:r w:rsidRPr="00126EE2">
            <w:rPr>
              <w:rFonts w:cstheme="minorHAnsi"/>
              <w:sz w:val="24"/>
              <w:szCs w:val="24"/>
            </w:rPr>
            <w:fldChar w:fldCharType="separate"/>
          </w:r>
          <w:hyperlink w:anchor="_Toc20143647" w:history="1">
            <w:r w:rsidRPr="00126EE2">
              <w:rPr>
                <w:rStyle w:val="Hyperlink"/>
                <w:rFonts w:cstheme="minorHAnsi"/>
                <w:sz w:val="24"/>
                <w:szCs w:val="24"/>
              </w:rPr>
              <w:t>1.</w:t>
            </w:r>
            <w:r w:rsidRPr="00126EE2">
              <w:rPr>
                <w:rFonts w:eastAsiaTheme="minorEastAsia" w:cstheme="minorHAnsi"/>
                <w:sz w:val="24"/>
                <w:szCs w:val="24"/>
                <w:lang w:eastAsia="en-GB"/>
              </w:rPr>
              <w:tab/>
            </w:r>
            <w:r w:rsidRPr="00126EE2">
              <w:rPr>
                <w:rStyle w:val="Hyperlink"/>
                <w:rFonts w:cstheme="minorHAnsi"/>
                <w:sz w:val="24"/>
                <w:szCs w:val="24"/>
              </w:rPr>
              <w:t>Executive summary</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_Toc20143647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3</w:t>
            </w:r>
            <w:r w:rsidRPr="00126EE2">
              <w:rPr>
                <w:rFonts w:cstheme="minorHAnsi"/>
                <w:webHidden/>
                <w:sz w:val="24"/>
                <w:szCs w:val="24"/>
              </w:rPr>
              <w:fldChar w:fldCharType="end"/>
            </w:r>
          </w:hyperlink>
        </w:p>
        <w:p w14:paraId="6010857F" w14:textId="3140924C" w:rsidR="00DA0327" w:rsidRDefault="00DA0327" w:rsidP="00DA0327">
          <w:pPr>
            <w:pStyle w:val="TOC1"/>
            <w:tabs>
              <w:tab w:val="left" w:pos="440"/>
              <w:tab w:val="right" w:leader="dot" w:pos="9016"/>
            </w:tabs>
            <w:spacing w:line="480" w:lineRule="auto"/>
            <w:jc w:val="both"/>
            <w:rPr>
              <w:rFonts w:cstheme="minorHAnsi"/>
              <w:sz w:val="24"/>
              <w:szCs w:val="24"/>
            </w:rPr>
          </w:pPr>
          <w:hyperlink w:anchor="_Toc20143648" w:history="1">
            <w:r w:rsidRPr="00126EE2">
              <w:rPr>
                <w:rStyle w:val="Hyperlink"/>
                <w:rFonts w:cstheme="minorHAnsi"/>
                <w:sz w:val="24"/>
                <w:szCs w:val="24"/>
              </w:rPr>
              <w:t>2.</w:t>
            </w:r>
            <w:r w:rsidRPr="00126EE2">
              <w:rPr>
                <w:rFonts w:eastAsiaTheme="minorEastAsia" w:cstheme="minorHAnsi"/>
                <w:sz w:val="24"/>
                <w:szCs w:val="24"/>
                <w:lang w:eastAsia="en-GB"/>
              </w:rPr>
              <w:tab/>
            </w:r>
            <w:r w:rsidRPr="00126EE2">
              <w:rPr>
                <w:rStyle w:val="Hyperlink"/>
                <w:rFonts w:cstheme="minorHAnsi"/>
                <w:sz w:val="24"/>
                <w:szCs w:val="24"/>
              </w:rPr>
              <w:t>Introduction</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_Toc20143648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4</w:t>
            </w:r>
            <w:r w:rsidRPr="00126EE2">
              <w:rPr>
                <w:rFonts w:cstheme="minorHAnsi"/>
                <w:webHidden/>
                <w:sz w:val="24"/>
                <w:szCs w:val="24"/>
              </w:rPr>
              <w:fldChar w:fldCharType="end"/>
            </w:r>
          </w:hyperlink>
        </w:p>
        <w:p w14:paraId="79664DD9" w14:textId="6720D2B1" w:rsidR="007E1B52" w:rsidRDefault="007E1B52" w:rsidP="007E1B52">
          <w:pPr>
            <w:rPr>
              <w:webHidden/>
              <w:sz w:val="24"/>
              <w:szCs w:val="24"/>
            </w:rPr>
          </w:pPr>
          <w:r w:rsidRPr="00852DE3">
            <w:rPr>
              <w:sz w:val="24"/>
              <w:szCs w:val="24"/>
            </w:rPr>
            <w:t xml:space="preserve">3. </w:t>
          </w:r>
          <w:r w:rsidR="00852DE3">
            <w:rPr>
              <w:sz w:val="24"/>
              <w:szCs w:val="24"/>
            </w:rPr>
            <w:t xml:space="preserve">   </w:t>
          </w:r>
          <w:r w:rsidRPr="00852DE3">
            <w:rPr>
              <w:sz w:val="24"/>
              <w:szCs w:val="24"/>
            </w:rPr>
            <w:t>Developmental Plan</w:t>
          </w:r>
          <w:r w:rsidR="00852DE3" w:rsidRPr="00852DE3">
            <w:rPr>
              <w:webHidden/>
              <w:sz w:val="24"/>
              <w:szCs w:val="24"/>
            </w:rPr>
            <w:t>………</w:t>
          </w:r>
          <w:r w:rsidR="00852DE3">
            <w:rPr>
              <w:webHidden/>
            </w:rPr>
            <w:t xml:space="preserve">………………………………………………………………………………………………………  </w:t>
          </w:r>
          <w:r w:rsidR="00852DE3" w:rsidRPr="00852DE3">
            <w:rPr>
              <w:webHidden/>
              <w:sz w:val="24"/>
              <w:szCs w:val="24"/>
            </w:rPr>
            <w:t>6</w:t>
          </w:r>
        </w:p>
        <w:p w14:paraId="713FBD18" w14:textId="77777777" w:rsidR="004C2BD9" w:rsidRPr="004C2BD9" w:rsidRDefault="004C2BD9" w:rsidP="007E1B52">
          <w:pPr>
            <w:rPr>
              <w:sz w:val="6"/>
              <w:szCs w:val="6"/>
            </w:rPr>
          </w:pPr>
        </w:p>
        <w:p w14:paraId="74DE403C" w14:textId="4FD32B55" w:rsidR="00DA0327" w:rsidRPr="00126EE2" w:rsidRDefault="00DA0327" w:rsidP="00DA0327">
          <w:pPr>
            <w:pStyle w:val="TOC2"/>
            <w:tabs>
              <w:tab w:val="right" w:leader="dot" w:pos="9016"/>
            </w:tabs>
            <w:spacing w:line="480" w:lineRule="auto"/>
            <w:jc w:val="both"/>
            <w:rPr>
              <w:rFonts w:eastAsiaTheme="minorEastAsia" w:cstheme="minorHAnsi"/>
              <w:sz w:val="24"/>
              <w:szCs w:val="24"/>
              <w:lang w:eastAsia="en-GB"/>
            </w:rPr>
          </w:pPr>
          <w:hyperlink w:anchor="_Toc20143650" w:history="1">
            <w:r w:rsidRPr="00126EE2">
              <w:rPr>
                <w:rStyle w:val="Hyperlink"/>
                <w:rFonts w:cstheme="minorHAnsi"/>
                <w:sz w:val="24"/>
                <w:szCs w:val="24"/>
              </w:rPr>
              <w:t>Part A. Preclinical Plan</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_Toc20143650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6</w:t>
            </w:r>
            <w:r w:rsidRPr="00126EE2">
              <w:rPr>
                <w:rFonts w:cstheme="minorHAnsi"/>
                <w:webHidden/>
                <w:sz w:val="24"/>
                <w:szCs w:val="24"/>
              </w:rPr>
              <w:fldChar w:fldCharType="end"/>
            </w:r>
          </w:hyperlink>
        </w:p>
        <w:p w14:paraId="0D533B9B" w14:textId="4E8E2E3B" w:rsidR="00DA0327" w:rsidRPr="00126EE2" w:rsidRDefault="00DF0888" w:rsidP="00DA0327">
          <w:pPr>
            <w:pStyle w:val="TOC2"/>
            <w:tabs>
              <w:tab w:val="right" w:leader="dot" w:pos="9016"/>
            </w:tabs>
            <w:spacing w:line="480" w:lineRule="auto"/>
            <w:jc w:val="both"/>
            <w:rPr>
              <w:rFonts w:eastAsiaTheme="minorEastAsia" w:cstheme="minorHAnsi"/>
              <w:sz w:val="24"/>
              <w:szCs w:val="24"/>
              <w:lang w:eastAsia="en-GB"/>
            </w:rPr>
          </w:pPr>
          <w:r w:rsidRPr="00DF0888">
            <w:rPr>
              <w:rFonts w:cstheme="minorHAnsi"/>
              <w:sz w:val="24"/>
              <w:szCs w:val="24"/>
            </w:rPr>
            <w:t>Part B. Clinical Plan</w:t>
          </w:r>
          <w:r w:rsidRPr="00DF0888">
            <w:rPr>
              <w:rFonts w:cstheme="minorHAnsi"/>
              <w:sz w:val="24"/>
              <w:szCs w:val="24"/>
            </w:rPr>
            <w:tab/>
            <w:t>.</w:t>
          </w:r>
          <w:r w:rsidR="00852DE3">
            <w:rPr>
              <w:rFonts w:cstheme="minorHAnsi"/>
              <w:sz w:val="24"/>
              <w:szCs w:val="24"/>
            </w:rPr>
            <w:t>9</w:t>
          </w:r>
        </w:p>
        <w:p w14:paraId="4D225BE2" w14:textId="6660BB3E" w:rsidR="00DA0327" w:rsidRPr="00126EE2" w:rsidRDefault="00DA0327" w:rsidP="00DA0327">
          <w:pPr>
            <w:pStyle w:val="TOC2"/>
            <w:tabs>
              <w:tab w:val="right" w:leader="dot" w:pos="9016"/>
            </w:tabs>
            <w:spacing w:line="480" w:lineRule="auto"/>
            <w:jc w:val="both"/>
            <w:rPr>
              <w:rFonts w:eastAsiaTheme="minorEastAsia" w:cstheme="minorHAnsi"/>
              <w:sz w:val="24"/>
              <w:szCs w:val="24"/>
              <w:lang w:eastAsia="en-GB"/>
            </w:rPr>
          </w:pPr>
          <w:hyperlink w:anchor="_Toc20143652" w:history="1">
            <w:r w:rsidRPr="00126EE2">
              <w:rPr>
                <w:rStyle w:val="Hyperlink"/>
                <w:rFonts w:cstheme="minorHAnsi"/>
                <w:sz w:val="24"/>
                <w:szCs w:val="24"/>
              </w:rPr>
              <w:t>Part C. Chemistry, Manufacturing and Controls</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_Toc20143652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11</w:t>
            </w:r>
            <w:r w:rsidRPr="00126EE2">
              <w:rPr>
                <w:rFonts w:cstheme="minorHAnsi"/>
                <w:webHidden/>
                <w:sz w:val="24"/>
                <w:szCs w:val="24"/>
              </w:rPr>
              <w:fldChar w:fldCharType="end"/>
            </w:r>
          </w:hyperlink>
        </w:p>
        <w:p w14:paraId="3A2BDE3E" w14:textId="0CB925E0" w:rsidR="00DA0327" w:rsidRPr="00126EE2" w:rsidRDefault="00DA0327" w:rsidP="00DA0327">
          <w:pPr>
            <w:pStyle w:val="TOC2"/>
            <w:tabs>
              <w:tab w:val="right" w:leader="dot" w:pos="9016"/>
            </w:tabs>
            <w:spacing w:line="480" w:lineRule="auto"/>
            <w:jc w:val="both"/>
            <w:rPr>
              <w:rFonts w:eastAsiaTheme="minorEastAsia" w:cstheme="minorHAnsi"/>
              <w:sz w:val="24"/>
              <w:szCs w:val="24"/>
              <w:lang w:eastAsia="en-GB"/>
            </w:rPr>
          </w:pPr>
          <w:hyperlink w:anchor="_Toc20143653" w:history="1">
            <w:r w:rsidRPr="00126EE2">
              <w:rPr>
                <w:rStyle w:val="Hyperlink"/>
                <w:rFonts w:cstheme="minorHAnsi"/>
                <w:sz w:val="24"/>
                <w:szCs w:val="24"/>
              </w:rPr>
              <w:t>Part D: Pre-IND Meeting / Scientific Advice</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_Toc20143653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13</w:t>
            </w:r>
            <w:r w:rsidRPr="00126EE2">
              <w:rPr>
                <w:rFonts w:cstheme="minorHAnsi"/>
                <w:webHidden/>
                <w:sz w:val="24"/>
                <w:szCs w:val="24"/>
              </w:rPr>
              <w:fldChar w:fldCharType="end"/>
            </w:r>
          </w:hyperlink>
        </w:p>
        <w:p w14:paraId="3FF9D501" w14:textId="20D78879" w:rsidR="00DA0327" w:rsidRPr="00126EE2" w:rsidRDefault="00DA0327" w:rsidP="00DA0327">
          <w:pPr>
            <w:pStyle w:val="TOC2"/>
            <w:tabs>
              <w:tab w:val="right" w:leader="dot" w:pos="9016"/>
            </w:tabs>
            <w:spacing w:line="480" w:lineRule="auto"/>
            <w:jc w:val="both"/>
            <w:rPr>
              <w:rFonts w:eastAsiaTheme="minorEastAsia" w:cstheme="minorHAnsi"/>
              <w:sz w:val="24"/>
              <w:szCs w:val="24"/>
              <w:lang w:eastAsia="en-GB"/>
            </w:rPr>
          </w:pPr>
          <w:hyperlink w:anchor="_Toc20143654" w:history="1">
            <w:r w:rsidRPr="00126EE2">
              <w:rPr>
                <w:rStyle w:val="Hyperlink"/>
                <w:rFonts w:cstheme="minorHAnsi"/>
                <w:sz w:val="24"/>
                <w:szCs w:val="24"/>
              </w:rPr>
              <w:t>Part E: Inspection Readiness</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_Toc20143654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14</w:t>
            </w:r>
            <w:r w:rsidRPr="00126EE2">
              <w:rPr>
                <w:rFonts w:cstheme="minorHAnsi"/>
                <w:webHidden/>
                <w:sz w:val="24"/>
                <w:szCs w:val="24"/>
              </w:rPr>
              <w:fldChar w:fldCharType="end"/>
            </w:r>
          </w:hyperlink>
        </w:p>
        <w:p w14:paraId="6E6D5117" w14:textId="6E25683B" w:rsidR="00DA0327" w:rsidRPr="00126EE2" w:rsidRDefault="00DA0327" w:rsidP="00DA0327">
          <w:pPr>
            <w:pStyle w:val="TOC1"/>
            <w:tabs>
              <w:tab w:val="left" w:pos="440"/>
              <w:tab w:val="right" w:leader="dot" w:pos="9016"/>
            </w:tabs>
            <w:spacing w:line="480" w:lineRule="auto"/>
            <w:jc w:val="both"/>
            <w:rPr>
              <w:rFonts w:eastAsiaTheme="minorEastAsia" w:cstheme="minorHAnsi"/>
              <w:sz w:val="24"/>
              <w:szCs w:val="24"/>
              <w:lang w:eastAsia="en-GB"/>
            </w:rPr>
          </w:pPr>
          <w:hyperlink w:anchor="_Toc20143655" w:history="1">
            <w:r w:rsidRPr="00126EE2">
              <w:rPr>
                <w:rStyle w:val="Hyperlink"/>
                <w:rFonts w:cstheme="minorHAnsi"/>
                <w:sz w:val="24"/>
                <w:szCs w:val="24"/>
              </w:rPr>
              <w:t>4.</w:t>
            </w:r>
            <w:r w:rsidRPr="00126EE2">
              <w:rPr>
                <w:rFonts w:eastAsiaTheme="minorEastAsia" w:cstheme="minorHAnsi"/>
                <w:sz w:val="24"/>
                <w:szCs w:val="24"/>
                <w:lang w:eastAsia="en-GB"/>
              </w:rPr>
              <w:tab/>
            </w:r>
            <w:r w:rsidRPr="00126EE2">
              <w:rPr>
                <w:rStyle w:val="Hyperlink"/>
                <w:rFonts w:cstheme="minorHAnsi"/>
                <w:sz w:val="24"/>
                <w:szCs w:val="24"/>
              </w:rPr>
              <w:t>Overall strategy</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_Toc20143655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15</w:t>
            </w:r>
            <w:r w:rsidRPr="00126EE2">
              <w:rPr>
                <w:rFonts w:cstheme="minorHAnsi"/>
                <w:webHidden/>
                <w:sz w:val="24"/>
                <w:szCs w:val="24"/>
              </w:rPr>
              <w:fldChar w:fldCharType="end"/>
            </w:r>
          </w:hyperlink>
        </w:p>
        <w:p w14:paraId="72CCD55D" w14:textId="5C50F992" w:rsidR="00DA0327" w:rsidRPr="00126EE2" w:rsidRDefault="00DA0327" w:rsidP="00DA0327">
          <w:pPr>
            <w:pStyle w:val="TOC1"/>
            <w:tabs>
              <w:tab w:val="left" w:pos="440"/>
              <w:tab w:val="right" w:leader="dot" w:pos="9016"/>
            </w:tabs>
            <w:spacing w:line="480" w:lineRule="auto"/>
            <w:jc w:val="both"/>
            <w:rPr>
              <w:rFonts w:eastAsiaTheme="minorEastAsia" w:cstheme="minorHAnsi"/>
              <w:sz w:val="24"/>
              <w:szCs w:val="24"/>
              <w:lang w:eastAsia="en-GB"/>
            </w:rPr>
          </w:pPr>
          <w:hyperlink w:anchor="_Toc20143656" w:history="1">
            <w:r w:rsidRPr="00126EE2">
              <w:rPr>
                <w:rStyle w:val="Hyperlink"/>
                <w:rFonts w:cstheme="minorHAnsi"/>
                <w:sz w:val="24"/>
                <w:szCs w:val="24"/>
              </w:rPr>
              <w:t>5.</w:t>
            </w:r>
            <w:r w:rsidRPr="00126EE2">
              <w:rPr>
                <w:rFonts w:eastAsiaTheme="minorEastAsia" w:cstheme="minorHAnsi"/>
                <w:sz w:val="24"/>
                <w:szCs w:val="24"/>
                <w:lang w:eastAsia="en-GB"/>
              </w:rPr>
              <w:tab/>
            </w:r>
            <w:r w:rsidRPr="00126EE2">
              <w:rPr>
                <w:rStyle w:val="Hyperlink"/>
                <w:rFonts w:cstheme="minorHAnsi"/>
                <w:sz w:val="24"/>
                <w:szCs w:val="24"/>
              </w:rPr>
              <w:t>Advice to Management</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_Toc20143656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16</w:t>
            </w:r>
            <w:r w:rsidRPr="00126EE2">
              <w:rPr>
                <w:rFonts w:cstheme="minorHAnsi"/>
                <w:webHidden/>
                <w:sz w:val="24"/>
                <w:szCs w:val="24"/>
              </w:rPr>
              <w:fldChar w:fldCharType="end"/>
            </w:r>
          </w:hyperlink>
        </w:p>
        <w:p w14:paraId="37225449" w14:textId="2AE4647D" w:rsidR="00DA0327" w:rsidRDefault="00DA0327" w:rsidP="00DA0327">
          <w:pPr>
            <w:pStyle w:val="TOC1"/>
            <w:tabs>
              <w:tab w:val="left" w:pos="440"/>
              <w:tab w:val="right" w:leader="dot" w:pos="9016"/>
            </w:tabs>
            <w:spacing w:line="480" w:lineRule="auto"/>
            <w:jc w:val="both"/>
            <w:rPr>
              <w:rFonts w:cstheme="minorHAnsi"/>
              <w:sz w:val="24"/>
              <w:szCs w:val="24"/>
            </w:rPr>
          </w:pPr>
          <w:hyperlink w:anchor="_Toc20143657" w:history="1">
            <w:r w:rsidRPr="00126EE2">
              <w:rPr>
                <w:rStyle w:val="Hyperlink"/>
                <w:rFonts w:cstheme="minorHAnsi"/>
                <w:sz w:val="24"/>
                <w:szCs w:val="24"/>
              </w:rPr>
              <w:t>6.</w:t>
            </w:r>
            <w:r w:rsidRPr="00126EE2">
              <w:rPr>
                <w:rFonts w:eastAsiaTheme="minorEastAsia" w:cstheme="minorHAnsi"/>
                <w:sz w:val="24"/>
                <w:szCs w:val="24"/>
                <w:lang w:eastAsia="en-GB"/>
              </w:rPr>
              <w:tab/>
            </w:r>
            <w:r w:rsidRPr="00126EE2">
              <w:rPr>
                <w:rStyle w:val="Hyperlink"/>
                <w:rFonts w:cstheme="minorHAnsi"/>
                <w:sz w:val="24"/>
                <w:szCs w:val="24"/>
              </w:rPr>
              <w:t>Conclusion</w:t>
            </w:r>
            <w:r w:rsidRPr="00126EE2">
              <w:rPr>
                <w:rFonts w:cstheme="minorHAnsi"/>
                <w:webHidden/>
                <w:sz w:val="24"/>
                <w:szCs w:val="24"/>
              </w:rPr>
              <w:tab/>
            </w:r>
            <w:r w:rsidRPr="00126EE2">
              <w:rPr>
                <w:rFonts w:cstheme="minorHAnsi"/>
                <w:webHidden/>
                <w:sz w:val="24"/>
                <w:szCs w:val="24"/>
              </w:rPr>
              <w:fldChar w:fldCharType="begin"/>
            </w:r>
            <w:r w:rsidRPr="00126EE2">
              <w:rPr>
                <w:rFonts w:cstheme="minorHAnsi"/>
                <w:webHidden/>
                <w:sz w:val="24"/>
                <w:szCs w:val="24"/>
              </w:rPr>
              <w:instrText xml:space="preserve"> PAGEREF _Toc20143657 \h </w:instrText>
            </w:r>
            <w:r w:rsidRPr="00126EE2">
              <w:rPr>
                <w:rFonts w:cstheme="minorHAnsi"/>
                <w:webHidden/>
                <w:sz w:val="24"/>
                <w:szCs w:val="24"/>
              </w:rPr>
            </w:r>
            <w:r w:rsidRPr="00126EE2">
              <w:rPr>
                <w:rFonts w:cstheme="minorHAnsi"/>
                <w:webHidden/>
                <w:sz w:val="24"/>
                <w:szCs w:val="24"/>
              </w:rPr>
              <w:fldChar w:fldCharType="separate"/>
            </w:r>
            <w:r w:rsidR="00747FFE">
              <w:rPr>
                <w:rFonts w:cstheme="minorHAnsi"/>
                <w:noProof/>
                <w:webHidden/>
                <w:sz w:val="24"/>
                <w:szCs w:val="24"/>
              </w:rPr>
              <w:t>16</w:t>
            </w:r>
            <w:r w:rsidRPr="00126EE2">
              <w:rPr>
                <w:rFonts w:cstheme="minorHAnsi"/>
                <w:webHidden/>
                <w:sz w:val="24"/>
                <w:szCs w:val="24"/>
              </w:rPr>
              <w:fldChar w:fldCharType="end"/>
            </w:r>
          </w:hyperlink>
        </w:p>
        <w:p w14:paraId="6EAFC7C0" w14:textId="68172136" w:rsidR="00DA0327" w:rsidRDefault="00DA0327" w:rsidP="00DA0327">
          <w:pPr>
            <w:rPr>
              <w:sz w:val="24"/>
              <w:szCs w:val="24"/>
            </w:rPr>
          </w:pPr>
          <w:r w:rsidRPr="00852DE3">
            <w:rPr>
              <w:sz w:val="24"/>
              <w:szCs w:val="24"/>
            </w:rPr>
            <w:t xml:space="preserve">7. </w:t>
          </w:r>
          <w:r w:rsidR="00B4786B">
            <w:rPr>
              <w:sz w:val="24"/>
              <w:szCs w:val="24"/>
            </w:rPr>
            <w:t xml:space="preserve">   References</w:t>
          </w:r>
          <w:r w:rsidRPr="00852DE3">
            <w:rPr>
              <w:sz w:val="24"/>
              <w:szCs w:val="24"/>
            </w:rPr>
            <w:t>……………………………………………………………………………………………………………………</w:t>
          </w:r>
          <w:r w:rsidR="00852DE3">
            <w:rPr>
              <w:sz w:val="24"/>
              <w:szCs w:val="24"/>
            </w:rPr>
            <w:t>17</w:t>
          </w:r>
        </w:p>
        <w:p w14:paraId="0E3508D5" w14:textId="77777777" w:rsidR="00F22A33" w:rsidRPr="00F22A33" w:rsidRDefault="00F22A33" w:rsidP="00DA0327">
          <w:pPr>
            <w:rPr>
              <w:sz w:val="2"/>
              <w:szCs w:val="2"/>
            </w:rPr>
          </w:pPr>
        </w:p>
        <w:p w14:paraId="14CBD7D2" w14:textId="5F91B726" w:rsidR="006B5023" w:rsidRPr="00852DE3" w:rsidRDefault="006B5023" w:rsidP="00DA0327">
          <w:pPr>
            <w:rPr>
              <w:sz w:val="24"/>
              <w:szCs w:val="24"/>
            </w:rPr>
          </w:pPr>
          <w:r>
            <w:rPr>
              <w:sz w:val="24"/>
              <w:szCs w:val="24"/>
            </w:rPr>
            <w:t xml:space="preserve">8. </w:t>
          </w:r>
          <w:r w:rsidR="00B4786B">
            <w:rPr>
              <w:sz w:val="24"/>
              <w:szCs w:val="24"/>
            </w:rPr>
            <w:t xml:space="preserve"> Supplement …………………………</w:t>
          </w:r>
          <w:r>
            <w:rPr>
              <w:sz w:val="24"/>
              <w:szCs w:val="24"/>
            </w:rPr>
            <w:t>………………</w:t>
          </w:r>
          <w:proofErr w:type="gramStart"/>
          <w:r>
            <w:rPr>
              <w:sz w:val="24"/>
              <w:szCs w:val="24"/>
            </w:rPr>
            <w:t>…..</w:t>
          </w:r>
          <w:proofErr w:type="gramEnd"/>
          <w:r>
            <w:rPr>
              <w:sz w:val="24"/>
              <w:szCs w:val="24"/>
            </w:rPr>
            <w:t>…………………..…………………..…………………</w:t>
          </w:r>
          <w:r>
            <w:rPr>
              <w:sz w:val="24"/>
              <w:szCs w:val="24"/>
            </w:rPr>
            <w:t>……</w:t>
          </w:r>
          <w:r w:rsidR="00B4786B">
            <w:rPr>
              <w:sz w:val="24"/>
              <w:szCs w:val="24"/>
            </w:rPr>
            <w:t>..</w:t>
          </w:r>
          <w:r>
            <w:rPr>
              <w:sz w:val="24"/>
              <w:szCs w:val="24"/>
            </w:rPr>
            <w:t>..19</w:t>
          </w:r>
        </w:p>
        <w:p w14:paraId="3B0845F8" w14:textId="45A5C360" w:rsidR="00DA0327" w:rsidRPr="00126EE2" w:rsidRDefault="00DA0327" w:rsidP="00DA0327">
          <w:pPr>
            <w:spacing w:line="480" w:lineRule="auto"/>
            <w:jc w:val="both"/>
            <w:rPr>
              <w:rFonts w:cstheme="minorHAnsi"/>
              <w:sz w:val="24"/>
              <w:szCs w:val="24"/>
            </w:rPr>
          </w:pPr>
          <w:r w:rsidRPr="00126EE2">
            <w:rPr>
              <w:rFonts w:cstheme="minorHAnsi"/>
              <w:b/>
              <w:bCs/>
              <w:sz w:val="24"/>
              <w:szCs w:val="24"/>
            </w:rPr>
            <w:fldChar w:fldCharType="end"/>
          </w:r>
        </w:p>
      </w:sdtContent>
    </w:sdt>
    <w:p w14:paraId="4770FF94" w14:textId="77777777" w:rsidR="00DA0327" w:rsidRPr="00126EE2" w:rsidRDefault="00DA0327" w:rsidP="00DA0327">
      <w:pPr>
        <w:spacing w:line="480" w:lineRule="auto"/>
        <w:jc w:val="both"/>
        <w:rPr>
          <w:rFonts w:cstheme="minorHAnsi"/>
          <w:sz w:val="24"/>
          <w:szCs w:val="24"/>
        </w:rPr>
      </w:pPr>
    </w:p>
    <w:p w14:paraId="5509AB5A" w14:textId="77777777" w:rsidR="00DA0327" w:rsidRPr="00126EE2" w:rsidRDefault="00DA0327" w:rsidP="00DA0327">
      <w:pPr>
        <w:spacing w:line="480" w:lineRule="auto"/>
        <w:jc w:val="both"/>
        <w:rPr>
          <w:rFonts w:cstheme="minorHAnsi"/>
          <w:sz w:val="24"/>
          <w:szCs w:val="24"/>
        </w:rPr>
      </w:pPr>
    </w:p>
    <w:p w14:paraId="6EFF8CAF" w14:textId="140E50EE" w:rsidR="00DA0327" w:rsidRPr="00126EE2" w:rsidRDefault="006B5023" w:rsidP="00DA0327">
      <w:pPr>
        <w:spacing w:line="480" w:lineRule="auto"/>
        <w:jc w:val="both"/>
        <w:rPr>
          <w:rFonts w:cstheme="minorHAnsi"/>
          <w:sz w:val="24"/>
          <w:szCs w:val="24"/>
        </w:rPr>
      </w:pPr>
      <w:r>
        <w:rPr>
          <w:rFonts w:cstheme="minorHAnsi"/>
          <w:sz w:val="24"/>
          <w:szCs w:val="24"/>
        </w:rPr>
        <w:t xml:space="preserve"> </w:t>
      </w:r>
    </w:p>
    <w:p w14:paraId="5CC5127A" w14:textId="77777777" w:rsidR="00DA0327" w:rsidRPr="00126EE2" w:rsidRDefault="00DA0327" w:rsidP="00DA0327">
      <w:pPr>
        <w:spacing w:line="480" w:lineRule="auto"/>
        <w:jc w:val="both"/>
        <w:rPr>
          <w:rFonts w:cstheme="minorHAnsi"/>
          <w:sz w:val="24"/>
          <w:szCs w:val="24"/>
        </w:rPr>
      </w:pPr>
    </w:p>
    <w:p w14:paraId="0F62CABC" w14:textId="77777777" w:rsidR="00DA0327" w:rsidRPr="00126EE2" w:rsidRDefault="00DA0327" w:rsidP="00DA0327">
      <w:pPr>
        <w:spacing w:line="480" w:lineRule="auto"/>
        <w:jc w:val="both"/>
        <w:rPr>
          <w:rFonts w:cstheme="minorHAnsi"/>
          <w:sz w:val="24"/>
          <w:szCs w:val="24"/>
        </w:rPr>
      </w:pPr>
    </w:p>
    <w:p w14:paraId="19F33F97" w14:textId="77777777" w:rsidR="00DA0327" w:rsidRPr="00126EE2" w:rsidRDefault="00DA0327" w:rsidP="00DA0327">
      <w:pPr>
        <w:pStyle w:val="Heading1"/>
        <w:numPr>
          <w:ilvl w:val="0"/>
          <w:numId w:val="6"/>
        </w:numPr>
        <w:spacing w:line="480" w:lineRule="auto"/>
        <w:ind w:left="720"/>
        <w:jc w:val="both"/>
        <w:rPr>
          <w:rFonts w:asciiTheme="minorHAnsi" w:hAnsiTheme="minorHAnsi" w:cstheme="minorHAnsi"/>
          <w:sz w:val="24"/>
          <w:szCs w:val="24"/>
        </w:rPr>
      </w:pPr>
      <w:bookmarkStart w:id="0" w:name="_Toc20143647"/>
      <w:r w:rsidRPr="00126EE2">
        <w:rPr>
          <w:rFonts w:asciiTheme="minorHAnsi" w:hAnsiTheme="minorHAnsi" w:cstheme="minorHAnsi"/>
          <w:sz w:val="24"/>
          <w:szCs w:val="24"/>
        </w:rPr>
        <w:lastRenderedPageBreak/>
        <w:t>Executive summary</w:t>
      </w:r>
      <w:bookmarkEnd w:id="0"/>
      <w:r w:rsidRPr="00126EE2">
        <w:rPr>
          <w:rFonts w:asciiTheme="minorHAnsi" w:hAnsiTheme="minorHAnsi" w:cstheme="minorHAnsi"/>
          <w:sz w:val="24"/>
          <w:szCs w:val="24"/>
        </w:rPr>
        <w:t xml:space="preserve">                        </w:t>
      </w:r>
    </w:p>
    <w:p w14:paraId="23DB4665"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212121"/>
          <w:shd w:val="clear" w:color="auto" w:fill="FFFFFF"/>
          <w:lang w:val="en-US"/>
        </w:rPr>
      </w:pPr>
      <w:r w:rsidRPr="00126EE2">
        <w:rPr>
          <w:rFonts w:asciiTheme="minorHAnsi" w:hAnsiTheme="minorHAnsi" w:cstheme="minorHAnsi"/>
          <w:color w:val="212121"/>
          <w:shd w:val="clear" w:color="auto" w:fill="FFFFFF"/>
          <w:lang w:val="en-US"/>
        </w:rPr>
        <w:t xml:space="preserve">Breast cancer has now seized the second position as one of the most significant causes of death by cancer in the world </w:t>
      </w:r>
      <w:r w:rsidRPr="00126EE2">
        <w:rPr>
          <w:rFonts w:asciiTheme="minorHAnsi" w:hAnsiTheme="minorHAnsi" w:cstheme="minorHAnsi"/>
          <w:color w:val="212121"/>
          <w:shd w:val="clear" w:color="auto" w:fill="FFFFFF"/>
          <w:lang w:val="en-US"/>
        </w:rPr>
        <w:fldChar w:fldCharType="begin" w:fldLock="1"/>
      </w:r>
      <w:r w:rsidRPr="00126EE2">
        <w:rPr>
          <w:rFonts w:asciiTheme="minorHAnsi" w:hAnsiTheme="minorHAnsi" w:cstheme="minorHAnsi"/>
          <w:color w:val="212121"/>
          <w:shd w:val="clear" w:color="auto" w:fill="FFFFFF"/>
          <w:lang w:val="en-US"/>
        </w:rPr>
        <w:instrText>ADDIN CSL_CITATION {"citationItems":[{"id":"ITEM-1","itemData":{"DOI":"10.3322/CAAC.21590","ISSN":"0007-9235","PMID":"31912902","abstract":"Each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cancers.","author":[{"dropping-particle":"","family":"Siegel","given":"Rebecca L.","non-dropping-particle":"","parse-names":false,"suffix":""},{"dropping-particle":"","family":"Miller","given":"Kimberly D.","non-dropping-particle":"","parse-names":false,"suffix":""},{"dropping-particle":"","family":"Jemal","given":"Ahmedin","non-dropping-particle":"","parse-names":false,"suffix":""}],"container-title":"CA: A Cancer Journal for Clinicians","id":"ITEM-1","issue":"1","issued":{"date-parts":[["2020","1"]]},"page":"7-30","publisher":"Wiley","title":"Cancer statistics, 2020","type":"article-journal","volume":"70"},"uris":["http://www.mendeley.com/documents/?uuid=fd6040c2-29bb-3a7b-bccc-f6298fa19be1"]}],"mendeley":{"formattedCitation":"(Siegel et al., 2020)","plainTextFormattedCitation":"(Siegel et al., 2020)","previouslyFormattedCitation":"(Siegel et al., 2020)"},"properties":{"noteIndex":0},"schema":"https://github.com/citation-style-language/schema/raw/master/csl-citation.json"}</w:instrText>
      </w:r>
      <w:r w:rsidRPr="00126EE2">
        <w:rPr>
          <w:rFonts w:asciiTheme="minorHAnsi" w:hAnsiTheme="minorHAnsi" w:cstheme="minorHAnsi"/>
          <w:color w:val="212121"/>
          <w:shd w:val="clear" w:color="auto" w:fill="FFFFFF"/>
          <w:lang w:val="en-US"/>
        </w:rPr>
        <w:fldChar w:fldCharType="separate"/>
      </w:r>
      <w:r w:rsidRPr="00126EE2">
        <w:rPr>
          <w:rFonts w:asciiTheme="minorHAnsi" w:hAnsiTheme="minorHAnsi" w:cstheme="minorHAnsi"/>
          <w:noProof/>
          <w:color w:val="212121"/>
          <w:shd w:val="clear" w:color="auto" w:fill="FFFFFF"/>
          <w:lang w:val="en-US"/>
        </w:rPr>
        <w:t>(Siegel et al., 2020)</w:t>
      </w:r>
      <w:r w:rsidRPr="00126EE2">
        <w:rPr>
          <w:rFonts w:asciiTheme="minorHAnsi" w:hAnsiTheme="minorHAnsi" w:cstheme="minorHAnsi"/>
          <w:color w:val="212121"/>
          <w:shd w:val="clear" w:color="auto" w:fill="FFFFFF"/>
          <w:lang w:val="en-US"/>
        </w:rPr>
        <w:fldChar w:fldCharType="end"/>
      </w:r>
      <w:r w:rsidRPr="00126EE2">
        <w:rPr>
          <w:rFonts w:asciiTheme="minorHAnsi" w:hAnsiTheme="minorHAnsi" w:cstheme="minorHAnsi"/>
          <w:color w:val="212121"/>
          <w:shd w:val="clear" w:color="auto" w:fill="FFFFFF"/>
          <w:lang w:val="en-US"/>
        </w:rPr>
        <w:t>. According to the American Cancer Society</w:t>
      </w:r>
      <w:r w:rsidRPr="00126EE2">
        <w:rPr>
          <w:rFonts w:asciiTheme="minorHAnsi" w:hAnsiTheme="minorHAnsi" w:cstheme="minorHAnsi"/>
          <w:color w:val="1E1E23"/>
          <w:shd w:val="clear" w:color="auto" w:fill="FFFFFF"/>
          <w:lang w:val="en-US"/>
        </w:rPr>
        <w:t>,</w:t>
      </w:r>
      <w:r w:rsidRPr="00126EE2">
        <w:rPr>
          <w:rFonts w:asciiTheme="minorHAnsi" w:hAnsiTheme="minorHAnsi" w:cstheme="minorHAnsi"/>
          <w:color w:val="212121"/>
          <w:shd w:val="clear" w:color="auto" w:fill="FFFFFF"/>
          <w:lang w:val="en-US"/>
        </w:rPr>
        <w:t xml:space="preserve"> it is the most prevalent and lethal type of cancer in women. </w:t>
      </w:r>
    </w:p>
    <w:p w14:paraId="2E284F8F" w14:textId="77777777" w:rsidR="00DA0327" w:rsidRPr="00126EE2" w:rsidRDefault="00DA0327" w:rsidP="00DA0327">
      <w:pPr>
        <w:spacing w:line="480" w:lineRule="auto"/>
        <w:jc w:val="both"/>
        <w:rPr>
          <w:rFonts w:cstheme="minorHAnsi"/>
          <w:color w:val="212121"/>
          <w:sz w:val="24"/>
          <w:szCs w:val="24"/>
          <w:shd w:val="clear" w:color="auto" w:fill="FFFFFF"/>
        </w:rPr>
      </w:pPr>
      <w:r w:rsidRPr="00126EE2">
        <w:rPr>
          <w:rFonts w:cstheme="minorHAnsi"/>
          <w:color w:val="212121"/>
          <w:sz w:val="24"/>
          <w:szCs w:val="24"/>
          <w:shd w:val="clear" w:color="auto" w:fill="FFFFFF"/>
        </w:rPr>
        <w:t xml:space="preserve">Approximately 20-25% of all breast cancer account for (HER2) positive breast cancer </w:t>
      </w:r>
      <w:r w:rsidRPr="00126EE2">
        <w:rPr>
          <w:rFonts w:cstheme="minorHAnsi"/>
          <w:color w:val="212121"/>
          <w:sz w:val="24"/>
          <w:szCs w:val="24"/>
          <w:shd w:val="clear" w:color="auto" w:fill="FFFFFF"/>
        </w:rPr>
        <w:fldChar w:fldCharType="begin" w:fldLock="1"/>
      </w:r>
      <w:r w:rsidRPr="00126EE2">
        <w:rPr>
          <w:rFonts w:cstheme="minorHAnsi"/>
          <w:color w:val="212121"/>
          <w:sz w:val="24"/>
          <w:szCs w:val="24"/>
          <w:shd w:val="clear" w:color="auto" w:fill="FFFFFF"/>
        </w:rPr>
        <w:instrText>ADDIN CSL_CITATION {"citationItems":[{"id":"ITEM-1","itemData":{"DOI":"10.1038/S41523-021-00265-1","ISSN":"2374-4677","PMID":"34016991","abstract":"Human epidermal growth factor receptor 2 (HER2) positive breast cancer accounts for 20–25% of all breast cancers. Multiple HER2-targeted therapies have been developed over the last few years, including the tyrosine kinase inhibitors (TKI) lapatinib, neratinib, tucatinib, and pyrotinib. These drugs target HER2 and other receptors of the epidermal growth factor receptor family, therefore each has unique efficacy and adverse event profile. HER2-directed TKIs have been studied in the early stage and advanced settings and have shown promising responses. There is increasing interest in utilizing these drugs in combination with chemotherapy and /or other HER2-directed agents in patients with central nervous system involvement, TKIs have shown to be effective in this setting for which treatment options have been previously limited and the prognosis remains poor. The aim of this review is to summarize currently approved TKIs for HER2+ breast, key clinical trials, and their use in current clinical practice.","author":[{"dropping-particle":"","family":"Schlam","given":"Ilana","non-dropping-particle":"","parse-names":false,"suffix":""},{"dropping-particle":"","family":"Swain","given":"Sandra M.","non-dropping-particle":"","parse-names":false,"suffix":""}],"container-title":"NPJ breast cancer","id":"ITEM-1","issue":"1","issued":{"date-parts":[["2021","12","1"]]},"publisher":"NPJ Breast Cancer","title":"HER2-positive breast cancer and tyrosine kinase inhibitors: the time is now","type":"article-journal","volume":"7"},"uris":["http://www.mendeley.com/documents/?uuid=899fa491-3db0-3ff1-91c9-bea9710ab509"]}],"mendeley":{"formattedCitation":"(Schlam &amp; Swain, 2021)","plainTextFormattedCitation":"(Schlam &amp; Swain, 2021)","previouslyFormattedCitation":"(Schlam &amp; Swain, 2021)"},"properties":{"noteIndex":0},"schema":"https://github.com/citation-style-language/schema/raw/master/csl-citation.json"}</w:instrText>
      </w:r>
      <w:r w:rsidRPr="00126EE2">
        <w:rPr>
          <w:rFonts w:cstheme="minorHAnsi"/>
          <w:color w:val="212121"/>
          <w:sz w:val="24"/>
          <w:szCs w:val="24"/>
          <w:shd w:val="clear" w:color="auto" w:fill="FFFFFF"/>
        </w:rPr>
        <w:fldChar w:fldCharType="separate"/>
      </w:r>
      <w:r w:rsidRPr="00126EE2">
        <w:rPr>
          <w:rFonts w:cstheme="minorHAnsi"/>
          <w:noProof/>
          <w:color w:val="212121"/>
          <w:sz w:val="24"/>
          <w:szCs w:val="24"/>
          <w:shd w:val="clear" w:color="auto" w:fill="FFFFFF"/>
        </w:rPr>
        <w:t>(Schlam &amp; Swain, 2021)</w:t>
      </w:r>
      <w:r w:rsidRPr="00126EE2">
        <w:rPr>
          <w:rFonts w:cstheme="minorHAnsi"/>
          <w:color w:val="212121"/>
          <w:sz w:val="24"/>
          <w:szCs w:val="24"/>
          <w:shd w:val="clear" w:color="auto" w:fill="FFFFFF"/>
        </w:rPr>
        <w:fldChar w:fldCharType="end"/>
      </w:r>
      <w:r w:rsidRPr="00126EE2">
        <w:rPr>
          <w:rFonts w:cstheme="minorHAnsi"/>
          <w:color w:val="212121"/>
          <w:sz w:val="24"/>
          <w:szCs w:val="24"/>
          <w:shd w:val="clear" w:color="auto" w:fill="FFFFFF"/>
        </w:rPr>
        <w:t xml:space="preserve">. </w:t>
      </w:r>
      <w:r w:rsidRPr="00126EE2">
        <w:rPr>
          <w:rFonts w:cstheme="minorHAnsi"/>
          <w:color w:val="000000"/>
          <w:sz w:val="24"/>
          <w:szCs w:val="24"/>
        </w:rPr>
        <w:t>Hertumig</w:t>
      </w:r>
      <w:r w:rsidRPr="00126EE2">
        <w:rPr>
          <w:rFonts w:cstheme="minorHAnsi"/>
          <w:color w:val="212121"/>
          <w:sz w:val="24"/>
          <w:szCs w:val="24"/>
          <w:shd w:val="clear" w:color="auto" w:fill="FFFFFF"/>
          <w:vertAlign w:val="superscript"/>
        </w:rPr>
        <w:t>®</w:t>
      </w:r>
      <w:r w:rsidRPr="00126EE2">
        <w:rPr>
          <w:rFonts w:cstheme="minorHAnsi"/>
          <w:color w:val="000000"/>
          <w:sz w:val="24"/>
          <w:szCs w:val="24"/>
        </w:rPr>
        <w:t>/mAb VBT001 is a humanized monoclonal antibody (mAb)</w:t>
      </w:r>
      <w:r w:rsidRPr="00126EE2">
        <w:rPr>
          <w:rFonts w:cstheme="minorHAnsi"/>
          <w:sz w:val="24"/>
          <w:szCs w:val="24"/>
        </w:rPr>
        <w:t xml:space="preserve"> proposed </w:t>
      </w:r>
      <w:r w:rsidRPr="00126EE2">
        <w:rPr>
          <w:rFonts w:cstheme="minorHAnsi"/>
          <w:color w:val="000000"/>
          <w:sz w:val="24"/>
          <w:szCs w:val="24"/>
        </w:rPr>
        <w:t>as a treatment for HER2-positive metastatic/non-metastatic breast cancer. Hertumig</w:t>
      </w:r>
      <w:r w:rsidRPr="00126EE2">
        <w:rPr>
          <w:rFonts w:cstheme="minorHAnsi"/>
          <w:color w:val="212121"/>
          <w:sz w:val="24"/>
          <w:szCs w:val="24"/>
          <w:shd w:val="clear" w:color="auto" w:fill="FFFFFF"/>
          <w:vertAlign w:val="superscript"/>
        </w:rPr>
        <w:t>®</w:t>
      </w:r>
      <w:r w:rsidRPr="00126EE2">
        <w:rPr>
          <w:rFonts w:cstheme="minorHAnsi"/>
          <w:color w:val="000000"/>
          <w:sz w:val="24"/>
          <w:szCs w:val="24"/>
        </w:rPr>
        <w:t xml:space="preserve"> participates in neoadjuvant therapy alone or combined with chemotherapy and targeted therapy. Hertumig</w:t>
      </w:r>
      <w:r w:rsidRPr="00126EE2">
        <w:rPr>
          <w:rFonts w:cstheme="minorHAnsi"/>
          <w:color w:val="212121"/>
          <w:sz w:val="24"/>
          <w:szCs w:val="24"/>
          <w:shd w:val="clear" w:color="auto" w:fill="FFFFFF"/>
          <w:vertAlign w:val="superscript"/>
        </w:rPr>
        <w:t>®</w:t>
      </w:r>
      <w:r w:rsidRPr="00126EE2">
        <w:rPr>
          <w:rFonts w:cstheme="minorHAnsi"/>
          <w:color w:val="000000"/>
          <w:sz w:val="24"/>
          <w:szCs w:val="24"/>
        </w:rPr>
        <w:t xml:space="preserve"> has efficiently prevented apoptosis and proliferation of breast cancer tumors in </w:t>
      </w:r>
      <w:r w:rsidRPr="00126EE2">
        <w:rPr>
          <w:rFonts w:cstheme="minorHAnsi"/>
          <w:color w:val="222222"/>
          <w:sz w:val="24"/>
          <w:szCs w:val="24"/>
          <w:shd w:val="clear" w:color="auto" w:fill="FFFFFF"/>
        </w:rPr>
        <w:t>nude mice breast cancer xenograft models (rodent) and rhesus monkeys (non-rodent).</w:t>
      </w:r>
    </w:p>
    <w:p w14:paraId="5B80E3A2"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color w:val="000000"/>
          <w:lang w:val="en-US"/>
        </w:rPr>
        <w:t xml:space="preserve">The phase 1 clinical trial will occur at Heidelberg University Hospital, Germany. </w:t>
      </w:r>
      <w:proofErr w:type="spellStart"/>
      <w:r w:rsidRPr="00126EE2">
        <w:rPr>
          <w:rFonts w:asciiTheme="minorHAnsi" w:hAnsiTheme="minorHAnsi" w:cstheme="minorHAnsi"/>
          <w:color w:val="000000"/>
          <w:lang w:val="en-US"/>
        </w:rPr>
        <w:t>Vitria</w:t>
      </w:r>
      <w:proofErr w:type="spellEnd"/>
      <w:r w:rsidRPr="00126EE2">
        <w:rPr>
          <w:rFonts w:asciiTheme="minorHAnsi" w:hAnsiTheme="minorHAnsi" w:cstheme="minorHAnsi"/>
          <w:color w:val="000000"/>
          <w:lang w:val="en-US"/>
        </w:rPr>
        <w:t xml:space="preserve"> Biotech</w:t>
      </w:r>
      <w:r w:rsidRPr="00126EE2">
        <w:rPr>
          <w:rFonts w:asciiTheme="minorHAnsi" w:hAnsiTheme="minorHAnsi"/>
          <w:lang w:val="en-US"/>
        </w:rPr>
        <w:t xml:space="preserve"> </w:t>
      </w:r>
      <w:r w:rsidRPr="00126EE2">
        <w:rPr>
          <w:rFonts w:asciiTheme="minorHAnsi" w:hAnsiTheme="minorHAnsi" w:cstheme="minorHAnsi"/>
          <w:color w:val="000000"/>
          <w:lang w:val="en-US"/>
        </w:rPr>
        <w:t xml:space="preserve">Co. will manufacture mAb in Switzerland under GMP compliances. </w:t>
      </w:r>
    </w:p>
    <w:p w14:paraId="7AA9B103"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5AF8C742"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150122E5"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67A45E97"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27CDB7ED"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1A15B63F"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4DFD5CBD"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0BDB8DF0"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00E0EA69"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
    <w:p w14:paraId="4F8D76CA" w14:textId="77777777" w:rsidR="00DA0327" w:rsidRPr="00126EE2" w:rsidRDefault="00DA0327" w:rsidP="00DA0327">
      <w:pPr>
        <w:pStyle w:val="Heading1"/>
        <w:numPr>
          <w:ilvl w:val="0"/>
          <w:numId w:val="6"/>
        </w:numPr>
        <w:spacing w:line="480" w:lineRule="auto"/>
        <w:ind w:left="720"/>
        <w:jc w:val="both"/>
        <w:rPr>
          <w:rFonts w:asciiTheme="minorHAnsi" w:hAnsiTheme="minorHAnsi" w:cstheme="minorHAnsi"/>
          <w:sz w:val="24"/>
          <w:szCs w:val="24"/>
        </w:rPr>
      </w:pPr>
      <w:bookmarkStart w:id="1" w:name="_Toc20143648"/>
      <w:r w:rsidRPr="00126EE2">
        <w:rPr>
          <w:rFonts w:asciiTheme="minorHAnsi" w:hAnsiTheme="minorHAnsi" w:cstheme="minorHAnsi"/>
          <w:sz w:val="24"/>
          <w:szCs w:val="24"/>
        </w:rPr>
        <w:lastRenderedPageBreak/>
        <w:t>Introduction</w:t>
      </w:r>
      <w:bookmarkEnd w:id="1"/>
      <w:r w:rsidRPr="00126EE2">
        <w:rPr>
          <w:rFonts w:asciiTheme="minorHAnsi" w:hAnsiTheme="minorHAnsi" w:cstheme="minorHAnsi"/>
          <w:sz w:val="24"/>
          <w:szCs w:val="24"/>
        </w:rPr>
        <w:t xml:space="preserve"> </w:t>
      </w:r>
    </w:p>
    <w:p w14:paraId="01130984" w14:textId="77777777" w:rsidR="00DA0327" w:rsidRPr="00126EE2" w:rsidRDefault="00DA0327" w:rsidP="00DA0327">
      <w:pPr>
        <w:spacing w:line="480" w:lineRule="auto"/>
        <w:jc w:val="both"/>
        <w:rPr>
          <w:rFonts w:cstheme="minorHAnsi"/>
          <w:sz w:val="24"/>
          <w:szCs w:val="24"/>
        </w:rPr>
      </w:pPr>
      <w:r w:rsidRPr="00126EE2">
        <w:rPr>
          <w:rFonts w:cstheme="minorHAnsi"/>
          <w:sz w:val="24"/>
          <w:szCs w:val="24"/>
        </w:rPr>
        <w:t xml:space="preserve">Breast cancer is one of the leading causes of death in women worldwide </w:t>
      </w:r>
      <w:r w:rsidRPr="00126EE2">
        <w:rPr>
          <w:rFonts w:cstheme="minorHAnsi"/>
          <w:sz w:val="24"/>
          <w:szCs w:val="24"/>
        </w:rPr>
        <w:fldChar w:fldCharType="begin" w:fldLock="1"/>
      </w:r>
      <w:r w:rsidRPr="00126EE2">
        <w:rPr>
          <w:rFonts w:cstheme="minorHAnsi"/>
          <w:sz w:val="24"/>
          <w:szCs w:val="24"/>
        </w:rPr>
        <w:instrText>ADDIN CSL_CITATION {"citationItems":[{"id":"ITEM-1","itemData":{"DOI":"10.3322/CAAC.21590","ISSN":"0007-9235","PMID":"31912902","abstract":"Each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cancers.","author":[{"dropping-particle":"","family":"Siegel","given":"Rebecca L.","non-dropping-particle":"","parse-names":false,"suffix":""},{"dropping-particle":"","family":"Miller","given":"Kimberly D.","non-dropping-particle":"","parse-names":false,"suffix":""},{"dropping-particle":"","family":"Jemal","given":"Ahmedin","non-dropping-particle":"","parse-names":false,"suffix":""}],"container-title":"CA: A Cancer Journal for Clinicians","id":"ITEM-1","issue":"1","issued":{"date-parts":[["2020","1"]]},"page":"7-30","publisher":"Wiley","title":"Cancer statistics, 2020","type":"article-journal","volume":"70"},"uris":["http://www.mendeley.com/documents/?uuid=fd6040c2-29bb-3a7b-bccc-f6298fa19be1"]}],"mendeley":{"formattedCitation":"(Siegel et al., 2020)","plainTextFormattedCitation":"(Siegel et al., 2020)","previouslyFormattedCitation":"(Siegel et al., 2020)"},"properties":{"noteIndex":0},"schema":"https://github.com/citation-style-language/schema/raw/master/csl-citation.json"}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(Siegel et al., 2020)</w:t>
      </w:r>
      <w:r w:rsidRPr="00126EE2">
        <w:rPr>
          <w:rFonts w:cstheme="minorHAnsi"/>
          <w:sz w:val="24"/>
          <w:szCs w:val="24"/>
        </w:rPr>
        <w:fldChar w:fldCharType="end"/>
      </w:r>
      <w:r w:rsidRPr="00126EE2">
        <w:rPr>
          <w:rFonts w:cstheme="minorHAnsi"/>
          <w:sz w:val="24"/>
          <w:szCs w:val="24"/>
        </w:rPr>
        <w:fldChar w:fldCharType="begin" w:fldLock="1"/>
      </w:r>
      <w:r w:rsidRPr="00126EE2">
        <w:rPr>
          <w:rFonts w:cstheme="minorHAnsi"/>
          <w:sz w:val="24"/>
          <w:szCs w:val="24"/>
        </w:rPr>
        <w:instrText>ADDIN CSL_CITATION {"citationItems":[{"id":"ITEM-1","itemData":{"DOI":"10.1259/BJR.20211033","ISSN":"1748880X","PMID":"34905391","abstract":"Breast cancer is now the most commonly diagnosed cancer in the world. The most recent global cancer burden figures estimate that there were 2.26 million incident breast cancer cases in 2020 and the disease is the leading cause of cancer mortality in women worldwide. The incidence is strongly correlated with human development, with a large rise in cases anticipated in regions of the world that are currently undergoing economic transformation. Survival, however, is far less favourable in less developed regions. There are a multitude of factors behind disparities in the global survival rates, including delays in diagnosis and lack of access to effective treatment. The World Health Organization’s new Global Breast Cancer Initiative was launched this year to address this urgent global health challenge. It aims to improve survival across the world through three pillars: health promotion, timely diagnosis, and comprehensive treatment and supportive care. In this article, we discuss the key challenges of breast cancer care and control in a global context.","author":[{"dropping-particle":"","family":"Wilkinson","given":"Louise","non-dropping-particle":"","parse-names":false,"suffix":""},{"dropping-particle":"","family":"Gathani","given":"Toral","non-dropping-particle":"","parse-names":false,"suffix":""}],"container-title":"British Journal of Radiology","id":"ITEM-1","issue":"1130","issued":{"date-parts":[["2022"]]},"publisher":"British Institute of Radiology","title":"Understanding breast cancer as a global health concern","type":"article-journal","volume":"95"},"uris":["http://www.mendeley.com/documents/?uuid=f915bb71-e44e-36fd-8c87-b689aa827104"]}],"mendeley":{"formattedCitation":"(Wilkinson &amp; Gathani, 2022)","plainTextFormattedCitation":"(Wilkinson &amp; Gathani, 2022)","previouslyFormattedCitation":"(Wilkinson &amp; Gathani, 2022)"},"properties":{"noteIndex":0},"schema":"https://github.com/citation-style-language/schema/raw/master/csl-citation.json"}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(Wilkinson &amp; Gathani, 2022)</w:t>
      </w:r>
      <w:r w:rsidRPr="00126EE2">
        <w:rPr>
          <w:rFonts w:cstheme="minorHAnsi"/>
          <w:sz w:val="24"/>
          <w:szCs w:val="24"/>
        </w:rPr>
        <w:fldChar w:fldCharType="end"/>
      </w:r>
      <w:r w:rsidRPr="00126EE2">
        <w:rPr>
          <w:rFonts w:cstheme="minorHAnsi"/>
          <w:sz w:val="24"/>
          <w:szCs w:val="24"/>
        </w:rPr>
        <w:t>. The survival rates associated with the current anticancer treatment greatly vary with the stage of cancer development. In the present scenario, a major challenge with conventional anticancer drug treatment is multidrug resistance that results in tumor relapse</w:t>
      </w:r>
      <w:r>
        <w:rPr>
          <w:rFonts w:cstheme="minorHAnsi"/>
          <w:sz w:val="24"/>
          <w:szCs w:val="24"/>
        </w:rPr>
        <w:t xml:space="preserve"> </w:t>
      </w:r>
      <w:r w:rsidRPr="00126EE2">
        <w:rPr>
          <w:rFonts w:cstheme="minorHAnsi"/>
          <w:sz w:val="24"/>
          <w:szCs w:val="24"/>
        </w:rPr>
        <w:fldChar w:fldCharType="begin" w:fldLock="1"/>
      </w:r>
      <w:r w:rsidRPr="00126EE2">
        <w:rPr>
          <w:rFonts w:cstheme="minorHAnsi"/>
          <w:sz w:val="24"/>
          <w:szCs w:val="24"/>
        </w:rPr>
        <w:instrText>ADDIN CSL_CITATION {"citationItems":[{"id":"ITEM-1","itemData":{"DOI":"10.1016/S0140-6736(13)61094-6","ISSN":"1474-547X","PMID":"23871490","abstract":"Background Trastuzumab has established efficacy against breast cancer with overexpression or amplification of the HER2 oncogene. The standard of care is 1 year of adjuvant trastuzumab, but the optimum duration of treatment is unknown. We compared 2 years of treatment with trastuzumab with 1 year of treatment, and updated the comparison of 1 year of trastuzumab versus observation at a median follow-up of 8 years, for patients enrolled in the HERceptin Adjuvant (HERA) trial. Methods The HERA trial is an international, multicentre, randomised, open-label, phase 3 trial comparing treatment with trastuzumab for 1 and 2 years with observation after standard neoadjuvant chemotherapy, adjuvant chemotherapy, or both in 5102 patients with HER2-positive early breast cancer. The primary endpoint was disease-free survival. The comparison of 2 years versus 1 year of trastuzumab treatment involved a landmark analysis of 3105 patients who were disease-free 12 months after randomisation to one of the trastuzumab groups, and was planned after observing at least 725 disease-free survival events. The updated intention-to-treat comparison of 1 year trastuzumab treatment versus observation alone in 3399 patients at a median follow-up of 8 years (range 0-10) is also reported. This study is registered with ClinicalTrials.gov, number NCT00045032. Findings We recorded 367 events of disease-free survival in 1552 patients in the 1 year group and 367 events in 1553 patients in the 2 year group (hazard ratio [HR] 0·99, 95% CI 0·85-1·14, p=0·86). Grade 3-4 adverse events and decreases in left ventricular ejection fraction during treatment were reported more frequently in the 2 year treatment group than in the 1 year group (342 [20·4%] vs 275 [16·3%] grade 3-4 adverse events, and 120 [7·2%] vs 69 [4·1%] decreases in left ventricular ejection fraction, respectively). HRs for a comparison of 1 year of trastuzumab treatment versus observation were 0·76 (95% CI 0·67-0·86, p&lt;0·0001) for disease-free survival and 0·76 (0·65-0·88, p=0·0005) for overall survival, despite crossover of 884 (52%) patients from the observation group to trastuzumab therapy. Interpretation 2 years of adjuvant trastuzumab is not more effective than is 1 year of treatment for patients with HER2-positive early breast cancer. 1 year of treatment provides a significant disease-free and overall survival benefit compared with observation and remains the standard of care. Funding F Hoffmann-La Roche (Roche). © 2013 Elsevie…","author":[{"dropping-particle":"","family":"Goldhirsch","given":"Aron","non-dropping-particle":"","parse-names":false,"suffix":""},{"dropping-particle":"","family":"Gelber","given":"Richard D.","non-dropping-particle":"","parse-names":false,"suffix":""},{"dropping-particle":"","family":"Piccart-Gebhart","given":"Martine J.","non-dropping-particle":"","parse-names":false,"suffix":""},{"dropping-particle":"","family":"Azambuja","given":"Evandro","non-dropping-particle":"De","parse-names":false,"suffix":""},{"dropping-particle":"","family":"Procter","given":"Marion","non-dropping-particle":"","parse-names":false,"suffix":""},{"dropping-particle":"","family":"Suter","given":"Thomas M.","non-dropping-particle":"","parse-names":false,"suffix":""},{"dropping-particle":"","family":"Jackisch","given":"Christian","non-dropping-particle":"","parse-names":false,"suffix":""},{"dropping-particle":"","family":"Cameron","given":"David","non-dropping-particle":"","parse-names":false,"suffix":""},{"dropping-particle":"","family":"Weber","given":"Harald A.","non-dropping-particle":"","parse-names":false,"suffix":""},{"dropping-particle":"","family":"Heinzmann","given":"Dominik","non-dropping-particle":"","parse-names":false,"suffix":""},{"dropping-particle":"","family":"Lago","given":"Lissandra Dal","non-dropping-particle":"","parse-names":false,"suffix":""},{"dropping-particle":"","family":"McFadden","given":"Eleanor","non-dropping-particle":"","parse-names":false,"suffix":""},{"dropping-particle":"","family":"Dowsett","given":"Mitch","non-dropping-particle":"","parse-names":false,"suffix":""},{"dropping-particle":"","family":"Untch","given":"Michael","non-dropping-particle":"","parse-names":false,"suffix":""},{"dropping-particle":"","family":"Gianni","given":"Luca","non-dropping-particle":"","parse-names":false,"suffix":""},{"dropping-particle":"","family":"Bell","given":"Richard","non-dropping-particle":"","parse-names":false,"suffix":""},{"dropping-particle":"","family":"Köhne","given":"Claus Henning","non-dropping-particle":"","parse-names":false,"suffix":""},{"dropping-particle":"","family":"Vindevoghel","given":"Anita","non-dropping-particle":"","parse-names":false,"suffix":""},{"dropping-particle":"","family":"Andersson","given":"Michael","non-dropping-particle":"","parse-names":false,"suffix":""},{"dropping-particle":"","family":"Brunt","given":"A. Murray","non-dropping-particle":"","parse-names":false,"suffix":""},{"dropping-particle":"","family":"Otero-Reyes","given":"Douglas","non-dropping-particle":"","parse-names":false,"suffix":""},{"dropping-particle":"","family":"Song","given":"Santai","non-dropping-particle":"","parse-names":false,"suffix":""},{"dropping-particle":"","family":"Smith","given":"Ian","non-dropping-particle":"","parse-names":false,"suffix":""},{"dropping-particle":"","family":"Leyland-Jones","given":"Brian","non-dropping-particle":"","parse-names":false,"suffix":""},{"dropping-particle":"","family":"Baselga","given":"Jose","non-dropping-particle":"","parse-names":false,"suffix":""}],"container-title":"Lancet (London, England)","id":"ITEM-1","issue":"9897","issued":{"date-parts":[["2013"]]},"page":"1021-1028","publisher":"Lancet","title":"2 years versus 1 year of adjuvant trastuzumab for HER2-positive breast cancer (HERA): an open-label, randomised controlled trial","type":"article-journal","volume":"382"},"uris":["http://www.mendeley.com/documents/?uuid=5995fcb6-87c6-3866-bdf7-c02337521d31"]}],"mendeley":{"formattedCitation":"(Goldhirsch et al., 2013)","plainTextFormattedCitation":"(Goldhirsch et al., 2013)","previouslyFormattedCitation":"(Goldhirsch et al., 2013)"},"properties":{"noteIndex":0},"schema":"https://github.com/citation-style-language/schema/raw/master/csl-citation.json"}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(Goldhirsch et al., 2013)</w:t>
      </w:r>
      <w:r w:rsidRPr="00126EE2">
        <w:rPr>
          <w:rFonts w:cstheme="minorHAnsi"/>
          <w:sz w:val="24"/>
          <w:szCs w:val="24"/>
        </w:rPr>
        <w:fldChar w:fldCharType="end"/>
      </w:r>
      <w:r w:rsidRPr="00126EE2">
        <w:rPr>
          <w:rFonts w:cstheme="minorHAnsi"/>
          <w:sz w:val="24"/>
          <w:szCs w:val="24"/>
        </w:rPr>
        <w:t xml:space="preserve"> </w:t>
      </w:r>
      <w:r w:rsidRPr="00126EE2">
        <w:rPr>
          <w:rFonts w:cstheme="minorHAnsi"/>
          <w:sz w:val="24"/>
          <w:szCs w:val="24"/>
        </w:rPr>
        <w:fldChar w:fldCharType="begin" w:fldLock="1"/>
      </w:r>
      <w:r w:rsidRPr="00126EE2">
        <w:rPr>
          <w:rFonts w:cstheme="minorHAnsi"/>
          <w:sz w:val="24"/>
          <w:szCs w:val="24"/>
        </w:rPr>
        <w:instrText>ADDIN CSL_CITATION {"citationItems":[{"id":"ITEM-1","itemData":{"DOI":"10.1016/S0140-6736(21)02732-X","ISSN":"1474-547X","PMID":"34973717","author":[{"dropping-particle":"","family":"Balocco","given":"Raffaella","non-dropping-particle":"","parse-names":false,"suffix":""},{"dropping-particle":"","family":"Sousa Guimaraes Koch","given":"Sofia","non-dropping-particle":"De","parse-names":false,"suffix":""},{"dropping-particle":"","family":"Thorpe","given":"Robin","non-dropping-particle":"","parse-names":false,"suffix":""},{"dropping-particle":"","family":"Weisser","given":"Karin","non-dropping-particle":"","parse-names":false,"suffix":""},{"dropping-particle":"","family":"Malan","given":"Sarel","non-dropping-particle":"","parse-names":false,"suffix":""}],"container-title":"Lancet (London, England)","id":"ITEM-1","issue":"10319","issued":{"date-parts":[["2022","1","1"]]},"page":"24","publisher":"Lancet","title":"New INN nomenclature for monoclonal antibodies","type":"article-journal","volume":"399"},"uris":["http://www.mendeley.com/documents/?uuid=b3e526f4-0b6a-3ea7-816b-0c898f555d26"]}],"mendeley":{"formattedCitation":"(Balocco et al., 2022)","plainTextFormattedCitation":"(Balocco et al., 2022)","previouslyFormattedCitation":"(Balocco et al., 2022)"},"properties":{"noteIndex":0},"schema":"https://github.com/citation-style-language/schema/raw/master/csl-citation.json"}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(Balocco et al., 2022)</w:t>
      </w:r>
      <w:r w:rsidRPr="00126EE2">
        <w:rPr>
          <w:rFonts w:cstheme="minorHAnsi"/>
          <w:sz w:val="24"/>
          <w:szCs w:val="24"/>
        </w:rPr>
        <w:fldChar w:fldCharType="end"/>
      </w:r>
      <w:r w:rsidRPr="00126EE2">
        <w:rPr>
          <w:rFonts w:cstheme="minorHAnsi"/>
          <w:sz w:val="24"/>
          <w:szCs w:val="24"/>
        </w:rPr>
        <w:t>. In addition, lack of selectivity for tumor cells, high systemic toxicity, and unrecognized long-term side effects remain critical issues</w:t>
      </w:r>
      <w:r w:rsidRPr="00126EE2">
        <w:rPr>
          <w:rFonts w:cstheme="minorHAnsi"/>
          <w:sz w:val="24"/>
          <w:szCs w:val="24"/>
        </w:rPr>
        <w:fldChar w:fldCharType="begin" w:fldLock="1"/>
      </w:r>
      <w:r w:rsidRPr="00126EE2">
        <w:rPr>
          <w:rFonts w:cstheme="minorHAnsi"/>
          <w:sz w:val="24"/>
          <w:szCs w:val="24"/>
        </w:rPr>
        <w:instrText>ADDIN CSL_CITATION {"citationItems":[{"id":"ITEM-1","itemData":{"DOI":"10.1038/nrd3003","ISSN":"1474-1784","PMID":"20305665","abstract":"A growing number of monoclonal antibodies are being developed for the treatment of malignancies, transplant rejection, autoimmune and other immune disorders; however, they can have severe side effects. Hansel and colleagues consider the mechanisms underlying these effects and strategies to minimize them during preclinical screening and in first-in-human trials. Monoclonal antibodies (mAbs) are now established as targeted therapies for malignancies, transplant rejection, autoimmune and infectious diseases, as well as a range of new indications. However, administration of mAbs carries the risk of immune reactions such as acute anaphylaxis, serum sickness and the generation of antibodies. In addition, there are numerous adverse effects of mAbs that are related to their specific targets, including infections and cancer, autoimmune disease, and organ-specific adverse events such as cardiotoxicity. In March 2006, a life-threatening cytokine release syndrome occurred during a first-in-human study with TGN1412 (a CD28-specific superagonist mAb), resulting in a range of recommendations to improve the safety of initial human clinical studies with mAbs. Here, we review some of the adverse effects encountered with mAb therapies, and discuss advances in preclinical testing and antibody technology aimed at minimizing the risk of these events.","author":[{"dropping-particle":"","family":"Hansel","given":"Trevor T.","non-dropping-particle":"","parse-names":false,"suffix":""},{"dropping-particle":"","family":"Kropshofer","given":"Harald","non-dropping-particle":"","parse-names":false,"suffix":""},{"dropping-particle":"","family":"Singer","given":"Thomas","non-dropping-particle":"","parse-names":false,"suffix":""},{"dropping-particle":"","family":"Mitchell","given":"Jane A.","non-dropping-particle":"","parse-names":false,"suffix":""},{"dropping-particle":"","family":"George","given":"Andrew J.T.","non-dropping-particle":"","parse-names":false,"suffix":""}],"container-title":"Nature Reviews Drug Discovery 2010 9:4","id":"ITEM-1","issue":"4","issued":{"date-parts":[["2010","3","22"]]},"page":"325-338","publisher":"Nature Publishing Group","title":"The safety and side effects of monoclonal antibodies","type":"article-journal","volume":"9"},"uris":["http://www.mendeley.com/documents/?uuid=b5f6c3bc-abf3-3273-84f7-44231ee7d970"]}],"mendeley":{"formattedCitation":"(Hansel et al., 2010)","plainTextFormattedCitation":"(Hansel et al., 2010)","previouslyFormattedCitation":"(Hansel et al., 2010)"},"properties":{"noteIndex":0},"schema":"https://github.com/citation-style-language/schema/raw/master/csl-citation.json"}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(Hansel et al., 2010)</w:t>
      </w:r>
      <w:r w:rsidRPr="00126EE2">
        <w:rPr>
          <w:rFonts w:cstheme="minorHAnsi"/>
          <w:sz w:val="24"/>
          <w:szCs w:val="24"/>
        </w:rPr>
        <w:fldChar w:fldCharType="end"/>
      </w:r>
      <w:r w:rsidRPr="00126EE2">
        <w:rPr>
          <w:rFonts w:cstheme="minorHAnsi"/>
          <w:sz w:val="24"/>
          <w:szCs w:val="24"/>
        </w:rPr>
        <w:t xml:space="preserve">. Under these circumstances, discovering and developing new anticancer drugs is a necessity. Therefore, we have developed </w:t>
      </w:r>
      <w:r w:rsidRPr="00126EE2">
        <w:rPr>
          <w:rFonts w:cstheme="minorHAnsi"/>
          <w:color w:val="000000"/>
          <w:sz w:val="24"/>
          <w:szCs w:val="24"/>
        </w:rPr>
        <w:t>Hertumig</w:t>
      </w:r>
      <w:r w:rsidRPr="00126EE2">
        <w:rPr>
          <w:rFonts w:cstheme="minorHAnsi"/>
          <w:color w:val="212121"/>
          <w:sz w:val="24"/>
          <w:szCs w:val="24"/>
          <w:shd w:val="clear" w:color="auto" w:fill="FFFFFF"/>
          <w:vertAlign w:val="superscript"/>
        </w:rPr>
        <w:t>®</w:t>
      </w:r>
      <w:r w:rsidRPr="00126EE2">
        <w:rPr>
          <w:rFonts w:cstheme="minorHAnsi"/>
          <w:color w:val="000000"/>
          <w:sz w:val="24"/>
          <w:szCs w:val="24"/>
        </w:rPr>
        <w:t xml:space="preserve">, </w:t>
      </w:r>
      <w:r w:rsidRPr="00126EE2">
        <w:rPr>
          <w:rFonts w:cstheme="minorHAnsi"/>
          <w:sz w:val="24"/>
          <w:szCs w:val="24"/>
        </w:rPr>
        <w:t xml:space="preserve">a mAb that </w:t>
      </w:r>
      <w:r w:rsidRPr="00126EE2">
        <w:rPr>
          <w:rFonts w:cstheme="minorHAnsi"/>
          <w:color w:val="000000"/>
          <w:sz w:val="24"/>
          <w:szCs w:val="24"/>
        </w:rPr>
        <w:t>targets a newly defined antigen of the HER2</w:t>
      </w:r>
      <w:r w:rsidRPr="00126EE2">
        <w:rPr>
          <w:rFonts w:cstheme="minorHAnsi"/>
          <w:sz w:val="24"/>
          <w:szCs w:val="24"/>
        </w:rPr>
        <w:t xml:space="preserve"> receptor. Nomenclature of our Drug is according to New INN nomenclature for monoclonal antibodies</w:t>
      </w:r>
      <w:r>
        <w:rPr>
          <w:rFonts w:cstheme="minorHAnsi"/>
          <w:sz w:val="24"/>
          <w:szCs w:val="24"/>
        </w:rPr>
        <w:t xml:space="preserve"> </w:t>
      </w:r>
      <w:r w:rsidRPr="00126EE2">
        <w:rPr>
          <w:rFonts w:cstheme="minorHAnsi"/>
          <w:sz w:val="24"/>
          <w:szCs w:val="24"/>
        </w:rPr>
        <w:fldChar w:fldCharType="begin" w:fldLock="1"/>
      </w:r>
      <w:r w:rsidRPr="00126EE2">
        <w:rPr>
          <w:rFonts w:cstheme="minorHAnsi"/>
          <w:sz w:val="24"/>
          <w:szCs w:val="24"/>
        </w:rPr>
        <w:instrText>ADDIN CSL_CITATION {"citationItems":[{"id":"ITEM-1","itemData":{"DOI":"10.1016/S0140-6736(21)02732-X","ISSN":"1474-547X","PMID":"34973717","author":[{"dropping-particle":"","family":"Balocco","given":"Raffaella","non-dropping-particle":"","parse-names":false,"suffix":""},{"dropping-particle":"","family":"Sousa Guimaraes Koch","given":"Sofia","non-dropping-particle":"De","parse-names":false,"suffix":""},{"dropping-particle":"","family":"Thorpe","given":"Robin","non-dropping-particle":"","parse-names":false,"suffix":""},{"dropping-particle":"","family":"Weisser","given":"Karin","non-dropping-particle":"","parse-names":false,"suffix":""},{"dropping-particle":"","family":"Malan","given":"Sarel","non-dropping-particle":"","parse-names":false,"suffix":""}],"container-title":"Lancet (London, England)","id":"ITEM-1","issue":"10319","issued":{"date-parts":[["2022","1","1"]]},"page":"24","publisher":"Lancet","title":"New INN nomenclature for monoclonal antibodies","type":"article-journal","volume":"399"},"uris":["http://www.mendeley.com/documents/?uuid=b3e526f4-0b6a-3ea7-816b-0c898f555d26"]}],"mendeley":{"formattedCitation":"(Balocco et al., 2022)","plainTextFormattedCitation":"(Balocco et al., 2022)","previouslyFormattedCitation":"(Balocco et al., 2022)"},"properties":{"noteIndex":0},"schema":"https://github.com/citation-style-language/schema/raw/master/csl-citation.json"}</w:instrText>
      </w:r>
      <w:r w:rsidRPr="00126EE2">
        <w:rPr>
          <w:rFonts w:cstheme="minorHAnsi"/>
          <w:sz w:val="24"/>
          <w:szCs w:val="24"/>
        </w:rPr>
        <w:fldChar w:fldCharType="separate"/>
      </w:r>
      <w:r w:rsidRPr="00126EE2">
        <w:rPr>
          <w:rFonts w:cstheme="minorHAnsi"/>
          <w:noProof/>
          <w:sz w:val="24"/>
          <w:szCs w:val="24"/>
        </w:rPr>
        <w:t>(Balocco et al., 2022)</w:t>
      </w:r>
      <w:r w:rsidRPr="00126EE2">
        <w:rPr>
          <w:rFonts w:cstheme="minorHAnsi"/>
          <w:sz w:val="24"/>
          <w:szCs w:val="24"/>
        </w:rPr>
        <w:fldChar w:fldCharType="end"/>
      </w:r>
      <w:r w:rsidRPr="00126EE2">
        <w:rPr>
          <w:rFonts w:cstheme="minorHAnsi"/>
          <w:sz w:val="24"/>
          <w:szCs w:val="24"/>
        </w:rPr>
        <w:t xml:space="preserve">. </w:t>
      </w:r>
    </w:p>
    <w:p w14:paraId="5260BBA2" w14:textId="77777777" w:rsidR="00DA0327" w:rsidRPr="00126EE2" w:rsidRDefault="00DA0327" w:rsidP="00DA0327">
      <w:pPr>
        <w:spacing w:line="480" w:lineRule="auto"/>
        <w:jc w:val="both"/>
        <w:rPr>
          <w:rFonts w:cstheme="minorHAnsi"/>
          <w:color w:val="222222"/>
          <w:sz w:val="24"/>
          <w:szCs w:val="24"/>
          <w:shd w:val="clear" w:color="auto" w:fill="FFFFFF"/>
        </w:rPr>
      </w:pPr>
      <w:r w:rsidRPr="00126EE2">
        <w:rPr>
          <w:rFonts w:cstheme="minorHAnsi"/>
          <w:color w:val="000000"/>
          <w:sz w:val="24"/>
          <w:szCs w:val="24"/>
        </w:rPr>
        <w:t xml:space="preserve">A </w:t>
      </w:r>
      <w:r w:rsidRPr="00126EE2">
        <w:rPr>
          <w:rStyle w:val="Emphasis"/>
          <w:rFonts w:eastAsiaTheme="majorEastAsia" w:cstheme="minorHAnsi"/>
          <w:color w:val="000000"/>
          <w:sz w:val="24"/>
          <w:szCs w:val="24"/>
          <w:bdr w:val="none" w:sz="0" w:space="0" w:color="auto" w:frame="1"/>
          <w:shd w:val="clear" w:color="auto" w:fill="FFFFFF"/>
        </w:rPr>
        <w:t>transmembrane tyrosine kinase (TK)</w:t>
      </w:r>
      <w:r w:rsidRPr="00126EE2">
        <w:rPr>
          <w:rFonts w:cstheme="minorHAnsi"/>
          <w:i/>
          <w:iCs/>
          <w:color w:val="000000"/>
          <w:sz w:val="24"/>
          <w:szCs w:val="24"/>
          <w:shd w:val="clear" w:color="auto" w:fill="FFFFFF"/>
        </w:rPr>
        <w:t xml:space="preserve"> </w:t>
      </w:r>
      <w:r w:rsidRPr="00126EE2">
        <w:rPr>
          <w:rFonts w:cstheme="minorHAnsi"/>
          <w:color w:val="000000"/>
          <w:sz w:val="24"/>
          <w:szCs w:val="24"/>
        </w:rPr>
        <w:t>receptor HER2 (</w:t>
      </w:r>
      <w:r w:rsidRPr="00126EE2">
        <w:rPr>
          <w:rStyle w:val="Emphasis"/>
          <w:rFonts w:cstheme="minorHAnsi"/>
          <w:color w:val="000000"/>
          <w:sz w:val="24"/>
          <w:szCs w:val="24"/>
          <w:bdr w:val="none" w:sz="0" w:space="0" w:color="auto" w:frame="1"/>
          <w:shd w:val="clear" w:color="auto" w:fill="FFFFFF"/>
        </w:rPr>
        <w:t>human epidermal growth factor receptor</w:t>
      </w:r>
      <w:r w:rsidRPr="00126EE2">
        <w:rPr>
          <w:rStyle w:val="Emphasis"/>
          <w:rFonts w:eastAsiaTheme="majorEastAsia" w:cstheme="minorHAnsi"/>
          <w:color w:val="000000"/>
          <w:sz w:val="24"/>
          <w:szCs w:val="24"/>
          <w:bdr w:val="none" w:sz="0" w:space="0" w:color="auto" w:frame="1"/>
          <w:shd w:val="clear" w:color="auto" w:fill="FFFFFF"/>
        </w:rPr>
        <w:t xml:space="preserve"> </w:t>
      </w:r>
      <w:r w:rsidRPr="00126EE2">
        <w:rPr>
          <w:rStyle w:val="Emphasis"/>
          <w:rFonts w:cstheme="minorHAnsi"/>
          <w:color w:val="000000"/>
          <w:sz w:val="24"/>
          <w:szCs w:val="24"/>
          <w:bdr w:val="none" w:sz="0" w:space="0" w:color="auto" w:frame="1"/>
          <w:shd w:val="clear" w:color="auto" w:fill="FFFFFF"/>
        </w:rPr>
        <w:t xml:space="preserve">2) </w:t>
      </w:r>
      <w:r w:rsidRPr="00126EE2">
        <w:rPr>
          <w:rFonts w:cstheme="minorHAnsi"/>
          <w:color w:val="000000"/>
          <w:sz w:val="24"/>
          <w:szCs w:val="24"/>
        </w:rPr>
        <w:t>is a member of the EGFR family</w:t>
      </w:r>
      <w:r w:rsidRPr="00126EE2">
        <w:rPr>
          <w:rFonts w:cstheme="minorHAnsi"/>
          <w:color w:val="000000"/>
          <w:sz w:val="24"/>
          <w:szCs w:val="24"/>
        </w:rPr>
        <w:fldChar w:fldCharType="begin" w:fldLock="1"/>
      </w:r>
      <w:r w:rsidRPr="00126EE2">
        <w:rPr>
          <w:rFonts w:cstheme="minorHAnsi"/>
          <w:color w:val="000000"/>
          <w:sz w:val="24"/>
          <w:szCs w:val="24"/>
        </w:rPr>
        <w:instrText>ADDIN CSL_CITATION {"citationItems":[{"id":"ITEM-1","itemData":{"DOI":"10.2147/OTT.S3842","ISSN":"1178-6930","PMID":"21127748","abstract":"THE HUMAN EPIDERMAL GROWTH FACTOR RECEPTOR (HER) FAMILY COMPRISES FOUR HOMOLOGOUS MEMBERS: EGFR, HER-2, HER-3, and HER-4. The activation of these receptors triggers a complex series of signal transduction pathways which affect pivotal tumorigenic processes. The deregulation of HER signaling is seen in several human malignancies. HER-2 is now recognized as a key oncogene in breast cancer pathogenesis. Assessment of HER-2 status is of central importance in the prognosis of breast cancer patients. In the light of clinical data suggesting that HER-2 can also be useful as a predictive marker both for trastuzumab and chemotherapy, standardized determination of the HER-2 status in tumors has become more important. Moreover, current data provide evidence for the significance of HER-3 and HER-4 alterations in breast carcinogenesis. Because of the complex interactions among the HER receptors, it is likely that the effect on cell proliferation and tumor growth depends on receptor trans-signaling and thus, the evaluation of the combined expression pattern of all family members is of particular interest. This review presents the current evidence highlighting the role of the family as a whole panel and an update on the role of HER-3 and HER-4 receptors in breast cancer. Moreover, we provide updated data regarding the prognostic value of HER family members giving emphasis to novel methods for the determination of their status, such as real-time polymerase chain reaction. In addition, we review recent therapeutic approaches aimed at targeting the HER family in breast cancer patients.","author":[{"dropping-particle":"","family":"AK","given":"Koutras","non-dropping-particle":"","parse-names":false,"suffix":""},{"dropping-particle":"","family":"TR","given":"Evans","non-dropping-particle":"","parse-names":false,"suffix":""}],"container-title":"OncoTargets and therapy","id":"ITEM-1","issued":{"date-parts":[["2008","9"]]},"page":"5","publisher":"Onco Targets Ther","title":"The epidermal growth factor receptor family in breast cancer","type":"article-journal","volume":"1"},"uris":["http://www.mendeley.com/documents/?uuid=b5d2826b-dd3c-331e-ae6b-ab03957b88a3"]}],"mendeley":{"formattedCitation":"(AK &amp; TR, 2008)","plainTextFormattedCitation":"(AK &amp; TR, 2008)","previouslyFormattedCitation":"(AK &amp; TR, 2008)"},"properties":{"noteIndex":0},"schema":"https://github.com/citation-style-language/schema/raw/master/csl-citation.json"}</w:instrText>
      </w:r>
      <w:r w:rsidRPr="00126EE2">
        <w:rPr>
          <w:rFonts w:cstheme="minorHAnsi"/>
          <w:color w:val="000000"/>
          <w:sz w:val="24"/>
          <w:szCs w:val="24"/>
        </w:rPr>
        <w:fldChar w:fldCharType="separate"/>
      </w:r>
      <w:r w:rsidRPr="00126EE2">
        <w:rPr>
          <w:rFonts w:cstheme="minorHAnsi"/>
          <w:noProof/>
          <w:color w:val="000000"/>
          <w:sz w:val="24"/>
          <w:szCs w:val="24"/>
        </w:rPr>
        <w:t>(AK &amp; TR, 2008)</w:t>
      </w:r>
      <w:r w:rsidRPr="00126EE2">
        <w:rPr>
          <w:rFonts w:cstheme="minorHAnsi"/>
          <w:color w:val="000000"/>
          <w:sz w:val="24"/>
          <w:szCs w:val="24"/>
        </w:rPr>
        <w:fldChar w:fldCharType="end"/>
      </w:r>
      <w:r w:rsidRPr="00126EE2">
        <w:rPr>
          <w:rFonts w:cstheme="minorHAnsi"/>
          <w:color w:val="000000"/>
          <w:sz w:val="24"/>
          <w:szCs w:val="24"/>
        </w:rPr>
        <w:t>. HER2 receptors are</w:t>
      </w:r>
      <w:r w:rsidRPr="00126EE2">
        <w:rPr>
          <w:rStyle w:val="Emphasis"/>
          <w:rFonts w:eastAsiaTheme="majorEastAsia" w:cstheme="minorHAnsi"/>
          <w:color w:val="000000"/>
          <w:sz w:val="24"/>
          <w:szCs w:val="24"/>
          <w:bdr w:val="none" w:sz="0" w:space="0" w:color="auto" w:frame="1"/>
          <w:shd w:val="clear" w:color="auto" w:fill="FFFFFF"/>
        </w:rPr>
        <w:t xml:space="preserve"> </w:t>
      </w:r>
      <w:r w:rsidRPr="00126EE2">
        <w:rPr>
          <w:rFonts w:cstheme="minorHAnsi"/>
          <w:color w:val="000000"/>
          <w:sz w:val="24"/>
          <w:szCs w:val="24"/>
        </w:rPr>
        <w:t>activated by the formation of homodimers and/or heterodimers with any member of the EGFR family</w:t>
      </w:r>
      <w:r>
        <w:rPr>
          <w:rFonts w:cstheme="minorHAnsi"/>
          <w:color w:val="000000"/>
          <w:sz w:val="24"/>
          <w:szCs w:val="24"/>
        </w:rPr>
        <w:t xml:space="preserve"> </w:t>
      </w:r>
      <w:r w:rsidRPr="00126EE2">
        <w:rPr>
          <w:rFonts w:cstheme="minorHAnsi"/>
          <w:color w:val="000000"/>
          <w:sz w:val="24"/>
          <w:szCs w:val="24"/>
        </w:rPr>
        <w:fldChar w:fldCharType="begin" w:fldLock="1"/>
      </w:r>
      <w:r w:rsidRPr="00126EE2">
        <w:rPr>
          <w:rFonts w:cstheme="minorHAnsi"/>
          <w:color w:val="000000"/>
          <w:sz w:val="24"/>
          <w:szCs w:val="24"/>
        </w:rPr>
        <w:instrText>ADDIN CSL_CITATION {"citationItems":[{"id":"ITEM-1","itemData":{"DOI":"10.1093/EMBOJ/16.7.1647","ISSN":"1460-2075","PMID":"9130710","abstract":"We have analyzed ErbB receptor interplay induced by the epidermal growth factor (EGF)-related peptides in cell lines naturally expressing the four ErbB receptors. Down-regulation of cell surface ErbB-1 or ErbB-2 by intracellular expression of specific antibodies has allowed us to delineate the role of these receptors during signaling elicited by: EGF and heparin binding EGF (HB-EGF), ligands of ErbB-1; betacellulin (BTC), a ligand of ErbB-1 and ErbB-4; and neu differentiation factor (NDF), a ligand of ErbB-3 and ErbB-4. Ligand-induced ErbB receptor heterodimerization follows a strict hierarchy and ErbB-2 is the preferred heterodimerization partner of all ErbB proteins. NDF-activated ErbB-3 or ErbB-4 heterodimerize with ErbB-1 only when no ErbB-2 is available. If all ErbB receptors are present, NDF receptors preferentially dimerize with ErbB-2 Furthermore, EGF- and BTC-induced activation of ErbB-3 is impaired in the absence of ErbB-3, suggesting that ErbB-2 has a role in the lateral transmission of signals between other ErbB receptors. Finally, ErbB-1 activated by all EGF-related peptides (EGF, HB-EGF, BTC and NDF) couples to SHC, whereas only ErbB-1 activated by its own ligands associates with and phosphorylates CbI. These results provide the first biochemical evidence that a given ErbB receptor has distinct signaling properties depending on its dimerization.","author":[{"dropping-particle":"","family":"Graus-Porta","given":"Diana","non-dropping-particle":"","parse-names":false,"suffix":""},{"dropping-particle":"","family":"Beerli","given":"Roger R.","non-dropping-particle":"","parse-names":false,"suffix":""},{"dropping-particle":"","family":"Daly","given":"John M.","non-dropping-particle":"","parse-names":false,"suffix":""},{"dropping-particle":"","family":"Hynes","given":"Nancy E.","non-dropping-particle":"","parse-names":false,"suffix":""}],"container-title":"The EMBO Journal","id":"ITEM-1","issue":"7","issued":{"date-parts":[["1997","4","1"]]},"page":"1647-1655","publisher":"John Wiley &amp; Sons, Ltd","title":"ErbB-2, the preferred heterodimerization partner of all ErbB receptors, is a mediator of lateral signaling","type":"article-journal","volume":"16"},"uris":["http://www.mendeley.com/documents/?uuid=c3ffc01e-694e-3175-b1cb-071f59ab7aaf"]}],"mendeley":{"formattedCitation":"(Graus-Porta et al., 1997)","plainTextFormattedCitation":"(Graus-Porta et al., 1997)","previouslyFormattedCitation":"(Graus-Porta et al., 1997)"},"properties":{"noteIndex":0},"schema":"https://github.com/citation-style-language/schema/raw/master/csl-citation.json"}</w:instrText>
      </w:r>
      <w:r w:rsidRPr="00126EE2">
        <w:rPr>
          <w:rFonts w:cstheme="minorHAnsi"/>
          <w:color w:val="000000"/>
          <w:sz w:val="24"/>
          <w:szCs w:val="24"/>
        </w:rPr>
        <w:fldChar w:fldCharType="separate"/>
      </w:r>
      <w:r w:rsidRPr="00126EE2">
        <w:rPr>
          <w:rFonts w:cstheme="minorHAnsi"/>
          <w:noProof/>
          <w:color w:val="000000"/>
          <w:sz w:val="24"/>
          <w:szCs w:val="24"/>
        </w:rPr>
        <w:t>(Graus-Porta et al., 1997)</w:t>
      </w:r>
      <w:r w:rsidRPr="00126EE2">
        <w:rPr>
          <w:rFonts w:cstheme="minorHAnsi"/>
          <w:color w:val="000000"/>
          <w:sz w:val="24"/>
          <w:szCs w:val="24"/>
        </w:rPr>
        <w:fldChar w:fldCharType="end"/>
      </w:r>
      <w:r w:rsidRPr="00126EE2">
        <w:rPr>
          <w:rFonts w:cstheme="minorHAnsi"/>
          <w:color w:val="000000"/>
          <w:sz w:val="24"/>
          <w:szCs w:val="24"/>
        </w:rPr>
        <w:t xml:space="preserve">. HER2 receptors are overexpressed in HER2-positive breast cancer. Dimerization of HER receptors inhibits apoptosis and promotes the proliferation of tumor cells. The HER2 receptor </w:t>
      </w:r>
      <w:r w:rsidRPr="00126EE2">
        <w:rPr>
          <w:rFonts w:cstheme="minorHAnsi"/>
          <w:color w:val="212121"/>
          <w:sz w:val="24"/>
          <w:szCs w:val="24"/>
          <w:shd w:val="clear" w:color="auto" w:fill="FFFFFF"/>
        </w:rPr>
        <w:t>is one of breast cancer's most active and tumor-promoting receptors, making it an ideal candidate for targeted drug therapy alone or in combination</w:t>
      </w:r>
      <w:r w:rsidRPr="00126EE2">
        <w:rPr>
          <w:rFonts w:cstheme="minorHAnsi"/>
          <w:sz w:val="24"/>
          <w:szCs w:val="24"/>
        </w:rPr>
        <w:t xml:space="preserve"> with </w:t>
      </w:r>
      <w:r w:rsidRPr="00126EE2">
        <w:rPr>
          <w:rFonts w:cstheme="minorHAnsi"/>
          <w:color w:val="212121"/>
          <w:sz w:val="24"/>
          <w:szCs w:val="24"/>
          <w:shd w:val="clear" w:color="auto" w:fill="FFFFFF"/>
        </w:rPr>
        <w:t>chemotherapy and/or other HER2-directed agents in breast cancer patients</w:t>
      </w:r>
      <w:r>
        <w:rPr>
          <w:rFonts w:cstheme="minorHAnsi"/>
          <w:color w:val="212121"/>
          <w:sz w:val="24"/>
          <w:szCs w:val="24"/>
          <w:shd w:val="clear" w:color="auto" w:fill="FFFFFF"/>
        </w:rPr>
        <w:t xml:space="preserve"> </w:t>
      </w:r>
      <w:r w:rsidRPr="00126EE2">
        <w:rPr>
          <w:rFonts w:cstheme="minorHAnsi"/>
          <w:color w:val="212121"/>
          <w:sz w:val="24"/>
          <w:szCs w:val="24"/>
          <w:shd w:val="clear" w:color="auto" w:fill="FFFFFF"/>
        </w:rPr>
        <w:fldChar w:fldCharType="begin" w:fldLock="1"/>
      </w:r>
      <w:r w:rsidRPr="00126EE2">
        <w:rPr>
          <w:rFonts w:cstheme="minorHAnsi"/>
          <w:color w:val="212121"/>
          <w:sz w:val="24"/>
          <w:szCs w:val="24"/>
          <w:shd w:val="clear" w:color="auto" w:fill="FFFFFF"/>
        </w:rPr>
        <w:instrText>ADDIN CSL_CITATION {"citationItems":[{"id":"ITEM-1","itemData":{"DOI":"10.1038/S41523-021-00265-1","ISSN":"2374-4677","PMID":"34016991","abstract":"Human epidermal growth factor receptor 2 (HER2) positive breast cancer accounts for 20–25% of all breast cancers. Multiple HER2-targeted therapies have been developed over the last few years, including the tyrosine kinase inhibitors (TKI) lapatinib, neratinib, tucatinib, and pyrotinib. These drugs target HER2 and other receptors of the epidermal growth factor receptor family, therefore each has unique efficacy and adverse event profile. HER2-directed TKIs have been studied in the early stage and advanced settings and have shown promising responses. There is increasing interest in utilizing these drugs in combination with chemotherapy and /or other HER2-directed agents in patients with central nervous system involvement, TKIs have shown to be effective in this setting for which treatment options have been previously limited and the prognosis remains poor. The aim of this review is to summarize currently approved TKIs for HER2+ breast, key clinical trials, and their use in current clinical practice.","author":[{"dropping-particle":"","family":"Schlam","given":"Ilana","non-dropping-particle":"","parse-names":false,"suffix":""},{"dropping-particle":"","family":"Swain","given":"Sandra M.","non-dropping-particle":"","parse-names":false,"suffix":""}],"container-title":"NPJ breast cancer","id":"ITEM-1","issue":"1","issued":{"date-parts":[["2021","12","1"]]},"publisher":"NPJ Breast Cancer","title":"HER2-positive breast cancer and tyrosine kinase inhibitors: the time is now","type":"article-journal","volume":"7"},"uris":["http://www.mendeley.com/documents/?uuid=899fa491-3db0-3ff1-91c9-bea9710ab509"]}],"mendeley":{"formattedCitation":"(Schlam &amp; Swain, 2021)","plainTextFormattedCitation":"(Schlam &amp; Swain, 2021)","previouslyFormattedCitation":"(Schlam &amp; Swain, 2021)"},"properties":{"noteIndex":0},"schema":"https://github.com/citation-style-language/schema/raw/master/csl-citation.json"}</w:instrText>
      </w:r>
      <w:r w:rsidRPr="00126EE2">
        <w:rPr>
          <w:rFonts w:cstheme="minorHAnsi"/>
          <w:color w:val="212121"/>
          <w:sz w:val="24"/>
          <w:szCs w:val="24"/>
          <w:shd w:val="clear" w:color="auto" w:fill="FFFFFF"/>
        </w:rPr>
        <w:fldChar w:fldCharType="separate"/>
      </w:r>
      <w:r w:rsidRPr="00126EE2">
        <w:rPr>
          <w:rFonts w:cstheme="minorHAnsi"/>
          <w:noProof/>
          <w:color w:val="212121"/>
          <w:sz w:val="24"/>
          <w:szCs w:val="24"/>
          <w:shd w:val="clear" w:color="auto" w:fill="FFFFFF"/>
        </w:rPr>
        <w:t>(Schlam &amp; Swain, 2021)</w:t>
      </w:r>
      <w:r w:rsidRPr="00126EE2">
        <w:rPr>
          <w:rFonts w:cstheme="minorHAnsi"/>
          <w:color w:val="212121"/>
          <w:sz w:val="24"/>
          <w:szCs w:val="24"/>
          <w:shd w:val="clear" w:color="auto" w:fill="FFFFFF"/>
        </w:rPr>
        <w:fldChar w:fldCharType="end"/>
      </w:r>
      <w:r>
        <w:rPr>
          <w:rFonts w:cstheme="minorHAnsi"/>
          <w:color w:val="212121"/>
          <w:sz w:val="24"/>
          <w:szCs w:val="24"/>
          <w:shd w:val="clear" w:color="auto" w:fill="FFFFFF"/>
        </w:rPr>
        <w:t xml:space="preserve"> </w:t>
      </w:r>
      <w:r w:rsidRPr="00126EE2">
        <w:rPr>
          <w:rFonts w:cstheme="minorHAnsi"/>
          <w:color w:val="212121"/>
          <w:sz w:val="24"/>
          <w:szCs w:val="24"/>
          <w:shd w:val="clear" w:color="auto" w:fill="FFFFFF"/>
        </w:rPr>
        <w:fldChar w:fldCharType="begin" w:fldLock="1"/>
      </w:r>
      <w:r w:rsidRPr="00126EE2">
        <w:rPr>
          <w:rFonts w:cstheme="minorHAnsi"/>
          <w:color w:val="212121"/>
          <w:sz w:val="24"/>
          <w:szCs w:val="24"/>
          <w:shd w:val="clear" w:color="auto" w:fill="FFFFFF"/>
        </w:rPr>
        <w:instrText>ADDIN CSL_CITATION {"citationItems":[{"id":"ITEM-1","itemData":{"DOI":"10.1186/S12929-016-0311-Y","ISSN":"1423-0127","PMID":"28219375","abstract":"Following Milstein’s discovery, the monoclonal antibodies (mAbs) became a basic tool for biomedical science. In cancer field, since the first mAb was approved by the FDA a great improvement took place making of them a therapeutic option for many cancer types in the current clinical practice. Today, mAbs are being developed to target different molecules with different mechanisms of action and its target potential is unlimited. However, this huge and fast growing new field needs to be organized to better understand the treatment options we have to confront different cancer diseases. Current cancer targeted immunotherapies aim to achieve different goals like the regulation of osteoclast function, the delivery of cytotoxic drugs into tumor cells and the blockade of oncogenic pathways, neo-angiogenesis and immune checkpoints. Here, we reviewed the most relevant therapeutic mAbs for solid tumors available in current clinical practice.","author":[{"dropping-particle":"","family":"Chiavenna","given":"S. M.","non-dropping-particle":"","parse-names":false,"suffix":""},{"dropping-particle":"","family":"Jaworski","given":"J. P.","non-dropping-particle":"","parse-names":false,"suffix":""},{"dropping-particle":"","family":"Vendrell","given":"A.","non-dropping-particle":"","parse-names":false,"suffix":""}],"container-title":"Journal of biomedical science","id":"ITEM-1","issue":"1","issued":{"date-parts":[["2017","2","20"]]},"publisher":"J Biomed Sci","title":"State of the art in anti-cancer mAbs","type":"article-journal","volume":"24"},"uris":["http://www.mendeley.com/documents/?uuid=17f31688-2af6-3a30-ad09-6f6ff0c1fa3e"]}],"mendeley":{"formattedCitation":"(Chiavenna et al., 2017)","plainTextFormattedCitation":"(Chiavenna et al., 2017)","previouslyFormattedCitation":"(Chiavenna et al., 2017)"},"properties":{"noteIndex":0},"schema":"https://github.com/citation-style-language/schema/raw/master/csl-citation.json"}</w:instrText>
      </w:r>
      <w:r w:rsidRPr="00126EE2">
        <w:rPr>
          <w:rFonts w:cstheme="minorHAnsi"/>
          <w:color w:val="212121"/>
          <w:sz w:val="24"/>
          <w:szCs w:val="24"/>
          <w:shd w:val="clear" w:color="auto" w:fill="FFFFFF"/>
        </w:rPr>
        <w:fldChar w:fldCharType="separate"/>
      </w:r>
      <w:r w:rsidRPr="00126EE2">
        <w:rPr>
          <w:rFonts w:cstheme="minorHAnsi"/>
          <w:noProof/>
          <w:color w:val="212121"/>
          <w:sz w:val="24"/>
          <w:szCs w:val="24"/>
          <w:shd w:val="clear" w:color="auto" w:fill="FFFFFF"/>
        </w:rPr>
        <w:t>(Chiavenna et al., 2017)</w:t>
      </w:r>
      <w:r w:rsidRPr="00126EE2">
        <w:rPr>
          <w:rFonts w:cstheme="minorHAnsi"/>
          <w:color w:val="212121"/>
          <w:sz w:val="24"/>
          <w:szCs w:val="24"/>
          <w:shd w:val="clear" w:color="auto" w:fill="FFFFFF"/>
        </w:rPr>
        <w:fldChar w:fldCharType="end"/>
      </w:r>
      <w:r>
        <w:rPr>
          <w:rFonts w:cstheme="minorHAnsi"/>
          <w:color w:val="212121"/>
          <w:sz w:val="24"/>
          <w:szCs w:val="24"/>
          <w:shd w:val="clear" w:color="auto" w:fill="FFFFFF"/>
        </w:rPr>
        <w:t xml:space="preserve"> </w:t>
      </w:r>
      <w:r w:rsidRPr="00126EE2">
        <w:rPr>
          <w:rFonts w:cstheme="minorHAnsi"/>
          <w:color w:val="212121"/>
          <w:sz w:val="24"/>
          <w:szCs w:val="24"/>
          <w:shd w:val="clear" w:color="auto" w:fill="FFFFFF"/>
        </w:rPr>
        <w:fldChar w:fldCharType="begin" w:fldLock="1"/>
      </w:r>
      <w:r w:rsidRPr="00126EE2">
        <w:rPr>
          <w:rFonts w:cstheme="minorHAnsi"/>
          <w:color w:val="212121"/>
          <w:sz w:val="24"/>
          <w:szCs w:val="24"/>
          <w:shd w:val="clear" w:color="auto" w:fill="FFFFFF"/>
        </w:rPr>
        <w:instrText>ADDIN CSL_CITATION {"citationItems":[{"id":"ITEM-1","itemData":{"DOI":"10.1155/2012/743193","ISSN":"2090-2115","PMID":"23320171","abstract":"Human epidermal growth factor receptor 2 (HER2) is overexpressed in around 20–30% of breast cancer tumors. It is associated with a more aggressive disease, higher recurrence rate, and increased mortality. Trastuzumab is a HER2 receptor blocker that has become the standard of care for the treatment of HER2 positive breast cancer. The effectiveness of Trastuzumab has been well validated in research as well as in clinical practice. The addition of Trastuzumab to standard of care chemotherapy in clinical trials has been shown to improve outcomes for early stage as well as metastatic HER2 positive breast cancer. The most clinically significant side effect of Trastuzumab is the risk of cardiac myocyte injury, leading to the development of congestive heart failure. The emergence of patterns of resistance to Trastuzumab has led to the discovery of new monoclonal antibodies and other targeted agents aimed at overcoming Trastuzumab resistance and improving survival in patients diagnosed with HER2 positive breast cancers.","author":[{"dropping-particle":"","family":"Mitri","given":"Zahi","non-dropping-particle":"","parse-names":false,"suffix":""},{"dropping-particle":"","family":"Constantine","given":"Tina","non-dropping-particle":"","parse-names":false,"suffix":""},{"dropping-particle":"","family":"O'Regan","given":"Ruth","non-dropping-particle":"","parse-names":false,"suffix":""}],"container-title":"Chemotherapy research and practice","id":"ITEM-1","issued":{"date-parts":[["2012","12","20"]]},"page":"1-7","publisher":"Chemother Res Pract","title":"The HER2 Receptor in Breast Cancer: Pathophysiology, Clinical Use, and New Advances in Therapy","type":"article-journal","volume":"2012"},"uris":["http://www.mendeley.com/documents/?uuid=6c94ac4d-75b7-3aaf-b586-9d1d7e2663e0"]}],"mendeley":{"formattedCitation":"(Mitri et al., 2012)","plainTextFormattedCitation":"(Mitri et al., 2012)","previouslyFormattedCitation":"(Mitri et al., 2012)"},"properties":{"noteIndex":0},"schema":"https://github.com/citation-style-language/schema/raw/master/csl-citation.json"}</w:instrText>
      </w:r>
      <w:r w:rsidRPr="00126EE2">
        <w:rPr>
          <w:rFonts w:cstheme="minorHAnsi"/>
          <w:color w:val="212121"/>
          <w:sz w:val="24"/>
          <w:szCs w:val="24"/>
          <w:shd w:val="clear" w:color="auto" w:fill="FFFFFF"/>
        </w:rPr>
        <w:fldChar w:fldCharType="separate"/>
      </w:r>
      <w:r w:rsidRPr="00126EE2">
        <w:rPr>
          <w:rFonts w:cstheme="minorHAnsi"/>
          <w:noProof/>
          <w:color w:val="212121"/>
          <w:sz w:val="24"/>
          <w:szCs w:val="24"/>
          <w:shd w:val="clear" w:color="auto" w:fill="FFFFFF"/>
        </w:rPr>
        <w:t>(Mitri et al., 2012)</w:t>
      </w:r>
      <w:r w:rsidRPr="00126EE2">
        <w:rPr>
          <w:rFonts w:cstheme="minorHAnsi"/>
          <w:color w:val="212121"/>
          <w:sz w:val="24"/>
          <w:szCs w:val="24"/>
          <w:shd w:val="clear" w:color="auto" w:fill="FFFFFF"/>
        </w:rPr>
        <w:fldChar w:fldCharType="end"/>
      </w:r>
      <w:r>
        <w:rPr>
          <w:rFonts w:cstheme="minorHAnsi"/>
          <w:color w:val="212121"/>
          <w:sz w:val="24"/>
          <w:szCs w:val="24"/>
          <w:shd w:val="clear" w:color="auto" w:fill="FFFFFF"/>
        </w:rPr>
        <w:t>.</w:t>
      </w:r>
    </w:p>
    <w:p w14:paraId="640B15E9" w14:textId="77777777" w:rsidR="00DA0327" w:rsidRPr="00126EE2" w:rsidRDefault="00DA0327" w:rsidP="00DA0327">
      <w:pPr>
        <w:spacing w:line="480" w:lineRule="auto"/>
        <w:jc w:val="both"/>
        <w:rPr>
          <w:rFonts w:cstheme="minorHAnsi"/>
          <w:color w:val="222222"/>
          <w:sz w:val="24"/>
          <w:szCs w:val="24"/>
          <w:shd w:val="clear" w:color="auto" w:fill="FFFFFF"/>
        </w:rPr>
      </w:pPr>
      <w:r w:rsidRPr="00126EE2">
        <w:rPr>
          <w:rFonts w:cstheme="minorHAnsi"/>
          <w:color w:val="222222"/>
          <w:sz w:val="24"/>
          <w:szCs w:val="24"/>
          <w:shd w:val="clear" w:color="auto" w:fill="FFFFFF"/>
        </w:rPr>
        <w:t>Hertumig® is a bispecific monoclonal antibody (</w:t>
      </w:r>
      <w:proofErr w:type="spellStart"/>
      <w:r w:rsidRPr="00126EE2">
        <w:rPr>
          <w:rFonts w:cstheme="minorHAnsi"/>
          <w:color w:val="222222"/>
          <w:sz w:val="24"/>
          <w:szCs w:val="24"/>
          <w:shd w:val="clear" w:color="auto" w:fill="FFFFFF"/>
        </w:rPr>
        <w:t>BsmAb</w:t>
      </w:r>
      <w:proofErr w:type="spellEnd"/>
      <w:r w:rsidRPr="00126EE2">
        <w:rPr>
          <w:rFonts w:cstheme="minorHAnsi"/>
          <w:color w:val="222222"/>
          <w:sz w:val="24"/>
          <w:szCs w:val="24"/>
          <w:shd w:val="clear" w:color="auto" w:fill="FFFFFF"/>
        </w:rPr>
        <w:t>) that targets two novel epitopes of the HER2 receptor (Figure 1). Currently, the HER-targeted mAb Trastuzumab (Herceptin</w:t>
      </w:r>
      <w:r w:rsidRPr="00126EE2">
        <w:rPr>
          <w:rFonts w:cstheme="minorHAnsi"/>
          <w:color w:val="212121"/>
          <w:sz w:val="24"/>
          <w:szCs w:val="24"/>
          <w:shd w:val="clear" w:color="auto" w:fill="FFFFFF"/>
          <w:vertAlign w:val="superscript"/>
        </w:rPr>
        <w:t>®</w:t>
      </w:r>
      <w:r w:rsidRPr="00126EE2">
        <w:rPr>
          <w:rFonts w:cstheme="minorHAnsi"/>
          <w:color w:val="222222"/>
          <w:sz w:val="24"/>
          <w:szCs w:val="24"/>
          <w:shd w:val="clear" w:color="auto" w:fill="FFFFFF"/>
        </w:rPr>
        <w:t xml:space="preserve">, Genentech) and </w:t>
      </w:r>
      <w:proofErr w:type="spellStart"/>
      <w:r w:rsidRPr="00126EE2">
        <w:rPr>
          <w:rFonts w:cstheme="minorHAnsi"/>
          <w:color w:val="222222"/>
          <w:sz w:val="24"/>
          <w:szCs w:val="24"/>
          <w:shd w:val="clear" w:color="auto" w:fill="FFFFFF"/>
        </w:rPr>
        <w:t>Pertuzumab</w:t>
      </w:r>
      <w:proofErr w:type="spellEnd"/>
      <w:r w:rsidRPr="00126EE2">
        <w:rPr>
          <w:rFonts w:cstheme="minorHAnsi"/>
          <w:color w:val="222222"/>
          <w:sz w:val="24"/>
          <w:szCs w:val="24"/>
          <w:shd w:val="clear" w:color="auto" w:fill="FFFFFF"/>
        </w:rPr>
        <w:t xml:space="preserve"> (Perjeta</w:t>
      </w:r>
      <w:r w:rsidRPr="00126EE2">
        <w:rPr>
          <w:rFonts w:cstheme="minorHAnsi"/>
          <w:color w:val="212121"/>
          <w:sz w:val="24"/>
          <w:szCs w:val="24"/>
          <w:shd w:val="clear" w:color="auto" w:fill="FFFFFF"/>
          <w:vertAlign w:val="superscript"/>
        </w:rPr>
        <w:t>®</w:t>
      </w:r>
      <w:r w:rsidRPr="00126EE2">
        <w:rPr>
          <w:rFonts w:cstheme="minorHAnsi"/>
          <w:color w:val="222222"/>
          <w:sz w:val="24"/>
          <w:szCs w:val="24"/>
          <w:shd w:val="clear" w:color="auto" w:fill="FFFFFF"/>
        </w:rPr>
        <w:t xml:space="preserve">, Genentech) alone or in combination with </w:t>
      </w:r>
    </w:p>
    <w:p w14:paraId="18546BB5" w14:textId="77777777" w:rsidR="00DA0327" w:rsidRPr="00126EE2" w:rsidRDefault="00DA0327" w:rsidP="00DA0327">
      <w:pPr>
        <w:spacing w:line="480" w:lineRule="auto"/>
        <w:jc w:val="both"/>
        <w:rPr>
          <w:rFonts w:cstheme="minorHAnsi"/>
          <w:color w:val="222222"/>
          <w:sz w:val="24"/>
          <w:szCs w:val="24"/>
          <w:shd w:val="clear" w:color="auto" w:fill="FFFFFF"/>
        </w:rPr>
      </w:pPr>
    </w:p>
    <w:p w14:paraId="79B4ACFB" w14:textId="77777777" w:rsidR="00DA0327" w:rsidRPr="00126EE2" w:rsidRDefault="00DA0327" w:rsidP="00DA0327">
      <w:pPr>
        <w:spacing w:line="276" w:lineRule="auto"/>
        <w:jc w:val="both"/>
        <w:rPr>
          <w:rFonts w:cstheme="minorHAnsi"/>
          <w:color w:val="2F5496" w:themeColor="accent1" w:themeShade="BF"/>
          <w:sz w:val="24"/>
          <w:szCs w:val="24"/>
        </w:rPr>
      </w:pPr>
    </w:p>
    <w:p w14:paraId="235D1C29" w14:textId="77777777" w:rsidR="00DA0327" w:rsidRPr="00126EE2" w:rsidRDefault="00DA0327" w:rsidP="00DA0327">
      <w:pPr>
        <w:spacing w:line="276" w:lineRule="auto"/>
        <w:jc w:val="both"/>
        <w:rPr>
          <w:rFonts w:cstheme="minorHAnsi"/>
          <w:sz w:val="24"/>
          <w:szCs w:val="24"/>
        </w:rPr>
      </w:pPr>
      <w:r w:rsidRPr="00126EE2">
        <w:rPr>
          <w:rFonts w:cstheme="minorHAnsi"/>
          <w:color w:val="2F5496" w:themeColor="accent1" w:themeShade="BF"/>
          <w:sz w:val="24"/>
          <w:szCs w:val="24"/>
        </w:rPr>
        <w:t>Figure 1.</w:t>
      </w:r>
      <w:r w:rsidRPr="00126EE2">
        <w:rPr>
          <w:rFonts w:cstheme="minorHAnsi"/>
          <w:i/>
          <w:iCs/>
          <w:color w:val="2F5496" w:themeColor="accent1" w:themeShade="BF"/>
          <w:sz w:val="24"/>
          <w:szCs w:val="24"/>
        </w:rPr>
        <w:t xml:space="preserve"> </w:t>
      </w:r>
      <w:r w:rsidRPr="00126EE2">
        <w:rPr>
          <w:rFonts w:cstheme="minorHAnsi"/>
          <w:color w:val="2F5496" w:themeColor="accent1" w:themeShade="BF"/>
          <w:sz w:val="24"/>
          <w:szCs w:val="24"/>
        </w:rPr>
        <w:t xml:space="preserve">Cryo-EM structure of HER2 bound by </w:t>
      </w:r>
      <w:proofErr w:type="spellStart"/>
      <w:r w:rsidRPr="00126EE2">
        <w:rPr>
          <w:rFonts w:cstheme="minorHAnsi"/>
          <w:color w:val="2F5496" w:themeColor="accent1" w:themeShade="BF"/>
          <w:sz w:val="24"/>
          <w:szCs w:val="24"/>
        </w:rPr>
        <w:t>mAbs</w:t>
      </w:r>
      <w:proofErr w:type="spellEnd"/>
      <w:r w:rsidRPr="00126EE2">
        <w:rPr>
          <w:rFonts w:cstheme="minorHAnsi"/>
          <w:color w:val="2F5496" w:themeColor="accent1" w:themeShade="BF"/>
          <w:sz w:val="24"/>
          <w:szCs w:val="24"/>
        </w:rPr>
        <w:t xml:space="preserve"> </w:t>
      </w:r>
      <w:r w:rsidRPr="00126EE2">
        <w:rPr>
          <w:rFonts w:cstheme="minorHAnsi"/>
          <w:sz w:val="24"/>
          <w:szCs w:val="24"/>
        </w:rPr>
        <w:t xml:space="preserve">– </w:t>
      </w:r>
      <w:r w:rsidRPr="00126EE2">
        <w:rPr>
          <w:rFonts w:cstheme="minorHAnsi"/>
          <w:color w:val="202020"/>
          <w:sz w:val="24"/>
          <w:szCs w:val="24"/>
          <w:shd w:val="clear" w:color="auto" w:fill="FFFFFF"/>
        </w:rPr>
        <w:t xml:space="preserve">HER2 (cyan) extracellular domain, Trastuzumab Fab (Herceptin - red and pink), and </w:t>
      </w:r>
      <w:proofErr w:type="spellStart"/>
      <w:r w:rsidRPr="00126EE2">
        <w:rPr>
          <w:rFonts w:cstheme="minorHAnsi"/>
          <w:color w:val="202020"/>
          <w:sz w:val="24"/>
          <w:szCs w:val="24"/>
          <w:shd w:val="clear" w:color="auto" w:fill="FFFFFF"/>
        </w:rPr>
        <w:t>Pertuzumab</w:t>
      </w:r>
      <w:proofErr w:type="spellEnd"/>
      <w:r w:rsidRPr="00126EE2">
        <w:rPr>
          <w:rFonts w:cstheme="minorHAnsi"/>
          <w:color w:val="202020"/>
          <w:sz w:val="24"/>
          <w:szCs w:val="24"/>
          <w:shd w:val="clear" w:color="auto" w:fill="FFFFFF"/>
        </w:rPr>
        <w:t xml:space="preserve"> Fab complex (Perjeta - yellow and orange). Modified from PDB 6OGE </w:t>
      </w:r>
    </w:p>
    <w:p w14:paraId="460E17DA" w14:textId="77777777" w:rsidR="00DA0327" w:rsidRPr="00126EE2" w:rsidRDefault="00DA0327" w:rsidP="00DA0327">
      <w:pPr>
        <w:spacing w:line="480" w:lineRule="auto"/>
        <w:jc w:val="both"/>
        <w:rPr>
          <w:rFonts w:cstheme="minorHAnsi"/>
          <w:color w:val="222222"/>
          <w:sz w:val="24"/>
          <w:szCs w:val="24"/>
          <w:shd w:val="clear" w:color="auto" w:fill="FFFFFF"/>
        </w:rPr>
      </w:pPr>
    </w:p>
    <w:p w14:paraId="25B5E090" w14:textId="77777777" w:rsidR="00DA0327" w:rsidRPr="00126EE2" w:rsidRDefault="00DA0327" w:rsidP="00DA0327">
      <w:pPr>
        <w:spacing w:line="480" w:lineRule="auto"/>
        <w:jc w:val="both"/>
        <w:rPr>
          <w:rFonts w:cstheme="minorHAnsi"/>
        </w:rPr>
      </w:pPr>
      <w:r w:rsidRPr="00126EE2">
        <w:rPr>
          <w:rFonts w:cstheme="minorHAnsi"/>
          <w:color w:val="222222"/>
          <w:sz w:val="24"/>
          <w:szCs w:val="24"/>
          <w:shd w:val="clear" w:color="auto" w:fill="FFFFFF"/>
        </w:rPr>
        <w:t>chemotherapy are approved as a therapy for HER2-positive breast cancer</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{"citationItems":[{"id":"ITEM-1","itemData":{"DOI":"10.37349/etat.2021.00037","ISSN":"2692-3114","PMID":"36046143","abstract":"About 15-20% of all breast cancers (BCs) are defined human epidermal growth factor receptor 2 (HER2)-positive, based on the overexpression of HER2 protein and/or amplification of ERBB2 gene. Such alterations lead to a more aggressive behavior of the disease, but also predict response to treatments targeting HER2. Indeed, several anti-HER2 compounds have been developed and approved in the last two decades, significantly improving our ability to cure patients in the early setting, and greatly extending their survival in the advanced setting. However, recent evolutions in this field promise to improve outcomes even further, through advancements in established HER2-targeting strategies, as well as the exploration of novel strategies. In particular, the engineering of new antibody-drug conjugates, with higher drug-to-antibody ratios (DARs) and cleavable linkers, has already led to the development of a highly effective drug, namely trastuzumab deruxtecan, recently approved by the Food and Drug Administration (FDA) and European Medicines Agency (EMA) for the treatment of advanced HER2-positive (HER2+) BC, and currently in study in the early setting. Moreover, the novel tyrosine kinase inhibitor tucatinib was recently approved by FDA and EMA, showing to improve survival of HER2+ advanced BC patients, particularly in those with brain metastasis. Immunotherapy is also being investigated in the HER2+ subtype, through immune-checkpoint inhibition, cancer vaccines and adoptive-cell therapies. Overall, the enlarging arsenal of promising anti-HER2 compounds is expected to deliver significant improvements in the prognosis of both early and advanced HER2+ BC in the years to come. Moreover, some of such agents are showing encouraging activity in the much wider population of HER2-low advanced BC patients, challenging current BC classifications. If confirmed, this new paradigm would potentially expand the population deriving benefit from HER2-targeted treatments to up to 70% of all advanced BC patients, leading to a revolution in current treatment algorithms, and possibly to a redefinition of HER2 classification.","author":[{"dropping-particle":"","family":"Tarantino","given":"Paolo","non-dropping-particle":"","parse-names":false,"suffix":""},{"dropping-particle":"","family":"Morganti","given":"Stefania","non-dropping-particle":"","parse-names":false,"suffix":""},{"dropping-particle":"","family":"Curigliano","given":"Giuseppe","non-dropping-particle":"","parse-names":false,"suffix":""}],"container-title":"Exploration of targeted anti-tumor therapy","id":"ITEM-1","issue":"2","issued":{"date-parts":[["2021"]]},"page":"139-155","publisher":"Open Exploration Publishing Inc","title":"Targeting HER2 in breast cancer: new drugs and paradigms on the horizon.","type":"article-journal","volume":"2"},"uris":["http://www.mendeley.com/documents/?uuid=c5087385-f689-3727-ac4c-d78d9d6bd887"]}],"mendeley":{"formattedCitation":"(Tarantino et al., 2021)","plainTextFormattedCitation":"(Tarantino et al., 2021)","previouslyFormattedCitation":"(Tarantino et al., 2021)"},"properties":{"noteIndex":0},"schema":"https://github.com/citation-style-language/schema/raw/master/csl-citation.json"}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(Tarantino et al., 2021)</w:t>
      </w:r>
      <w:r w:rsidRPr="00126EE2">
        <w:rPr>
          <w:rFonts w:cstheme="minorHAnsi"/>
          <w:color w:val="222222"/>
          <w:sz w:val="24"/>
          <w:szCs w:val="24"/>
          <w:shd w:val="clear" w:color="auto" w:fill="FFFFFF"/>
        </w:rPr>
        <w:fldChar w:fldCharType="end"/>
      </w:r>
      <w:r>
        <w:rPr>
          <w:rFonts w:cstheme="minorHAnsi"/>
          <w:color w:val="222222"/>
          <w:sz w:val="24"/>
          <w:szCs w:val="24"/>
          <w:shd w:val="clear" w:color="auto" w:fill="FFFFFF"/>
        </w:rPr>
        <w:t xml:space="preserve"> </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{"citationItems":[{"id":"ITEM-1","itemData":{"DOI":"10.1002/14651858.CD006242.pub2","ISSN":"14651858","PMID":"24919460","abstract":"Background: Patients with breast cancer are classified as having cells that over-express the human epidermal growth factor receptor 2 (known as HER2-positive) or not (HER2-negative). Typically, patients with HER2-positive disease have a worse prognosis. Trastuzumab is a selective treatment that targets the HER2 pathway. The available evidence supporting trastuzumab regimens mostly relies upon surrogate endpoints and, although the efficacy results seem to support its use, other uncertainties have been raised about its net benefit in relation to transient cardiac toxicity and a long-term increased risk of metastasis to the central nervous system. Objectives: To assess the evidence on the efficacy and safety of therapy with trastuzumab (overall) and in relation to the type of co-administered regimen and the line of treatment, i.e. first-line or beyond progression, in women with HER2-positive metastatic breast cancer. Search methods: We searched the Cochrane Breast Cancer Group's (CBCG) Specialised Register and used the search strategy developed by the CBCG to search for randomised controlled trials (RCTs) in CENTRAL (2013, Issue 1), MEDLINE, EMBASE, BIOSIS, the WHO International Clinical Trials Registry Platform (ICTRP) search portal and ClinicalTrials.gov (up to 17 January 2013). Selection criteria: RCTs comparing the efficacy and safety of trastuzumab alone or in combination with chemotherapy, hormonal therapy or targeted agents in women with HER2-positive metastatic breast cancer. Data collection and analysis: We collected data from published trials. We used hazard ratios (HRs) for time-to-event outcomes and risk ratio (RRs) for binary outcomes. Subgroup analyses included type of regimen (taxane-containing, anthracycline-containing, aromatase inhibitor-containing or other) and treatment line (first-line, beyond progression). Main results: The review found seven trials, involving 1497 patients, which met the criteria to be included. The trials were generally of moderate methodological quality; two studies have not published their results on overall survival so the presence of selective outcome reporting bias cannot be ruled out. None of the studies used blinding to treatment allocation, though this is unlikely to have biased the results for overall survival. Studies varied in terms of co-administered regimen and in terms of treatment line. In four studies, trastuzumab was administered with a chemotherapy, such as a taxane-containing, anthracycline-contai…","author":[{"dropping-particle":"","family":"Balduzzi","given":"Sara","non-dropping-particle":"","parse-names":false,"suffix":""},{"dropping-particle":"","family":"Mantarro","given":"Stefania","non-dropping-particle":"","parse-names":false,"suffix":""},{"dropping-particle":"","family":"Guarneri","given":"Valentina","non-dropping-particle":"","parse-names":false,"suffix":""},{"dropping-particle":"","family":"Tagliabue","given":"Ludovica","non-dropping-particle":"","parse-names":false,"suffix":""},{"dropping-particle":"","family":"Pistotti","given":"Vanna","non-dropping-particle":"","parse-names":false,"suffix":""},{"dropping-particle":"","family":"Moja","given":"Lorenzo","non-dropping-particle":"","parse-names":false,"suffix":""},{"dropping-particle":"","family":"D'Amico","given":"Roberto","non-dropping-particle":"","parse-names":false,"suffix":""}],"container-title":"Cochrane Database of Systematic Reviews","id":"ITEM-1","issue":"6","issued":{"date-parts":[["2014","6","12"]]},"publisher":"John Wiley and Sons Ltd","title":"Trastuzumab-containing regimens for metastatic breast cancer","type":"article-journal","volume":"2014"},"uris":["http://www.mendeley.com/documents/?uuid=3300f0f1-e567-339e-8d21-7901f5674f87"]}],"mendeley":{"formattedCitation":"(Balduzzi et al., 2014)","plainTextFormattedCitation":"(Balduzzi et al., 2014)","previouslyFormattedCitation":"(Balduzzi et al., 2014)"},"properties":{"noteIndex":0},"schema":"https://github.com/citation-style-language/schema/raw/master/csl-citation.json"}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(Balduzzi et al., 2014)</w:t>
      </w:r>
      <w:r w:rsidRPr="00126EE2">
        <w:rPr>
          <w:rFonts w:cstheme="minorHAnsi"/>
          <w:color w:val="222222"/>
          <w:sz w:val="24"/>
          <w:szCs w:val="24"/>
          <w:shd w:val="clear" w:color="auto" w:fill="FFFFFF"/>
        </w:rPr>
        <w:fldChar w:fldCharType="end"/>
      </w:r>
      <w:r>
        <w:rPr>
          <w:rFonts w:cstheme="minorHAnsi"/>
          <w:color w:val="222222"/>
          <w:sz w:val="24"/>
          <w:szCs w:val="24"/>
          <w:shd w:val="clear" w:color="auto" w:fill="FFFFFF"/>
        </w:rPr>
        <w:t xml:space="preserve"> </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{"citationItems":[{"id":"ITEM-1","itemData":{"DOI":"10.1158/1078-0432.CCR-14-1268","ISSN":"1557-3265","PMID":"25204553","abstract":"On September 30, 2013, the FDA granted accelerated approval to pertuzumab (Perjecta; Genentech, Inc.) for use in combination with trastuzumab and docetaxel as neoadjuvant treatment of patients with HER2-positive, locally advanced, inflammatory, or early-stage breast cancer (either greater than 2 cm in diameter or node positive) as part of a complete treatment regimen for early breast cancer. The approval was based in part on a randomized multicenter trial in the indicated population that allocated 417 patients to neoadjuvant treatment with trastuzumab-docetaxel (TD), pertuzumab-trastuzumab-docetaxel (PTD), pertuzumab-trastuzumab, or pertuzumab-docetaxel. PTD was administered preoperatively every 3 weeks for four cycles. Following surgery patients received three cycles of 5-fluorouracil, epirubicin, and cyclophosphamide every 3 weeks and trastuzumab every 3 weeks to complete 1 year of therapy. The pathologic complete response rates by the FDA-preferred definition [absence of invasive cancer in the breast and lymph nodes (ypT0/is ypN0)] were 39.3% and 21.5% in the PTD and the TD arms, respectively ( P = 0.0063). The most common adverse reactions with PTD were alopecia, diarrhea, nausea, and neutropenia. This approval was based on the totality of evidence, particularly improved survival in the metastatic breast cancer trial, and a fully accrued confirmatory trial.","author":[{"dropping-particle":"","family":"Amiri-Kordestani","given":"Laleh","non-dropping-particle":"","parse-names":false,"suffix":""},{"dropping-particle":"","family":"Wedam","given":"Suparna","non-dropping-particle":"","parse-names":false,"suffix":""},{"dropping-particle":"","family":"Zhang","given":"Lijun","non-dropping-particle":"","parse-names":false,"suffix":""},{"dropping-particle":"","family":"Tang","given":"Shenghui","non-dropping-particle":"","parse-names":false,"suffix":""},{"dropping-particle":"","family":"Tilley","given":"Amy","non-dropping-particle":"","parse-names":false,"suffix":""},{"dropping-particle":"","family":"Ibrahim","given":"Amna","non-dropping-particle":"","parse-names":false,"suffix":""},{"dropping-particle":"","family":"Justice","given":"Robert","non-dropping-particle":"","parse-names":false,"suffix":""},{"dropping-particle":"","family":"Pazdur","given":"Richard","non-dropping-particle":"","parse-names":false,"suffix":""},{"dropping-particle":"","family":"Cortazar","given":"Patricia","non-dropping-particle":"","parse-names":false,"suffix":""}],"container-title":"Clinical cancer research : an official journal of the American Association for Cancer Research","id":"ITEM-1","issue":"21","issued":{"date-parts":[["2014","11","1"]]},"page":"5359-5364","publisher":"Clin Cancer Res","title":"First FDA approval of neoadjuvant therapy for breast cancer: pertuzumab for the treatment of patients with HER2-positive breast cancer","type":"article-journal","volume":"20"},"uris":["http://www.mendeley.com/documents/?uuid=3db1aa91-6f9a-3a51-a155-7fe0ad29a347"]}],"mendeley":{"formattedCitation":"(Amiri-Kordestani et al., 2014)","plainTextFormattedCitation":"(Amiri-Kordestani et al., 2014)","previouslyFormattedCitation":"(Amiri-Kordestani et al., 2014)"},"properties":{"noteIndex":0},"schema":"https://github.com/citation-style-language/schema/raw/master/csl-citation.json"}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(Amiri-Kordestani et al., 2014)</w:t>
      </w:r>
      <w:r w:rsidRPr="00126EE2">
        <w:rPr>
          <w:rFonts w:cstheme="minorHAnsi"/>
          <w:color w:val="222222"/>
          <w:sz w:val="24"/>
          <w:szCs w:val="24"/>
          <w:shd w:val="clear" w:color="auto" w:fill="FFFFFF"/>
        </w:rPr>
        <w:fldChar w:fldCharType="end"/>
      </w:r>
      <w:r w:rsidRPr="00126EE2">
        <w:rPr>
          <w:rFonts w:cstheme="minorHAnsi"/>
          <w:color w:val="000000"/>
          <w:sz w:val="24"/>
          <w:szCs w:val="24"/>
        </w:rPr>
        <w:t xml:space="preserve">. </w:t>
      </w:r>
      <w:r w:rsidRPr="00126EE2">
        <w:rPr>
          <w:rFonts w:cstheme="minorHAnsi"/>
          <w:color w:val="2F5496" w:themeColor="accent1" w:themeShade="BF"/>
          <w:sz w:val="24"/>
          <w:szCs w:val="24"/>
        </w:rPr>
        <w:drawing>
          <wp:anchor distT="0" distB="0" distL="114300" distR="114300" simplePos="0" relativeHeight="251661312" behindDoc="0" locked="0" layoutInCell="1" allowOverlap="1" wp14:anchorId="0C60D66A" wp14:editId="7A0E57F4">
            <wp:simplePos x="0" y="0"/>
            <wp:positionH relativeFrom="margin">
              <wp:align>left</wp:align>
            </wp:positionH>
            <wp:positionV relativeFrom="margin">
              <wp:align>top</wp:align>
            </wp:positionV>
            <wp:extent cx="5573395" cy="3134995"/>
            <wp:effectExtent l="0" t="0" r="8255" b="8255"/>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3395" cy="3134995"/>
                    </a:xfrm>
                    <a:prstGeom prst="rect">
                      <a:avLst/>
                    </a:prstGeom>
                  </pic:spPr>
                </pic:pic>
              </a:graphicData>
            </a:graphic>
            <wp14:sizeRelH relativeFrom="page">
              <wp14:pctWidth>0</wp14:pctWidth>
            </wp14:sizeRelH>
            <wp14:sizeRelV relativeFrom="page">
              <wp14:pctHeight>0</wp14:pctHeight>
            </wp14:sizeRelV>
          </wp:anchor>
        </w:drawing>
      </w:r>
    </w:p>
    <w:p w14:paraId="4D74AA09"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color w:val="000000"/>
          <w:lang w:val="en-US"/>
        </w:rPr>
        <w:t>In our preclinical studies, Hertumig</w:t>
      </w:r>
      <w:r w:rsidRPr="00126EE2">
        <w:rPr>
          <w:rFonts w:asciiTheme="minorHAnsi" w:hAnsiTheme="minorHAnsi" w:cstheme="minorHAnsi"/>
          <w:color w:val="212121"/>
          <w:shd w:val="clear" w:color="auto" w:fill="FFFFFF"/>
          <w:vertAlign w:val="superscript"/>
          <w:lang w:val="en-US"/>
        </w:rPr>
        <w:t xml:space="preserve">® </w:t>
      </w:r>
      <w:r w:rsidRPr="00126EE2">
        <w:rPr>
          <w:rFonts w:asciiTheme="minorHAnsi" w:hAnsiTheme="minorHAnsi" w:cstheme="minorHAnsi"/>
          <w:color w:val="000000"/>
          <w:lang w:val="en-US"/>
        </w:rPr>
        <w:t>has shown promising antitumor and antiproliferative activity alone and in combination with Herceptin</w:t>
      </w:r>
      <w:r w:rsidRPr="00126EE2">
        <w:rPr>
          <w:rFonts w:asciiTheme="minorHAnsi" w:hAnsiTheme="minorHAnsi" w:cstheme="minorHAnsi"/>
          <w:color w:val="222222"/>
          <w:shd w:val="clear" w:color="auto" w:fill="FFFFFF"/>
          <w:lang w:val="en-US"/>
        </w:rPr>
        <w:t xml:space="preserve"> and Perjeta. Besides, </w:t>
      </w:r>
      <w:r w:rsidRPr="00126EE2">
        <w:rPr>
          <w:rFonts w:asciiTheme="minorHAnsi" w:hAnsiTheme="minorHAnsi" w:cstheme="minorHAnsi"/>
          <w:color w:val="000000"/>
          <w:lang w:val="en-US"/>
        </w:rPr>
        <w:t>Hertumig</w:t>
      </w:r>
      <w:r w:rsidRPr="00126EE2">
        <w:rPr>
          <w:rFonts w:asciiTheme="minorHAnsi" w:hAnsiTheme="minorHAnsi" w:cstheme="minorHAnsi"/>
          <w:color w:val="212121"/>
          <w:shd w:val="clear" w:color="auto" w:fill="FFFFFF"/>
          <w:vertAlign w:val="superscript"/>
          <w:lang w:val="en-US"/>
        </w:rPr>
        <w:t xml:space="preserve">®, </w:t>
      </w:r>
      <w:r w:rsidRPr="00126EE2">
        <w:rPr>
          <w:rFonts w:asciiTheme="minorHAnsi" w:hAnsiTheme="minorHAnsi" w:cstheme="minorHAnsi"/>
          <w:color w:val="000000"/>
          <w:lang w:val="en-US"/>
        </w:rPr>
        <w:t>in combination with docetaxel (Taxotere</w:t>
      </w:r>
      <w:r w:rsidRPr="00126EE2">
        <w:rPr>
          <w:rFonts w:asciiTheme="minorHAnsi" w:hAnsiTheme="minorHAnsi" w:cstheme="minorHAnsi"/>
          <w:color w:val="212121"/>
          <w:shd w:val="clear" w:color="auto" w:fill="FFFFFF"/>
          <w:vertAlign w:val="superscript"/>
          <w:lang w:val="en-US"/>
        </w:rPr>
        <w:t>®</w:t>
      </w:r>
      <w:r w:rsidRPr="00126EE2">
        <w:rPr>
          <w:rFonts w:asciiTheme="minorHAnsi" w:hAnsiTheme="minorHAnsi" w:cstheme="minorHAnsi"/>
          <w:color w:val="000000"/>
          <w:lang w:val="en-US"/>
        </w:rPr>
        <w:t>), also showed promising results in our preclinical studies. The preclinical studies were performed under GLP compliance.</w:t>
      </w:r>
      <w:bookmarkStart w:id="2" w:name="_Hlk116742267"/>
    </w:p>
    <w:bookmarkEnd w:id="2"/>
    <w:p w14:paraId="0FABFE2E" w14:textId="117FDAC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proofErr w:type="spellStart"/>
      <w:r w:rsidRPr="00126EE2">
        <w:rPr>
          <w:rFonts w:asciiTheme="minorHAnsi" w:hAnsiTheme="minorHAnsi" w:cstheme="minorHAnsi"/>
          <w:color w:val="000000"/>
          <w:lang w:val="en-US"/>
        </w:rPr>
        <w:t>VaudBiotech</w:t>
      </w:r>
      <w:proofErr w:type="spellEnd"/>
      <w:r w:rsidRPr="00126EE2">
        <w:rPr>
          <w:rFonts w:asciiTheme="minorHAnsi" w:hAnsiTheme="minorHAnsi" w:cstheme="minorHAnsi"/>
          <w:color w:val="000000"/>
          <w:lang w:val="en-US"/>
        </w:rPr>
        <w:t xml:space="preserve"> SA. will apply for biologics-anticancer therapeutic drug designation after completing the Hertumig</w:t>
      </w:r>
      <w:r w:rsidRPr="00126EE2">
        <w:rPr>
          <w:rFonts w:asciiTheme="minorHAnsi" w:hAnsiTheme="minorHAnsi" w:cstheme="minorHAnsi"/>
          <w:color w:val="212121"/>
          <w:shd w:val="clear" w:color="auto" w:fill="FFFFFF"/>
          <w:vertAlign w:val="superscript"/>
          <w:lang w:val="en-US"/>
        </w:rPr>
        <w:t xml:space="preserve">® </w:t>
      </w:r>
      <w:r w:rsidRPr="00126EE2">
        <w:rPr>
          <w:rFonts w:asciiTheme="minorHAnsi" w:hAnsiTheme="minorHAnsi" w:cstheme="minorHAnsi"/>
          <w:color w:val="000000"/>
          <w:lang w:val="en-US"/>
        </w:rPr>
        <w:t xml:space="preserve">clinical trial phase 1 study. As per the Drug development plan, </w:t>
      </w:r>
      <w:proofErr w:type="spellStart"/>
      <w:r w:rsidRPr="00126EE2">
        <w:rPr>
          <w:rFonts w:asciiTheme="minorHAnsi" w:hAnsiTheme="minorHAnsi" w:cstheme="minorHAnsi"/>
          <w:color w:val="000000"/>
          <w:lang w:val="en-US"/>
        </w:rPr>
        <w:t>VaudBiotech</w:t>
      </w:r>
      <w:proofErr w:type="spellEnd"/>
      <w:r w:rsidRPr="00126EE2">
        <w:rPr>
          <w:rFonts w:asciiTheme="minorHAnsi" w:hAnsiTheme="minorHAnsi" w:cstheme="minorHAnsi"/>
          <w:color w:val="000000"/>
          <w:lang w:val="en-US"/>
        </w:rPr>
        <w:t xml:space="preserve"> SA. will launch Hertumig® in the European Union (EU) by 2030. </w:t>
      </w:r>
      <w:proofErr w:type="spellStart"/>
      <w:r w:rsidRPr="00126EE2">
        <w:rPr>
          <w:rFonts w:asciiTheme="minorHAnsi" w:hAnsiTheme="minorHAnsi" w:cstheme="minorHAnsi"/>
          <w:color w:val="000000"/>
          <w:lang w:val="en-US"/>
        </w:rPr>
        <w:t>Vitria</w:t>
      </w:r>
      <w:proofErr w:type="spellEnd"/>
      <w:r w:rsidRPr="00126EE2">
        <w:rPr>
          <w:rFonts w:asciiTheme="minorHAnsi" w:hAnsiTheme="minorHAnsi" w:cstheme="minorHAnsi"/>
          <w:color w:val="000000"/>
          <w:lang w:val="en-US"/>
        </w:rPr>
        <w:t xml:space="preserve"> Biotech SA. will manufacture it considering GMP compliances. </w:t>
      </w:r>
    </w:p>
    <w:p w14:paraId="22F9B8A1" w14:textId="77777777" w:rsidR="00DA0327" w:rsidRPr="00126EE2" w:rsidRDefault="00DA0327" w:rsidP="00DA0327">
      <w:pPr>
        <w:pStyle w:val="Heading1"/>
        <w:numPr>
          <w:ilvl w:val="0"/>
          <w:numId w:val="6"/>
        </w:numPr>
        <w:spacing w:before="0" w:line="480" w:lineRule="auto"/>
        <w:ind w:left="720"/>
        <w:jc w:val="both"/>
        <w:rPr>
          <w:rFonts w:asciiTheme="minorHAnsi" w:hAnsiTheme="minorHAnsi" w:cstheme="minorHAnsi"/>
          <w:color w:val="000000"/>
          <w:sz w:val="24"/>
          <w:szCs w:val="24"/>
        </w:rPr>
      </w:pPr>
      <w:r w:rsidRPr="00126EE2">
        <w:rPr>
          <w:rFonts w:asciiTheme="minorHAnsi" w:hAnsiTheme="minorHAnsi" w:cstheme="minorHAnsi"/>
          <w:sz w:val="24"/>
          <w:szCs w:val="24"/>
        </w:rPr>
        <w:lastRenderedPageBreak/>
        <w:t>Development Plan:</w:t>
      </w:r>
    </w:p>
    <w:p w14:paraId="612CCDAE" w14:textId="77777777" w:rsidR="00DA0327" w:rsidRPr="00126EE2" w:rsidRDefault="00DA0327" w:rsidP="00DA0327">
      <w:pPr>
        <w:pStyle w:val="Heading2"/>
        <w:spacing w:line="480" w:lineRule="auto"/>
        <w:jc w:val="both"/>
        <w:rPr>
          <w:rFonts w:asciiTheme="minorHAnsi" w:hAnsiTheme="minorHAnsi" w:cstheme="minorHAnsi"/>
          <w:sz w:val="24"/>
          <w:szCs w:val="24"/>
        </w:rPr>
      </w:pPr>
      <w:bookmarkStart w:id="3" w:name="_Toc20143650"/>
      <w:r w:rsidRPr="00126EE2">
        <w:rPr>
          <w:rFonts w:asciiTheme="minorHAnsi" w:hAnsiTheme="minorHAnsi" w:cstheme="minorHAnsi"/>
          <w:sz w:val="24"/>
          <w:szCs w:val="24"/>
        </w:rPr>
        <w:t>Part A. Preclinical Plan</w:t>
      </w:r>
      <w:bookmarkEnd w:id="3"/>
      <w:r w:rsidRPr="00126EE2">
        <w:rPr>
          <w:rFonts w:asciiTheme="minorHAnsi" w:hAnsiTheme="minorHAnsi" w:cstheme="minorHAnsi"/>
          <w:sz w:val="24"/>
          <w:szCs w:val="24"/>
        </w:rPr>
        <w:t xml:space="preserve"> / Non-clinical Plan –</w:t>
      </w:r>
      <w:bookmarkStart w:id="4" w:name="_Hlk116571363"/>
    </w:p>
    <w:p w14:paraId="0EDB7A36" w14:textId="77777777" w:rsidR="00DA0327" w:rsidRPr="00126EE2" w:rsidRDefault="00DA0327" w:rsidP="00DA0327">
      <w:pPr>
        <w:spacing w:line="480" w:lineRule="auto"/>
        <w:jc w:val="both"/>
        <w:rPr>
          <w:rFonts w:cstheme="minorHAnsi"/>
          <w:color w:val="222222"/>
          <w:sz w:val="24"/>
          <w:szCs w:val="24"/>
          <w:shd w:val="clear" w:color="auto" w:fill="FFFFFF"/>
        </w:rPr>
      </w:pPr>
      <w:r w:rsidRPr="00126EE2">
        <w:rPr>
          <w:rFonts w:cstheme="minorHAnsi"/>
          <w:sz w:val="24"/>
          <w:szCs w:val="24"/>
        </w:rPr>
        <w:t xml:space="preserve">Targeted therapy using </w:t>
      </w:r>
      <w:r w:rsidRPr="00126EE2">
        <w:rPr>
          <w:rFonts w:cstheme="minorHAnsi"/>
          <w:color w:val="222222"/>
          <w:sz w:val="24"/>
          <w:szCs w:val="24"/>
          <w:shd w:val="clear" w:color="auto" w:fill="FFFFFF"/>
        </w:rPr>
        <w:t>mAb Trastuzumab (Herceptin</w:t>
      </w:r>
      <w:r w:rsidRPr="00126EE2">
        <w:rPr>
          <w:rFonts w:cstheme="minorHAnsi"/>
          <w:color w:val="212121"/>
          <w:sz w:val="24"/>
          <w:szCs w:val="24"/>
          <w:shd w:val="clear" w:color="auto" w:fill="FFFFFF"/>
          <w:vertAlign w:val="superscript"/>
        </w:rPr>
        <w:t>®</w:t>
      </w:r>
      <w:r w:rsidRPr="00126EE2">
        <w:rPr>
          <w:rFonts w:cstheme="minorHAnsi"/>
          <w:color w:val="222222"/>
          <w:sz w:val="24"/>
          <w:szCs w:val="24"/>
          <w:shd w:val="clear" w:color="auto" w:fill="FFFFFF"/>
        </w:rPr>
        <w:t xml:space="preserve">, Genentech) and </w:t>
      </w:r>
      <w:proofErr w:type="spellStart"/>
      <w:r w:rsidRPr="00126EE2">
        <w:rPr>
          <w:rFonts w:cstheme="minorHAnsi"/>
          <w:color w:val="222222"/>
          <w:sz w:val="24"/>
          <w:szCs w:val="24"/>
          <w:shd w:val="clear" w:color="auto" w:fill="FFFFFF"/>
        </w:rPr>
        <w:t>Pertuzumab</w:t>
      </w:r>
      <w:proofErr w:type="spellEnd"/>
      <w:r w:rsidRPr="00126EE2">
        <w:rPr>
          <w:rFonts w:cstheme="minorHAnsi"/>
          <w:color w:val="222222"/>
          <w:sz w:val="24"/>
          <w:szCs w:val="24"/>
          <w:shd w:val="clear" w:color="auto" w:fill="FFFFFF"/>
        </w:rPr>
        <w:t xml:space="preserve"> (Perjeta</w:t>
      </w:r>
      <w:r w:rsidRPr="00126EE2">
        <w:rPr>
          <w:rFonts w:cstheme="minorHAnsi"/>
          <w:color w:val="212121"/>
          <w:sz w:val="24"/>
          <w:szCs w:val="24"/>
          <w:shd w:val="clear" w:color="auto" w:fill="FFFFFF"/>
          <w:vertAlign w:val="superscript"/>
        </w:rPr>
        <w:t>®</w:t>
      </w:r>
      <w:r w:rsidRPr="00126EE2">
        <w:rPr>
          <w:rFonts w:cstheme="minorHAnsi"/>
          <w:color w:val="222222"/>
          <w:sz w:val="24"/>
          <w:szCs w:val="24"/>
          <w:shd w:val="clear" w:color="auto" w:fill="FFFFFF"/>
        </w:rPr>
        <w:t>, Genentech) in combination with chemotherapy significantly improved overall survival in HER2-positive breast cancer patients</w:t>
      </w:r>
      <w:r>
        <w:rPr>
          <w:rFonts w:cstheme="minorHAnsi"/>
          <w:color w:val="222222"/>
          <w:sz w:val="24"/>
          <w:szCs w:val="24"/>
          <w:shd w:val="clear" w:color="auto" w:fill="FFFFFF"/>
        </w:rPr>
        <w:t xml:space="preserve"> </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{"citationItems":[{"id":"ITEM-1","itemData":{"DOI":"10.1155/2012/743193","ISSN":"2090-2115","PMID":"23320171","abstract":"Human epidermal growth factor receptor 2 (HER2) is overexpressed in around 20–30% of breast cancer tumors. It is associated with a more aggressive disease, higher recurrence rate, and increased mortality. Trastuzumab is a HER2 receptor blocker that has become the standard of care for the treatment of HER2 positive breast cancer. The effectiveness of Trastuzumab has been well validated in research as well as in clinical practice. The addition of Trastuzumab to standard of care chemotherapy in clinical trials has been shown to improve outcomes for early stage as well as metastatic HER2 positive breast cancer. The most clinically significant side effect of Trastuzumab is the risk of cardiac myocyte injury, leading to the development of congestive heart failure. The emergence of patterns of resistance to Trastuzumab has led to the discovery of new monoclonal antibodies and other targeted agents aimed at overcoming Trastuzumab resistance and improving survival in patients diagnosed with HER2 positive breast cancers.","author":[{"dropping-particle":"","family":"Mitri","given":"Zahi","non-dropping-particle":"","parse-names":false,"suffix":""},{"dropping-particle":"","family":"Constantine","given":"Tina","non-dropping-particle":"","parse-names":false,"suffix":""},{"dropping-particle":"","family":"O'Regan","given":"Ruth","non-dropping-particle":"","parse-names":false,"suffix":""}],"container-title":"Chemotherapy research and practice","id":"ITEM-1","issued":{"date-parts":[["2012","12","20"]]},"page":"1-7","publisher":"Chemother Res Pract","title":"The HER2 Receptor in Breast Cancer: Pathophysiology, Clinical Use, and New Advances in Therapy","type":"article-journal","volume":"2012"},"uris":["http://www.mendeley.com/documents/?uuid=6c94ac4d-75b7-3aaf-b586-9d1d7e2663e0"]}],"mendeley":{"formattedCitation":"(Mitri et al., 2012)","plainTextFormattedCitation":"(Mitri et al., 2012)","previouslyFormattedCitation":"(Mitri et al., 2012)"},"properties":{"noteIndex":0},"schema":"https://github.com/citation-style-language/schema/raw/master/csl-citation.json"}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(Mitri et al., 2012)</w:t>
      </w:r>
      <w:r w:rsidRPr="00126EE2">
        <w:rPr>
          <w:rFonts w:cstheme="minorHAnsi"/>
          <w:color w:val="222222"/>
          <w:sz w:val="24"/>
          <w:szCs w:val="24"/>
          <w:shd w:val="clear" w:color="auto" w:fill="FFFFFF"/>
        </w:rPr>
        <w:fldChar w:fldCharType="end"/>
      </w:r>
      <w:r>
        <w:rPr>
          <w:rFonts w:cstheme="minorHAnsi"/>
          <w:color w:val="222222"/>
          <w:sz w:val="24"/>
          <w:szCs w:val="24"/>
          <w:shd w:val="clear" w:color="auto" w:fill="FFFFFF"/>
        </w:rPr>
        <w:t xml:space="preserve"> </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{"citationItems":[{"id":"ITEM-1","itemData":{"DOI":"10.1200/JCO.2009.22.1507","ISSN":"1527-7755","PMID":"19884552","abstract":"Purpose: Targeted therapy with the humanized monoclonal antibody trastuzumab has become a mainstay for human epidermal growth factor receptor 2 (HER2) -positive breast cancer (BC). The mechanisms of action of trastuzumab have not been fully elucidated, and data available to date are reviewed here. The impact of the mechanisms of action on clinical benefit also is discussed. Methods: An extensive literature review of trastuzumab and proposed mechanisms of action was performed. Results: At least five potential extracellular and intracellular antitumor mechanisms of trastuzumab have been identified in the preclinical setting. These include activation of antibody-dependent cellular cytotoxicity, inhibition of extracellular domain cleavage, abrogation of intracellular signaling, reduction of angiogenesis, and decreased DNA repair. These effects lead to tumor cell stasis and/or death. Clinical benefit from trastuzumab-based therapy in both early and advanced BC has been demonstrated. The benefit of trastuzumab use beyond progression has also been shown, which indicates the need for continuous suppression of the HER2 pathway. Targeting both HER2, with various approaches, and other pathways may enhance the clinical benefit observed with trastuzumab and overcome potential resistance. Novel combinations include pertuzumab (a HER2 dimerization inhibitor), lapatinib (a HER1/HER2 tyrosine kinase inhibitor), bevacizumab (an antiangiogenic agent), tanespimycin (a heat shock protein inhibitor), antiestrogen therapies, and an antibody-drug conjugate (trastuzumab-DM1). Conclusion: Trastuzumab is the foundation of care for patients with HER2-positive BC. Emerging data from studies of other targeted agents may provide alternative treatment combinations to maximize the clinical benefit from trastuzumab and prevent or delay resistance. The continued development of trastuzumab highlights promising treatment approaches for the future. © 2009 by American Society of Clinical Oncology.","author":[{"dropping-particle":"","family":"Spector","given":"Neil L.","non-dropping-particle":"","parse-names":false,"suffix":""},{"dropping-particle":"","family":"Blackwell","given":"Kimberly L.","non-dropping-particle":"","parse-names":false,"suffix":""}],"container-title":"Journal of clinical oncology : official journal of the American Society of Clinical Oncology","id":"ITEM-1","issue":"34","issued":{"date-parts":[["2009","12","1"]]},"page":"5838-5847","publisher":"J Clin Oncol","title":"Understanding the mechanisms behind trastuzumab therapy for human epidermal growth factor receptor 2-positive breast cancer","type":"article-journal","volume":"27"},"uris":["http://www.mendeley.com/documents/?uuid=88a225a2-5e79-3038-8d83-0caf35c0f772"]}],"mendeley":{"formattedCitation":"(Spector &amp; Blackwell, 2009)","plainTextFormattedCitation":"(Spector &amp; Blackwell, 2009)","previouslyFormattedCitation":"(Spector &amp; Blackwell, 2009)"},"properties":{"noteIndex":0},"schema":"https://github.com/citation-style-language/schema/raw/master/csl-citation.json"}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(Spector &amp; Blackwell, 2009)</w:t>
      </w:r>
      <w:r w:rsidRPr="00126EE2">
        <w:rPr>
          <w:rFonts w:cstheme="minorHAnsi"/>
          <w:color w:val="222222"/>
          <w:sz w:val="24"/>
          <w:szCs w:val="24"/>
          <w:shd w:val="clear" w:color="auto" w:fill="FFFFFF"/>
        </w:rPr>
        <w:fldChar w:fldCharType="end"/>
      </w:r>
      <w:r>
        <w:rPr>
          <w:rFonts w:cstheme="minorHAnsi"/>
          <w:color w:val="222222"/>
          <w:sz w:val="24"/>
          <w:szCs w:val="24"/>
          <w:shd w:val="clear" w:color="auto" w:fill="FFFFFF"/>
        </w:rPr>
        <w:t xml:space="preserve"> </w:t>
      </w:r>
      <w:r w:rsidRPr="00126EE2">
        <w:rPr>
          <w:rFonts w:cstheme="minorHAnsi"/>
          <w:color w:val="222222"/>
          <w:sz w:val="24"/>
          <w:szCs w:val="24"/>
          <w:shd w:val="clear" w:color="auto" w:fill="FFFFFF"/>
        </w:rPr>
        <w:fldChar w:fldCharType="begin" w:fldLock="1"/>
      </w:r>
      <w:r w:rsidRPr="00126EE2">
        <w:rPr>
          <w:rFonts w:cstheme="minorHAnsi"/>
          <w:color w:val="222222"/>
          <w:sz w:val="24"/>
          <w:szCs w:val="24"/>
          <w:shd w:val="clear" w:color="auto" w:fill="FFFFFF"/>
        </w:rPr>
        <w:instrText>ADDIN CSL_CITATION {"citationItems":[{"id":"ITEM-1","itemData":{"DOI":"10.1038/S41523-021-00265-1","ISSN":"2374-4677","PMID":"34016991","abstract":"Human epidermal growth factor receptor 2 (HER2) positive breast cancer accounts for 20–25% of all breast cancers. Multiple HER2-targeted therapies have been developed over the last few years, including the tyrosine kinase inhibitors (TKI) lapatinib, neratinib, tucatinib, and pyrotinib. These drugs target HER2 and other receptors of the epidermal growth factor receptor family, therefore each has unique efficacy and adverse event profile. HER2-directed TKIs have been studied in the early stage and advanced settings and have shown promising responses. There is increasing interest in utilizing these drugs in combination with chemotherapy and /or other HER2-directed agents in patients with central nervous system involvement, TKIs have shown to be effective in this setting for which treatment options have been previously limited and the prognosis remains poor. The aim of this review is to summarize currently approved TKIs for HER2+ breast, key clinical trials, and their use in current clinical practice.","author":[{"dropping-particle":"","family":"Schlam","given":"Ilana","non-dropping-particle":"","parse-names":false,"suffix":""},{"dropping-particle":"","family":"Swain","given":"Sandra M.","non-dropping-particle":"","parse-names":false,"suffix":""}],"container-title":"NPJ breast cancer","id":"ITEM-1","issue":"1","issued":{"date-parts":[["2021","12","1"]]},"publisher":"NPJ Breast Cancer","title":"HER2-positive breast cancer and tyrosine kinase inhibitors: the time is now","type":"article-journal","volume":"7"},"uris":["http://www.mendeley.com/documents/?uuid=899fa491-3db0-3ff1-91c9-bea9710ab509"]}],"mendeley":{"formattedCitation":"(Schlam &amp; Swain, 2021)","plainTextFormattedCitation":"(Schlam &amp; Swain, 2021)","previouslyFormattedCitation":"(Schlam &amp; Swain, 2021)"},"properties":{"noteIndex":0},"schema":"https://github.com/citation-style-language/schema/raw/master/csl-citation.json"}</w:instrText>
      </w:r>
      <w:r w:rsidRPr="00126EE2">
        <w:rPr>
          <w:rFonts w:cstheme="minorHAnsi"/>
          <w:color w:val="222222"/>
          <w:sz w:val="24"/>
          <w:szCs w:val="24"/>
          <w:shd w:val="clear" w:color="auto" w:fill="FFFFFF"/>
        </w:rPr>
        <w:fldChar w:fldCharType="separate"/>
      </w:r>
      <w:r w:rsidRPr="00126EE2">
        <w:rPr>
          <w:rFonts w:cstheme="minorHAnsi"/>
          <w:noProof/>
          <w:color w:val="222222"/>
          <w:sz w:val="24"/>
          <w:szCs w:val="24"/>
          <w:shd w:val="clear" w:color="auto" w:fill="FFFFFF"/>
        </w:rPr>
        <w:t>(Schlam &amp; Swain, 2021)</w:t>
      </w:r>
      <w:r w:rsidRPr="00126EE2">
        <w:rPr>
          <w:rFonts w:cstheme="minorHAnsi"/>
          <w:color w:val="222222"/>
          <w:sz w:val="24"/>
          <w:szCs w:val="24"/>
          <w:shd w:val="clear" w:color="auto" w:fill="FFFFFF"/>
        </w:rPr>
        <w:fldChar w:fldCharType="end"/>
      </w:r>
      <w:r w:rsidRPr="00126EE2">
        <w:rPr>
          <w:rFonts w:cstheme="minorHAnsi"/>
          <w:color w:val="222222"/>
          <w:sz w:val="24"/>
          <w:szCs w:val="24"/>
          <w:shd w:val="clear" w:color="auto" w:fill="FFFFFF"/>
        </w:rPr>
        <w:t xml:space="preserve">. Due to the high susceptibility for developing resistance against existing HER2-targeted drugs, there is a constant need for developing novel therapeutic agents such as HER-2 targeting </w:t>
      </w:r>
      <w:proofErr w:type="spellStart"/>
      <w:r w:rsidRPr="00126EE2">
        <w:rPr>
          <w:rFonts w:cstheme="minorHAnsi"/>
          <w:color w:val="222222"/>
          <w:sz w:val="24"/>
          <w:szCs w:val="24"/>
          <w:shd w:val="clear" w:color="auto" w:fill="FFFFFF"/>
        </w:rPr>
        <w:t>mAbs</w:t>
      </w:r>
      <w:proofErr w:type="spellEnd"/>
      <w:r w:rsidRPr="00126EE2">
        <w:rPr>
          <w:rFonts w:cstheme="minorHAnsi"/>
          <w:color w:val="222222"/>
          <w:sz w:val="24"/>
          <w:szCs w:val="24"/>
          <w:shd w:val="clear" w:color="auto" w:fill="FFFFFF"/>
        </w:rPr>
        <w:t xml:space="preserve">. </w:t>
      </w:r>
    </w:p>
    <w:p w14:paraId="6BDFC270" w14:textId="77777777" w:rsidR="00DA0327" w:rsidRDefault="00DA0327" w:rsidP="00DA0327">
      <w:pPr>
        <w:pStyle w:val="NormalWeb"/>
        <w:spacing w:after="0" w:line="480" w:lineRule="auto"/>
        <w:jc w:val="both"/>
        <w:rPr>
          <w:rFonts w:asciiTheme="minorHAnsi" w:hAnsiTheme="minorHAnsi" w:cstheme="minorHAnsi"/>
          <w:color w:val="000000"/>
          <w:lang w:val="en-US"/>
        </w:rPr>
      </w:pPr>
      <w:r w:rsidRPr="00126EE2">
        <w:rPr>
          <w:rFonts w:asciiTheme="minorHAnsi" w:hAnsiTheme="minorHAnsi" w:cstheme="minorHAnsi"/>
          <w:color w:val="000000"/>
          <w:lang w:val="en-US"/>
        </w:rPr>
        <w:t xml:space="preserve">Screening for lead antibodies was performed under GLP compliance. </w:t>
      </w:r>
      <w:r w:rsidRPr="00126EE2">
        <w:rPr>
          <w:rFonts w:asciiTheme="minorHAnsi" w:hAnsiTheme="minorHAnsi" w:cstheme="minorHAnsi"/>
          <w:color w:val="090909"/>
          <w:shd w:val="clear" w:color="auto" w:fill="FFFFFF"/>
          <w:lang w:val="en-US"/>
        </w:rPr>
        <w:t xml:space="preserve">Multiparameter high-throughput screening (HTS) platforms are applied to speed up the process of antibody lead selection. This strategy allowed the selection of lead antibodies that bind strongly and specifically to target antigens. </w:t>
      </w:r>
      <w:r w:rsidRPr="00126EE2">
        <w:rPr>
          <w:rFonts w:asciiTheme="minorHAnsi" w:hAnsiTheme="minorHAnsi" w:cstheme="minorHAnsi"/>
          <w:color w:val="000000"/>
          <w:lang w:val="en-US"/>
        </w:rPr>
        <w:t xml:space="preserve">Humanized </w:t>
      </w:r>
      <w:proofErr w:type="spellStart"/>
      <w:r w:rsidRPr="00126EE2">
        <w:rPr>
          <w:rFonts w:asciiTheme="minorHAnsi" w:hAnsiTheme="minorHAnsi" w:cstheme="minorHAnsi"/>
          <w:color w:val="000000"/>
          <w:lang w:val="en-US"/>
        </w:rPr>
        <w:t>mAbs</w:t>
      </w:r>
      <w:proofErr w:type="spellEnd"/>
      <w:r w:rsidRPr="00126EE2">
        <w:rPr>
          <w:rFonts w:asciiTheme="minorHAnsi" w:hAnsiTheme="minorHAnsi" w:cstheme="minorHAnsi"/>
          <w:color w:val="000000"/>
          <w:lang w:val="en-US"/>
        </w:rPr>
        <w:t xml:space="preserve"> were produced in HER2 surface-expressing </w:t>
      </w:r>
      <w:proofErr w:type="spellStart"/>
      <w:r w:rsidRPr="00126EE2">
        <w:rPr>
          <w:rFonts w:asciiTheme="minorHAnsi" w:hAnsiTheme="minorHAnsi" w:cstheme="minorHAnsi"/>
          <w:color w:val="000000"/>
          <w:lang w:val="en-US"/>
        </w:rPr>
        <w:t>Balb</w:t>
      </w:r>
      <w:proofErr w:type="spellEnd"/>
      <w:r w:rsidRPr="00126EE2">
        <w:rPr>
          <w:rFonts w:asciiTheme="minorHAnsi" w:hAnsiTheme="minorHAnsi" w:cstheme="minorHAnsi"/>
          <w:color w:val="000000"/>
          <w:lang w:val="en-US"/>
        </w:rPr>
        <w:t xml:space="preserve">/c mice by hybridoma technology. Antibody humanization was carried out by standard protocol. In the following steps, recombinant Chinese hamster ovary (CHO) cells were used to produce mAb for the phase I clinical trial.  </w:t>
      </w:r>
    </w:p>
    <w:p w14:paraId="14EC0F9C" w14:textId="26ECF780" w:rsidR="00DA0327" w:rsidRDefault="00DA0327" w:rsidP="00DA0327">
      <w:pPr>
        <w:pStyle w:val="NormalWeb"/>
        <w:spacing w:after="0" w:line="480" w:lineRule="auto"/>
        <w:jc w:val="both"/>
        <w:rPr>
          <w:rFonts w:asciiTheme="minorHAnsi" w:hAnsiTheme="minorHAnsi" w:cstheme="minorHAnsi"/>
          <w:color w:val="000000"/>
          <w:lang w:val="en-US"/>
        </w:rPr>
      </w:pPr>
      <w:r w:rsidRPr="00DA0327">
        <w:rPr>
          <w:rFonts w:asciiTheme="minorHAnsi" w:hAnsiTheme="minorHAnsi" w:cstheme="minorHAnsi"/>
          <w:color w:val="000000"/>
          <w:lang w:val="en-US"/>
        </w:rPr>
        <w:t xml:space="preserve">Preclinical studies were planned to ensure the safety and efficacy of </w:t>
      </w:r>
      <w:proofErr w:type="spellStart"/>
      <w:r w:rsidRPr="00DA0327">
        <w:rPr>
          <w:rFonts w:asciiTheme="minorHAnsi" w:hAnsiTheme="minorHAnsi" w:cstheme="minorHAnsi"/>
          <w:color w:val="000000"/>
          <w:lang w:val="en-US"/>
        </w:rPr>
        <w:t>mAbs</w:t>
      </w:r>
      <w:proofErr w:type="spellEnd"/>
      <w:r w:rsidRPr="00DA0327">
        <w:rPr>
          <w:rFonts w:asciiTheme="minorHAnsi" w:hAnsiTheme="minorHAnsi" w:cstheme="minorHAnsi"/>
          <w:color w:val="000000"/>
          <w:lang w:val="en-US"/>
        </w:rPr>
        <w:t xml:space="preserve"> and to determine the Hertumig phase I regimen, as shown in Figure 2. Breast carcinoma cell lines (SK-BR-3, MCF7) were used for preclinical in vivo studies. Per guidelines, in vivo studies were performed in nude mice breast cancer xenograft models (rodent) and rhesus monkeys (non-rodent). All preclinical safety studies were conducted with appropriate guidelines and in compliance with GLP.</w:t>
      </w:r>
    </w:p>
    <w:p w14:paraId="1DB554F9" w14:textId="230AD7B9" w:rsidR="00DA0327" w:rsidRPr="00126EE2" w:rsidRDefault="004C2BD9" w:rsidP="00DA0327">
      <w:pPr>
        <w:pStyle w:val="NormalWeb"/>
        <w:spacing w:after="0" w:line="480" w:lineRule="auto"/>
        <w:jc w:val="both"/>
        <w:rPr>
          <w:rFonts w:asciiTheme="minorHAnsi" w:hAnsiTheme="minorHAnsi" w:cstheme="minorHAnsi"/>
          <w:color w:val="000000"/>
          <w:lang w:val="en-US"/>
        </w:rPr>
      </w:pPr>
      <w:r w:rsidRPr="00DA0327">
        <w:rPr>
          <w:rFonts w:cstheme="minorHAnsi"/>
          <w:color w:val="2F5496" w:themeColor="accent1" w:themeShade="BF"/>
          <w:shd w:val="clear" w:color="auto" w:fill="FFFFFF"/>
          <w:lang w:val="en-US"/>
        </w:rPr>
        <w:lastRenderedPageBreak/>
        <w:drawing>
          <wp:anchor distT="0" distB="0" distL="114300" distR="114300" simplePos="0" relativeHeight="251662336" behindDoc="0" locked="0" layoutInCell="1" allowOverlap="1" wp14:anchorId="1351155E" wp14:editId="7202A653">
            <wp:simplePos x="0" y="0"/>
            <wp:positionH relativeFrom="margin">
              <wp:align>left</wp:align>
            </wp:positionH>
            <wp:positionV relativeFrom="paragraph">
              <wp:posOffset>548640</wp:posOffset>
            </wp:positionV>
            <wp:extent cx="5859780" cy="307213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2869"/>
                    <a:stretch/>
                  </pic:blipFill>
                  <pic:spPr bwMode="auto">
                    <a:xfrm>
                      <a:off x="0" y="0"/>
                      <a:ext cx="5859780" cy="307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1F8AAB" w14:textId="26DDB8E4" w:rsidR="00DA0327" w:rsidRPr="00DA0327" w:rsidRDefault="00DA0327" w:rsidP="004C2BD9">
      <w:pPr>
        <w:spacing w:line="240" w:lineRule="auto"/>
        <w:jc w:val="both"/>
        <w:rPr>
          <w:rFonts w:cstheme="minorHAnsi"/>
          <w:color w:val="2F5496" w:themeColor="accent1" w:themeShade="BF"/>
          <w:sz w:val="24"/>
          <w:szCs w:val="24"/>
          <w:shd w:val="clear" w:color="auto" w:fill="FFFFFF"/>
        </w:rPr>
      </w:pPr>
      <w:r w:rsidRPr="00DA0327">
        <w:rPr>
          <w:rFonts w:cstheme="minorHAnsi"/>
          <w:color w:val="2F5496" w:themeColor="accent1" w:themeShade="BF"/>
          <w:sz w:val="24"/>
          <w:szCs w:val="24"/>
          <w:shd w:val="clear" w:color="auto" w:fill="FFFFFF"/>
        </w:rPr>
        <w:t xml:space="preserve">Figure 2 – Preclinical studies in the drug development </w:t>
      </w:r>
      <w:r w:rsidRPr="004C2BD9">
        <w:rPr>
          <w:rFonts w:cstheme="minorHAnsi"/>
          <w:color w:val="2F5496" w:themeColor="accent1" w:themeShade="BF"/>
          <w:sz w:val="24"/>
          <w:szCs w:val="24"/>
          <w:shd w:val="clear" w:color="auto" w:fill="FFFFFF"/>
        </w:rPr>
        <w:t xml:space="preserve">pipeline. Figure modified </w:t>
      </w:r>
      <w:r w:rsidRPr="004C2BD9">
        <w:rPr>
          <w:rFonts w:cstheme="minorHAnsi"/>
          <w:color w:val="2F5496" w:themeColor="accent1" w:themeShade="BF"/>
          <w:sz w:val="24"/>
          <w:szCs w:val="24"/>
          <w:shd w:val="clear" w:color="auto" w:fill="FFFFFF"/>
        </w:rPr>
        <w:fldChar w:fldCharType="begin" w:fldLock="1"/>
      </w:r>
      <w:r w:rsidRPr="004C2BD9">
        <w:rPr>
          <w:rFonts w:cstheme="minorHAnsi"/>
          <w:color w:val="2F5496" w:themeColor="accent1" w:themeShade="BF"/>
          <w:sz w:val="24"/>
          <w:szCs w:val="24"/>
          <w:shd w:val="clear" w:color="auto" w:fill="FFFFFF"/>
        </w:rPr>
        <w:instrText>ADDIN CSL_CITATION {"citationItems":[{"id":"ITEM-1","itemData":{"DOI":"10.1590/1414-431X20165646","ISSN":"1414-431X","PMID":"27982281","abstract":"The process of drug development involves non-clinical and clinical studies. Non-clinical studies are conducted using different protocols including animal studies, which mostly follow the Good Laboratory Practice (GLP) regulations. During the early pre-clinical development process, also known as Go/No-Go decision, a drug candidate needs to pass through several steps, such as determination of drug availability (studies on pharmacokinetics), absorption, distribution, metabolism and elimination (ADME) and preliminary studies that aim to investigate the candidate safety including genotoxicity, mutagenicity, safety pharmacology and general toxicology. These preliminary studies generally do not need to comply with GLP regulations. These studies aim at investigating the drug safety to obtain the first information about its tolerability in different systems that are relevant for further decisions. There are, however, other studies that should be performed according to GLP standards and are mandatory for the safe exposure to humans, such as repeated dose toxicity, genotoxicity and safety pharmacology. These studies must be conducted before the Investigational New Drug (IND) application. The package of non-clinical studies should cover all information needed for the safe transposition of drugs from animals to humans, generally based on the non-observed adverse effect level (NOAEL) obtained from general toxicity studies. After IND approval, other GLP experiments for the evaluation of chronic toxicity, reproductive and developmental toxicity, carcinogenicity and genotoxicity, are carried out during the clinical phase of development. However, the necessity of performing such studies depends on the new drug clinical application purpose.","author":[{"dropping-particle":"","family":"Andrade","given":"E. L.","non-dropping-particle":"","parse-names":false,"suffix":""},{"dropping-particle":"","family":"Bento","given":"A. F.","non-dropping-particle":"","parse-names":false,"suffix":""},{"dropping-particle":"","family":"Cavalli","given":"J.","non-dropping-particle":"","parse-names":false,"suffix":""},{"dropping-particle":"","family":"Oliveira","given":"S. K.","non-dropping-particle":"","parse-names":false,"suffix":""},{"dropping-particle":"","family":"Schwanke","given":"R. C.","non-dropping-particle":"","parse-names":false,"suffix":""},{"dropping-particle":"","family":"Siqueira","given":"J. M.","non-dropping-particle":"","parse-names":false,"suffix":""},{"dropping-particle":"","family":"Freitas","given":"C. S.","non-dropping-particle":"","parse-names":false,"suffix":""},{"dropping-particle":"","family":"Marcon","given":"R.","non-dropping-particle":"","parse-names":false,"suffix":""},{"dropping-particle":"","family":"Calixto","given":"J. B.","non-dropping-particle":"","parse-names":false,"suffix":""}],"container-title":"Brazilian journal of medical and biological research = Revista brasileira de pesquisas medicas e biologicas","id":"ITEM-1","issue":"12","issued":{"date-parts":[["2016","12","12"]]},"page":"e5646","publisher":"Braz J Med Biol Res","title":"Non-clinical studies in the process of new drug development - Part II: Good laboratory practice, metabolism, pharmacokinetics, safety and dose translation to clinical studies","type":"article-journal","volume":"49"},"uris":["http://www.mendeley.com/documents/?uuid=afc8a270-a2e1-3b3e-bcc4-ea80eff7841e"]}],"mendeley":{"formattedCitation":"(Andrade et al., 2016)","plainTextFormattedCitation":"(Andrade et al., 2016)"},"properties":{"noteIndex":0},"schema":"https://github.com/citation-style-language/schema/raw/master/csl-citation.json"}</w:instrText>
      </w:r>
      <w:r w:rsidRPr="004C2BD9">
        <w:rPr>
          <w:rFonts w:cstheme="minorHAnsi"/>
          <w:color w:val="2F5496" w:themeColor="accent1" w:themeShade="BF"/>
          <w:sz w:val="24"/>
          <w:szCs w:val="24"/>
          <w:shd w:val="clear" w:color="auto" w:fill="FFFFFF"/>
        </w:rPr>
        <w:fldChar w:fldCharType="separate"/>
      </w:r>
      <w:r w:rsidRPr="004C2BD9">
        <w:rPr>
          <w:rFonts w:cstheme="minorHAnsi"/>
          <w:noProof/>
          <w:color w:val="2F5496" w:themeColor="accent1" w:themeShade="BF"/>
          <w:sz w:val="24"/>
          <w:szCs w:val="24"/>
          <w:shd w:val="clear" w:color="auto" w:fill="FFFFFF"/>
        </w:rPr>
        <w:t>(Andrade et al., 2016)</w:t>
      </w:r>
      <w:r w:rsidRPr="004C2BD9">
        <w:rPr>
          <w:rFonts w:cstheme="minorHAnsi"/>
          <w:color w:val="2F5496" w:themeColor="accent1" w:themeShade="BF"/>
          <w:sz w:val="24"/>
          <w:szCs w:val="24"/>
          <w:shd w:val="clear" w:color="auto" w:fill="FFFFFF"/>
        </w:rPr>
        <w:fldChar w:fldCharType="end"/>
      </w:r>
    </w:p>
    <w:p w14:paraId="015830A6" w14:textId="77777777" w:rsidR="00DA0327" w:rsidRDefault="00DA0327" w:rsidP="00DA0327">
      <w:pPr>
        <w:pStyle w:val="ListParagraph"/>
        <w:autoSpaceDE w:val="0"/>
        <w:autoSpaceDN w:val="0"/>
        <w:adjustRightInd w:val="0"/>
        <w:spacing w:after="0" w:line="240" w:lineRule="auto"/>
        <w:rPr>
          <w:rFonts w:cstheme="minorHAnsi"/>
          <w:iCs/>
          <w:sz w:val="24"/>
          <w:szCs w:val="24"/>
        </w:rPr>
      </w:pPr>
      <w:bookmarkStart w:id="5" w:name="_Hlk116571456"/>
      <w:bookmarkEnd w:id="4"/>
    </w:p>
    <w:p w14:paraId="7EA42891" w14:textId="023333D5" w:rsidR="00DA0327" w:rsidRPr="00126EE2" w:rsidRDefault="00DA0327" w:rsidP="00DA0327">
      <w:pPr>
        <w:pStyle w:val="ListParagraph"/>
        <w:numPr>
          <w:ilvl w:val="0"/>
          <w:numId w:val="7"/>
        </w:numPr>
        <w:autoSpaceDE w:val="0"/>
        <w:autoSpaceDN w:val="0"/>
        <w:adjustRightInd w:val="0"/>
        <w:spacing w:after="0" w:line="240" w:lineRule="auto"/>
        <w:rPr>
          <w:rFonts w:cstheme="minorHAnsi"/>
          <w:iCs/>
          <w:sz w:val="24"/>
          <w:szCs w:val="24"/>
        </w:rPr>
      </w:pPr>
      <w:r w:rsidRPr="00126EE2">
        <w:rPr>
          <w:rFonts w:cstheme="minorHAnsi"/>
          <w:iCs/>
          <w:sz w:val="24"/>
          <w:szCs w:val="24"/>
        </w:rPr>
        <w:t xml:space="preserve">Combinational Study - </w:t>
      </w:r>
    </w:p>
    <w:p w14:paraId="7AB548DE" w14:textId="77777777" w:rsidR="00DA0327" w:rsidRPr="00126EE2" w:rsidRDefault="00DA0327" w:rsidP="00DA0327">
      <w:pPr>
        <w:autoSpaceDE w:val="0"/>
        <w:autoSpaceDN w:val="0"/>
        <w:adjustRightInd w:val="0"/>
        <w:spacing w:after="0" w:line="240" w:lineRule="auto"/>
        <w:rPr>
          <w:rFonts w:cstheme="minorHAnsi"/>
          <w:iCs/>
          <w:sz w:val="24"/>
          <w:szCs w:val="24"/>
        </w:rPr>
      </w:pPr>
    </w:p>
    <w:p w14:paraId="17B97924" w14:textId="77777777" w:rsidR="00DA0327" w:rsidRPr="00126EE2" w:rsidRDefault="00DA0327" w:rsidP="00DA0327">
      <w:pPr>
        <w:spacing w:line="480" w:lineRule="auto"/>
        <w:jc w:val="both"/>
        <w:rPr>
          <w:rFonts w:cstheme="minorHAnsi"/>
          <w:iCs/>
          <w:sz w:val="24"/>
          <w:szCs w:val="24"/>
        </w:rPr>
      </w:pPr>
      <w:r w:rsidRPr="00126EE2">
        <w:rPr>
          <w:rFonts w:cstheme="minorHAnsi"/>
          <w:iCs/>
          <w:sz w:val="24"/>
          <w:szCs w:val="24"/>
        </w:rPr>
        <w:t xml:space="preserve">ICH M3 R2, ICH S9, and guidelines for fixed combination medicinal products suggest combination studies are usually not warranted for oncology drugs unless there is a significant toxicological concern. However, preclinical combination study enhances the confidence of combinational clinical trial. In addition to patient safety, the combined efficacy of the drug combination was also evaluated in the studies. Therefore, preclinical general toxicity and pharmacology studies were systematically designed for Hertumig combined therapy. Existing </w:t>
      </w:r>
      <w:proofErr w:type="spellStart"/>
      <w:r w:rsidRPr="00126EE2">
        <w:rPr>
          <w:rFonts w:cstheme="minorHAnsi"/>
          <w:iCs/>
          <w:sz w:val="24"/>
          <w:szCs w:val="24"/>
        </w:rPr>
        <w:t>mAbs</w:t>
      </w:r>
      <w:proofErr w:type="spellEnd"/>
      <w:r w:rsidRPr="00126EE2">
        <w:rPr>
          <w:rFonts w:cstheme="minorHAnsi"/>
          <w:iCs/>
          <w:sz w:val="24"/>
          <w:szCs w:val="24"/>
        </w:rPr>
        <w:t xml:space="preserve"> Herceptin® and Perjeta® and chemotherapeutic with Taxotere® were selected to evaluate the efficacy of the Hertumig combined therapy.</w:t>
      </w:r>
    </w:p>
    <w:p w14:paraId="416923BC" w14:textId="77777777" w:rsidR="00DA0327" w:rsidRPr="00126EE2" w:rsidRDefault="00DA0327" w:rsidP="00DA0327">
      <w:pPr>
        <w:spacing w:line="480" w:lineRule="auto"/>
        <w:jc w:val="both"/>
        <w:rPr>
          <w:rFonts w:cstheme="minorHAnsi"/>
          <w:iCs/>
          <w:sz w:val="24"/>
          <w:szCs w:val="24"/>
        </w:rPr>
      </w:pPr>
      <w:r w:rsidRPr="00126EE2">
        <w:rPr>
          <w:rFonts w:cstheme="minorHAnsi"/>
          <w:iCs/>
          <w:sz w:val="24"/>
          <w:szCs w:val="24"/>
        </w:rPr>
        <w:t xml:space="preserve">In vitro combination studies were conducted in SK-BR-3, HER2-transfected MCF7, and BT-474 cell lines. Molecular assays were developed to analyze the antitumor and antiproliferative activity of Hertumig (HT1 to HT15). In vitro cytokine stimulation assay was performed to </w:t>
      </w:r>
      <w:r w:rsidRPr="00126EE2">
        <w:rPr>
          <w:rFonts w:cstheme="minorHAnsi"/>
          <w:iCs/>
          <w:sz w:val="24"/>
          <w:szCs w:val="24"/>
        </w:rPr>
        <w:lastRenderedPageBreak/>
        <w:t xml:space="preserve">assess immune stimulation in the case of the mAb combination. In vivo combinational studies were performed for 90 days in the rhesus monkey that evaluated efficacy with safety endpoints. </w:t>
      </w:r>
    </w:p>
    <w:p w14:paraId="798CABF9" w14:textId="77777777" w:rsidR="00DA0327" w:rsidRPr="00126EE2" w:rsidRDefault="00DA0327" w:rsidP="00DA0327">
      <w:pPr>
        <w:spacing w:line="480" w:lineRule="auto"/>
        <w:jc w:val="both"/>
        <w:rPr>
          <w:rFonts w:cstheme="minorHAnsi"/>
          <w:iCs/>
          <w:sz w:val="24"/>
          <w:szCs w:val="24"/>
        </w:rPr>
      </w:pPr>
      <w:r w:rsidRPr="00126EE2">
        <w:rPr>
          <w:rFonts w:cstheme="minorHAnsi"/>
          <w:iCs/>
          <w:sz w:val="24"/>
          <w:szCs w:val="24"/>
        </w:rPr>
        <w:t xml:space="preserve">In combination studies, synergistic effects were observed in cell culture with Herceptin® and Perjeta®, whereas a combination with Taxotere® has shown additive interactions. Combinations with Perjeta® and Taxotere® were most effective </w:t>
      </w:r>
      <w:r w:rsidRPr="00126EE2">
        <w:rPr>
          <w:rFonts w:cstheme="minorHAnsi"/>
          <w:i/>
          <w:sz w:val="24"/>
          <w:szCs w:val="24"/>
        </w:rPr>
        <w:t>in vivo</w:t>
      </w:r>
      <w:r w:rsidRPr="00126EE2">
        <w:rPr>
          <w:rFonts w:cstheme="minorHAnsi"/>
          <w:iCs/>
          <w:sz w:val="24"/>
          <w:szCs w:val="24"/>
        </w:rPr>
        <w:t xml:space="preserve">. The combination with Taxotere® has the most significant tumor regression in vivo with the BT-474 cell line. </w:t>
      </w:r>
    </w:p>
    <w:p w14:paraId="24AE7701" w14:textId="77777777" w:rsidR="00DA0327" w:rsidRPr="00126EE2" w:rsidRDefault="00DA0327" w:rsidP="00DA0327">
      <w:pPr>
        <w:pStyle w:val="ListParagraph"/>
        <w:numPr>
          <w:ilvl w:val="0"/>
          <w:numId w:val="7"/>
        </w:numPr>
        <w:spacing w:line="480" w:lineRule="auto"/>
        <w:jc w:val="both"/>
        <w:rPr>
          <w:rFonts w:cstheme="minorHAnsi"/>
          <w:iCs/>
          <w:sz w:val="24"/>
          <w:szCs w:val="24"/>
        </w:rPr>
      </w:pPr>
      <w:r w:rsidRPr="00126EE2">
        <w:rPr>
          <w:rFonts w:cstheme="minorHAnsi"/>
          <w:iCs/>
          <w:sz w:val="24"/>
          <w:szCs w:val="24"/>
        </w:rPr>
        <w:t xml:space="preserve">Genotoxicity – </w:t>
      </w:r>
    </w:p>
    <w:p w14:paraId="54182B77" w14:textId="70F8CD6C" w:rsidR="00DA0327" w:rsidRPr="00126EE2" w:rsidRDefault="007E1B52" w:rsidP="00DA0327">
      <w:pPr>
        <w:spacing w:line="480" w:lineRule="auto"/>
        <w:jc w:val="both"/>
        <w:rPr>
          <w:rFonts w:cs="Segoe UI"/>
          <w:color w:val="212121"/>
          <w:sz w:val="24"/>
          <w:szCs w:val="24"/>
          <w:shd w:val="clear" w:color="auto" w:fill="FFFFFF"/>
        </w:rPr>
      </w:pPr>
      <w:r>
        <w:rPr>
          <w:rFonts w:cstheme="minorHAnsi"/>
          <w:iCs/>
          <w:sz w:val="24"/>
          <w:szCs w:val="24"/>
        </w:rPr>
        <w:t>As per guidelines</w:t>
      </w:r>
      <w:r>
        <w:rPr>
          <w:rFonts w:cstheme="minorHAnsi"/>
          <w:iCs/>
          <w:sz w:val="24"/>
          <w:szCs w:val="24"/>
        </w:rPr>
        <w:t xml:space="preserve"> ICH M3 (R2) and ICH S9,</w:t>
      </w:r>
      <w:r>
        <w:rPr>
          <w:rFonts w:cstheme="minorHAnsi"/>
          <w:iCs/>
          <w:sz w:val="24"/>
          <w:szCs w:val="24"/>
        </w:rPr>
        <w:t xml:space="preserve"> for oncology studies genotoxicity not warranted by health regulatory</w:t>
      </w:r>
      <w:r>
        <w:rPr>
          <w:rFonts w:cstheme="minorHAnsi"/>
          <w:iCs/>
          <w:sz w:val="24"/>
          <w:szCs w:val="24"/>
        </w:rPr>
        <w:t xml:space="preserve"> unless any significant health concerns. </w:t>
      </w:r>
      <w:r w:rsidR="00DA0327" w:rsidRPr="00126EE2">
        <w:rPr>
          <w:rFonts w:cstheme="minorHAnsi"/>
          <w:iCs/>
          <w:sz w:val="24"/>
          <w:szCs w:val="24"/>
        </w:rPr>
        <w:t>Like combination therapy, Antibody-drug conjugates (ADC) are proven more efficient for treating HER2-overexpressing breast cancer.</w:t>
      </w:r>
      <w:r>
        <w:rPr>
          <w:rFonts w:cstheme="minorHAnsi"/>
          <w:iCs/>
          <w:sz w:val="24"/>
          <w:szCs w:val="24"/>
        </w:rPr>
        <w:t xml:space="preserve"> </w:t>
      </w:r>
      <w:r w:rsidR="00DA0327" w:rsidRPr="00126EE2">
        <w:rPr>
          <w:rFonts w:cstheme="minorHAnsi"/>
          <w:iCs/>
          <w:sz w:val="24"/>
          <w:szCs w:val="24"/>
        </w:rPr>
        <w:t>A classic example of ADC is Herceptin/</w:t>
      </w:r>
      <w:r w:rsidR="00DA0327" w:rsidRPr="00126EE2">
        <w:rPr>
          <w:rFonts w:cs="Segoe UI"/>
          <w:color w:val="212121"/>
          <w:sz w:val="24"/>
          <w:szCs w:val="24"/>
          <w:shd w:val="clear" w:color="auto" w:fill="FFFFFF"/>
        </w:rPr>
        <w:t>Trastuzumab emtansine (</w:t>
      </w:r>
      <w:proofErr w:type="spellStart"/>
      <w:r w:rsidR="00DA0327" w:rsidRPr="00126EE2">
        <w:rPr>
          <w:rFonts w:cs="Segoe UI"/>
          <w:color w:val="212121"/>
          <w:sz w:val="24"/>
          <w:szCs w:val="24"/>
          <w:shd w:val="clear" w:color="auto" w:fill="FFFFFF"/>
        </w:rPr>
        <w:t>Kadcyla</w:t>
      </w:r>
      <w:proofErr w:type="spellEnd"/>
      <w:r w:rsidR="00DA0327" w:rsidRPr="00126EE2">
        <w:rPr>
          <w:rFonts w:cs="Segoe UI"/>
          <w:color w:val="212121"/>
          <w:sz w:val="24"/>
          <w:szCs w:val="24"/>
          <w:shd w:val="clear" w:color="auto" w:fill="FFFFFF"/>
        </w:rPr>
        <w:t>™), effectively used in the HER</w:t>
      </w:r>
      <w:r w:rsidR="00DA0327" w:rsidRPr="00126EE2">
        <w:rPr>
          <w:rFonts w:cstheme="minorHAnsi"/>
          <w:iCs/>
          <w:sz w:val="24"/>
          <w:szCs w:val="24"/>
        </w:rPr>
        <w:t xml:space="preserve">2-positive </w:t>
      </w:r>
      <w:r w:rsidR="00DA0327" w:rsidRPr="00126EE2">
        <w:rPr>
          <w:rFonts w:cs="Segoe UI"/>
          <w:color w:val="212121"/>
          <w:sz w:val="24"/>
          <w:szCs w:val="24"/>
          <w:shd w:val="clear" w:color="auto" w:fill="FFFFFF"/>
        </w:rPr>
        <w:t xml:space="preserve">breast cancer regimen. Genotoxicity studies for Hertumig alone and conjugated to DM1 were performed. DM1 is a cytotoxic derivative of </w:t>
      </w:r>
      <w:proofErr w:type="spellStart"/>
      <w:r w:rsidR="00DA0327" w:rsidRPr="00126EE2">
        <w:rPr>
          <w:rFonts w:cs="Segoe UI"/>
          <w:color w:val="212121"/>
          <w:sz w:val="24"/>
          <w:szCs w:val="24"/>
          <w:shd w:val="clear" w:color="auto" w:fill="FFFFFF"/>
        </w:rPr>
        <w:t>maytansine</w:t>
      </w:r>
      <w:proofErr w:type="spellEnd"/>
      <w:r w:rsidR="00DA0327" w:rsidRPr="00126EE2">
        <w:rPr>
          <w:rFonts w:cs="Segoe UI"/>
          <w:color w:val="212121"/>
          <w:sz w:val="24"/>
          <w:szCs w:val="24"/>
          <w:shd w:val="clear" w:color="auto" w:fill="FFFFFF"/>
        </w:rPr>
        <w:t xml:space="preserve">, a highly potent microtubule inhibitory drug. Genotoxicity for Hertumig was evaluated under the ICH S6(R1) guideline (‘Preclinical Safety Evaluation of Biotechnology-Derived Pharmaceuticals’ 1997, later complemented by an addendum ICH S6 R1, 2011)  </w:t>
      </w:r>
    </w:p>
    <w:p w14:paraId="3E4866B9" w14:textId="13ED8CDE" w:rsidR="00DA0327" w:rsidRDefault="00DA0327" w:rsidP="00DA0327">
      <w:pPr>
        <w:spacing w:line="480" w:lineRule="auto"/>
        <w:jc w:val="both"/>
        <w:rPr>
          <w:rFonts w:cstheme="minorHAnsi"/>
          <w:iCs/>
          <w:sz w:val="24"/>
          <w:szCs w:val="24"/>
        </w:rPr>
      </w:pPr>
      <w:r w:rsidRPr="00126EE2">
        <w:rPr>
          <w:rFonts w:cstheme="minorHAnsi"/>
          <w:iCs/>
          <w:sz w:val="24"/>
          <w:szCs w:val="24"/>
        </w:rPr>
        <w:t>The genotoxicity of Hertumig (HT1 to HT15) has been investigated by</w:t>
      </w:r>
      <w:r w:rsidRPr="00126EE2">
        <w:rPr>
          <w:rFonts w:cstheme="minorHAnsi"/>
          <w:i/>
          <w:sz w:val="24"/>
          <w:szCs w:val="24"/>
        </w:rPr>
        <w:t xml:space="preserve"> in vitro </w:t>
      </w:r>
      <w:r w:rsidRPr="00126EE2">
        <w:rPr>
          <w:rFonts w:cstheme="minorHAnsi"/>
          <w:iCs/>
          <w:sz w:val="24"/>
          <w:szCs w:val="24"/>
        </w:rPr>
        <w:t>and</w:t>
      </w:r>
      <w:r w:rsidRPr="00126EE2">
        <w:rPr>
          <w:rFonts w:cstheme="minorHAnsi"/>
          <w:i/>
          <w:sz w:val="24"/>
          <w:szCs w:val="24"/>
        </w:rPr>
        <w:t xml:space="preserve"> in vivo </w:t>
      </w:r>
      <w:r w:rsidRPr="00126EE2">
        <w:rPr>
          <w:rFonts w:cstheme="minorHAnsi"/>
          <w:iCs/>
          <w:sz w:val="24"/>
          <w:szCs w:val="24"/>
        </w:rPr>
        <w:t xml:space="preserve">preclinical studies. Hertumig (HT1 to HT15) concentrations up to 5 mg/ml were used in both </w:t>
      </w:r>
      <w:r w:rsidRPr="00126EE2">
        <w:rPr>
          <w:rFonts w:cstheme="minorHAnsi"/>
          <w:i/>
          <w:sz w:val="24"/>
          <w:szCs w:val="24"/>
        </w:rPr>
        <w:t>in vitro and in vivo</w:t>
      </w:r>
      <w:r w:rsidRPr="00126EE2">
        <w:rPr>
          <w:rFonts w:cstheme="minorHAnsi"/>
          <w:iCs/>
          <w:sz w:val="24"/>
          <w:szCs w:val="24"/>
        </w:rPr>
        <w:t xml:space="preserve"> assays. No significant genotoxic effects were observed for Hertumig alone, whereas conjugation to DM1 makes it genotoxic.</w:t>
      </w:r>
    </w:p>
    <w:p w14:paraId="1B41D207" w14:textId="77777777" w:rsidR="00C739A7" w:rsidRPr="00126EE2" w:rsidRDefault="00C739A7" w:rsidP="00DA0327">
      <w:pPr>
        <w:spacing w:line="480" w:lineRule="auto"/>
        <w:jc w:val="both"/>
        <w:rPr>
          <w:rFonts w:cstheme="minorHAnsi"/>
          <w:iCs/>
          <w:sz w:val="24"/>
          <w:szCs w:val="24"/>
        </w:rPr>
      </w:pPr>
    </w:p>
    <w:p w14:paraId="7A998FA9" w14:textId="77777777" w:rsidR="00DA0327" w:rsidRPr="00126EE2" w:rsidRDefault="00DA0327" w:rsidP="00DA0327">
      <w:pPr>
        <w:spacing w:line="240" w:lineRule="auto"/>
        <w:jc w:val="both"/>
        <w:rPr>
          <w:rFonts w:cstheme="minorHAnsi"/>
          <w:iCs/>
          <w:sz w:val="24"/>
          <w:szCs w:val="24"/>
        </w:rPr>
      </w:pPr>
      <w:r w:rsidRPr="00126EE2">
        <w:rPr>
          <w:rFonts w:cstheme="minorHAnsi"/>
          <w:i/>
          <w:sz w:val="24"/>
          <w:szCs w:val="24"/>
        </w:rPr>
        <w:lastRenderedPageBreak/>
        <w:t>In vitro</w:t>
      </w:r>
      <w:r w:rsidRPr="00126EE2">
        <w:rPr>
          <w:rFonts w:cstheme="minorHAnsi"/>
          <w:iCs/>
          <w:sz w:val="24"/>
          <w:szCs w:val="24"/>
        </w:rPr>
        <w:t xml:space="preserve"> studies:</w:t>
      </w:r>
    </w:p>
    <w:p w14:paraId="70293908" w14:textId="77777777" w:rsidR="00DA0327" w:rsidRPr="00126EE2" w:rsidRDefault="00DA0327" w:rsidP="007E1B52">
      <w:pPr>
        <w:spacing w:line="276" w:lineRule="auto"/>
        <w:jc w:val="both"/>
        <w:rPr>
          <w:rFonts w:cstheme="minorHAnsi"/>
          <w:iCs/>
          <w:sz w:val="24"/>
          <w:szCs w:val="24"/>
        </w:rPr>
      </w:pPr>
      <w:r w:rsidRPr="00126EE2">
        <w:rPr>
          <w:rFonts w:cstheme="minorHAnsi"/>
          <w:iCs/>
          <w:sz w:val="24"/>
          <w:szCs w:val="24"/>
        </w:rPr>
        <w:t xml:space="preserve">1. Ames test in </w:t>
      </w:r>
      <w:r w:rsidRPr="00D2175A">
        <w:rPr>
          <w:rFonts w:cstheme="minorHAnsi"/>
          <w:i/>
          <w:sz w:val="24"/>
          <w:szCs w:val="24"/>
        </w:rPr>
        <w:t>Salmonella typhimurium</w:t>
      </w:r>
      <w:r w:rsidRPr="00126EE2">
        <w:rPr>
          <w:rFonts w:cstheme="minorHAnsi"/>
          <w:iCs/>
          <w:sz w:val="24"/>
          <w:szCs w:val="24"/>
        </w:rPr>
        <w:t xml:space="preserve"> (strains TA 98, 100, 1535, and 1537), </w:t>
      </w:r>
    </w:p>
    <w:p w14:paraId="787DE4CF" w14:textId="77777777" w:rsidR="00DA0327" w:rsidRPr="00126EE2" w:rsidRDefault="00DA0327" w:rsidP="007E1B52">
      <w:pPr>
        <w:spacing w:line="276" w:lineRule="auto"/>
        <w:jc w:val="both"/>
        <w:rPr>
          <w:rFonts w:cstheme="minorHAnsi"/>
          <w:iCs/>
          <w:sz w:val="24"/>
          <w:szCs w:val="24"/>
        </w:rPr>
      </w:pPr>
      <w:r w:rsidRPr="00126EE2">
        <w:rPr>
          <w:rFonts w:cstheme="minorHAnsi"/>
          <w:iCs/>
          <w:sz w:val="24"/>
          <w:szCs w:val="24"/>
        </w:rPr>
        <w:t xml:space="preserve">2. </w:t>
      </w:r>
      <w:r w:rsidRPr="00D2175A">
        <w:rPr>
          <w:rFonts w:cstheme="minorHAnsi"/>
          <w:i/>
          <w:sz w:val="24"/>
          <w:szCs w:val="24"/>
        </w:rPr>
        <w:t>E. coli</w:t>
      </w:r>
      <w:r w:rsidRPr="00126EE2">
        <w:rPr>
          <w:rFonts w:cstheme="minorHAnsi"/>
          <w:iCs/>
          <w:sz w:val="24"/>
          <w:szCs w:val="24"/>
        </w:rPr>
        <w:t xml:space="preserve"> assays (strains WP2pKM101 and WP2uvrApKM101), </w:t>
      </w:r>
    </w:p>
    <w:p w14:paraId="10BFD19D" w14:textId="77777777" w:rsidR="00DA0327" w:rsidRPr="00126EE2" w:rsidRDefault="00DA0327" w:rsidP="007E1B52">
      <w:pPr>
        <w:spacing w:line="276" w:lineRule="auto"/>
        <w:jc w:val="both"/>
        <w:rPr>
          <w:rFonts w:cstheme="minorHAnsi"/>
          <w:iCs/>
          <w:sz w:val="24"/>
          <w:szCs w:val="24"/>
        </w:rPr>
      </w:pPr>
      <w:r w:rsidRPr="00126EE2">
        <w:rPr>
          <w:rFonts w:cstheme="minorHAnsi"/>
          <w:iCs/>
          <w:sz w:val="24"/>
          <w:szCs w:val="24"/>
        </w:rPr>
        <w:t xml:space="preserve">3. Chromosome aberration assay in human peripheral lymphocytes. </w:t>
      </w:r>
    </w:p>
    <w:p w14:paraId="29D9239E" w14:textId="77777777" w:rsidR="00DA0327" w:rsidRPr="00126EE2" w:rsidRDefault="00DA0327" w:rsidP="00DA0327">
      <w:pPr>
        <w:spacing w:line="480" w:lineRule="auto"/>
        <w:jc w:val="both"/>
        <w:rPr>
          <w:rFonts w:cstheme="minorHAnsi"/>
          <w:iCs/>
          <w:sz w:val="24"/>
          <w:szCs w:val="24"/>
        </w:rPr>
      </w:pPr>
      <w:r w:rsidRPr="00126EE2">
        <w:rPr>
          <w:rFonts w:cstheme="minorHAnsi"/>
          <w:iCs/>
          <w:sz w:val="24"/>
          <w:szCs w:val="24"/>
        </w:rPr>
        <w:t>In vivo test was a mouse micronucleus assay involving a single iv injection of Hertumig (HT1 to HT15) at 29.5, 59, and 118 mg/kg.</w:t>
      </w:r>
    </w:p>
    <w:p w14:paraId="66869983" w14:textId="77777777" w:rsidR="00DA0327" w:rsidRPr="00126EE2" w:rsidRDefault="00DA0327" w:rsidP="00DA0327">
      <w:pPr>
        <w:pStyle w:val="Heading2"/>
        <w:spacing w:line="480" w:lineRule="auto"/>
        <w:jc w:val="both"/>
        <w:rPr>
          <w:rFonts w:asciiTheme="minorHAnsi" w:hAnsiTheme="minorHAnsi" w:cstheme="minorHAnsi"/>
          <w:sz w:val="24"/>
          <w:szCs w:val="24"/>
        </w:rPr>
      </w:pPr>
      <w:r w:rsidRPr="00126EE2">
        <w:rPr>
          <w:rFonts w:asciiTheme="minorHAnsi" w:hAnsiTheme="minorHAnsi" w:cstheme="minorHAnsi"/>
          <w:sz w:val="24"/>
          <w:szCs w:val="24"/>
        </w:rPr>
        <w:t>Part B. Clinical Plan</w:t>
      </w:r>
    </w:p>
    <w:p w14:paraId="54BC33DF" w14:textId="77777777" w:rsidR="00DA0327" w:rsidRPr="00126EE2" w:rsidRDefault="00DA0327" w:rsidP="00DA0327">
      <w:pPr>
        <w:spacing w:line="480" w:lineRule="auto"/>
        <w:jc w:val="both"/>
        <w:rPr>
          <w:sz w:val="24"/>
          <w:szCs w:val="24"/>
        </w:rPr>
      </w:pPr>
      <w:r w:rsidRPr="00126EE2">
        <w:rPr>
          <w:sz w:val="24"/>
          <w:szCs w:val="24"/>
        </w:rPr>
        <w:t>Preclinical studies have demonstrated the efficacy and safety of Hertumig. A multifactorial preclinical study provides a stronger foundation for establishing phase I clinical trials in the Hertumig drug development program. Phase I clinical studies' main objectives are evaluating safety and tolerability, determining biomarkers, proof of concept, and the first human-safe dose. Further details about the trial are mentioned below -</w:t>
      </w:r>
    </w:p>
    <w:p w14:paraId="531ECBED"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Site - Heidelberg University Hospital, Germany. </w:t>
      </w:r>
    </w:p>
    <w:p w14:paraId="5F821BBC"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Duration - 15 months</w:t>
      </w:r>
    </w:p>
    <w:p w14:paraId="1D6EF6EE"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Cohort size - 24</w:t>
      </w:r>
    </w:p>
    <w:p w14:paraId="4503D710"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Inclusion criteria – </w:t>
      </w:r>
    </w:p>
    <w:p w14:paraId="3F5E490B" w14:textId="77777777" w:rsidR="00DA0327" w:rsidRPr="00126EE2" w:rsidRDefault="00DA0327" w:rsidP="00DA0327">
      <w:pPr>
        <w:pStyle w:val="ListParagraph"/>
        <w:numPr>
          <w:ilvl w:val="2"/>
          <w:numId w:val="9"/>
        </w:numPr>
        <w:spacing w:line="360" w:lineRule="auto"/>
        <w:jc w:val="both"/>
        <w:rPr>
          <w:sz w:val="24"/>
          <w:szCs w:val="24"/>
        </w:rPr>
      </w:pPr>
      <w:r w:rsidRPr="00126EE2">
        <w:rPr>
          <w:sz w:val="24"/>
          <w:szCs w:val="24"/>
        </w:rPr>
        <w:t xml:space="preserve">Advanced refractory HER2-positive metastatic breast cancer </w:t>
      </w:r>
    </w:p>
    <w:p w14:paraId="1F2508BC" w14:textId="77777777" w:rsidR="00DA0327" w:rsidRPr="00126EE2" w:rsidRDefault="00DA0327" w:rsidP="00DA0327">
      <w:pPr>
        <w:pStyle w:val="ListParagraph"/>
        <w:numPr>
          <w:ilvl w:val="2"/>
          <w:numId w:val="9"/>
        </w:numPr>
        <w:spacing w:line="360" w:lineRule="auto"/>
        <w:jc w:val="both"/>
        <w:rPr>
          <w:sz w:val="24"/>
          <w:szCs w:val="24"/>
        </w:rPr>
      </w:pPr>
      <w:r w:rsidRPr="00126EE2">
        <w:rPr>
          <w:sz w:val="24"/>
          <w:szCs w:val="24"/>
        </w:rPr>
        <w:t>HER2 overexpression at a 3+ level (determined by immunohistochemistry)</w:t>
      </w:r>
    </w:p>
    <w:p w14:paraId="6ACCD0B0" w14:textId="77777777" w:rsidR="00DA0327" w:rsidRPr="00126EE2" w:rsidRDefault="00DA0327" w:rsidP="00DA0327">
      <w:pPr>
        <w:pStyle w:val="ListParagraph"/>
        <w:numPr>
          <w:ilvl w:val="2"/>
          <w:numId w:val="9"/>
        </w:numPr>
        <w:spacing w:line="360" w:lineRule="auto"/>
        <w:jc w:val="both"/>
        <w:rPr>
          <w:sz w:val="24"/>
          <w:szCs w:val="24"/>
        </w:rPr>
      </w:pPr>
      <w:r w:rsidRPr="00126EE2">
        <w:rPr>
          <w:sz w:val="24"/>
          <w:szCs w:val="24"/>
        </w:rPr>
        <w:t xml:space="preserve">No chemotherapy treatment in the last 30 days  </w:t>
      </w:r>
    </w:p>
    <w:p w14:paraId="4E6ED936"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Exclusion criteria – </w:t>
      </w:r>
    </w:p>
    <w:p w14:paraId="0D8FCE67" w14:textId="77777777" w:rsidR="00DA0327" w:rsidRPr="00126EE2" w:rsidRDefault="00DA0327" w:rsidP="00DA0327">
      <w:pPr>
        <w:pStyle w:val="ListParagraph"/>
        <w:numPr>
          <w:ilvl w:val="0"/>
          <w:numId w:val="10"/>
        </w:numPr>
        <w:spacing w:line="360" w:lineRule="auto"/>
        <w:jc w:val="both"/>
        <w:rPr>
          <w:sz w:val="24"/>
          <w:szCs w:val="24"/>
        </w:rPr>
      </w:pPr>
      <w:r w:rsidRPr="00126EE2">
        <w:rPr>
          <w:sz w:val="24"/>
          <w:szCs w:val="24"/>
        </w:rPr>
        <w:t>History of adverse reactions, cardiac dysfunction, or symptomatic and asymptomatic cardiotoxicity, autoimmune diseases</w:t>
      </w:r>
    </w:p>
    <w:p w14:paraId="60EDFA77" w14:textId="77777777" w:rsidR="00DA0327" w:rsidRPr="00126EE2" w:rsidRDefault="00DA0327" w:rsidP="00DA0327">
      <w:pPr>
        <w:pStyle w:val="ListParagraph"/>
        <w:numPr>
          <w:ilvl w:val="0"/>
          <w:numId w:val="10"/>
        </w:numPr>
        <w:spacing w:line="360" w:lineRule="auto"/>
        <w:jc w:val="both"/>
        <w:rPr>
          <w:sz w:val="24"/>
          <w:szCs w:val="24"/>
        </w:rPr>
      </w:pPr>
      <w:r w:rsidRPr="00126EE2">
        <w:rPr>
          <w:sz w:val="24"/>
          <w:szCs w:val="24"/>
        </w:rPr>
        <w:t>Ongoing viral infection</w:t>
      </w:r>
    </w:p>
    <w:p w14:paraId="24AE9826" w14:textId="77777777" w:rsidR="00DA0327" w:rsidRPr="00126EE2" w:rsidRDefault="00DA0327" w:rsidP="00DA0327">
      <w:pPr>
        <w:pStyle w:val="ListParagraph"/>
        <w:numPr>
          <w:ilvl w:val="0"/>
          <w:numId w:val="10"/>
        </w:numPr>
        <w:spacing w:line="360" w:lineRule="auto"/>
        <w:jc w:val="both"/>
        <w:rPr>
          <w:sz w:val="24"/>
          <w:szCs w:val="24"/>
        </w:rPr>
      </w:pPr>
      <w:r w:rsidRPr="00126EE2">
        <w:rPr>
          <w:sz w:val="24"/>
          <w:szCs w:val="24"/>
        </w:rPr>
        <w:t xml:space="preserve">Pregnancy and breastfeeding </w:t>
      </w:r>
    </w:p>
    <w:p w14:paraId="590FB961"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Study design - two open labeled </w:t>
      </w:r>
    </w:p>
    <w:p w14:paraId="4B479455" w14:textId="77777777" w:rsidR="00DA0327" w:rsidRPr="00126EE2" w:rsidRDefault="00DA0327" w:rsidP="00DA0327">
      <w:pPr>
        <w:pStyle w:val="ListParagraph"/>
        <w:numPr>
          <w:ilvl w:val="0"/>
          <w:numId w:val="11"/>
        </w:numPr>
        <w:spacing w:line="360" w:lineRule="auto"/>
        <w:jc w:val="both"/>
        <w:rPr>
          <w:sz w:val="24"/>
          <w:szCs w:val="24"/>
        </w:rPr>
      </w:pPr>
      <w:r w:rsidRPr="00126EE2">
        <w:rPr>
          <w:sz w:val="24"/>
          <w:szCs w:val="24"/>
        </w:rPr>
        <w:t xml:space="preserve">Phase I </w:t>
      </w:r>
      <w:proofErr w:type="gramStart"/>
      <w:r w:rsidRPr="00126EE2">
        <w:rPr>
          <w:sz w:val="24"/>
          <w:szCs w:val="24"/>
        </w:rPr>
        <w:t>A</w:t>
      </w:r>
      <w:proofErr w:type="gramEnd"/>
      <w:r w:rsidRPr="00126EE2">
        <w:rPr>
          <w:sz w:val="24"/>
          <w:szCs w:val="24"/>
        </w:rPr>
        <w:t xml:space="preserve"> - SAD (single ascending dose)</w:t>
      </w:r>
    </w:p>
    <w:p w14:paraId="14124F68" w14:textId="77777777" w:rsidR="00DA0327" w:rsidRPr="00126EE2" w:rsidRDefault="00DA0327" w:rsidP="00DA0327">
      <w:pPr>
        <w:pStyle w:val="ListParagraph"/>
        <w:numPr>
          <w:ilvl w:val="0"/>
          <w:numId w:val="11"/>
        </w:numPr>
        <w:spacing w:line="360" w:lineRule="auto"/>
        <w:jc w:val="both"/>
        <w:rPr>
          <w:sz w:val="24"/>
          <w:szCs w:val="24"/>
        </w:rPr>
      </w:pPr>
      <w:r w:rsidRPr="00126EE2">
        <w:rPr>
          <w:sz w:val="24"/>
          <w:szCs w:val="24"/>
        </w:rPr>
        <w:t xml:space="preserve">Phase I B - MAD (multiple ascending doses) weekly repeated </w:t>
      </w:r>
    </w:p>
    <w:p w14:paraId="1D7D0A0C"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Concentration for dose escalation study- 10/50/100/ 250/500 mg</w:t>
      </w:r>
    </w:p>
    <w:p w14:paraId="60F729DA"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lastRenderedPageBreak/>
        <w:t>Safety factor for dose - 10</w:t>
      </w:r>
    </w:p>
    <w:p w14:paraId="050D7295"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Medical supervision - 24 hours after administration </w:t>
      </w:r>
    </w:p>
    <w:p w14:paraId="6FF15E32" w14:textId="77777777" w:rsidR="00DA0327" w:rsidRPr="00126EE2" w:rsidRDefault="00DA0327" w:rsidP="00DA0327">
      <w:pPr>
        <w:pStyle w:val="ListParagraph"/>
        <w:numPr>
          <w:ilvl w:val="0"/>
          <w:numId w:val="8"/>
        </w:numPr>
        <w:spacing w:line="360" w:lineRule="auto"/>
        <w:jc w:val="both"/>
        <w:rPr>
          <w:sz w:val="24"/>
          <w:szCs w:val="24"/>
        </w:rPr>
      </w:pPr>
      <w:r w:rsidRPr="00126EE2">
        <w:rPr>
          <w:sz w:val="24"/>
          <w:szCs w:val="24"/>
        </w:rPr>
        <w:t xml:space="preserve">Endpoints- Safety and PK (Pharmacokinetics) </w:t>
      </w:r>
    </w:p>
    <w:p w14:paraId="19B79A7A" w14:textId="77777777" w:rsidR="00DA0327" w:rsidRPr="00126EE2" w:rsidRDefault="00DA0327" w:rsidP="00DA0327">
      <w:pPr>
        <w:spacing w:line="480" w:lineRule="auto"/>
        <w:jc w:val="both"/>
        <w:rPr>
          <w:rFonts w:ascii="Calibri" w:hAnsi="Calibri" w:cs="Calibri"/>
          <w:color w:val="000000"/>
          <w:sz w:val="24"/>
          <w:szCs w:val="24"/>
        </w:rPr>
      </w:pPr>
      <w:r w:rsidRPr="00126EE2">
        <w:rPr>
          <w:sz w:val="24"/>
          <w:szCs w:val="24"/>
        </w:rPr>
        <w:t>Clinical studies are designed in agreement with</w:t>
      </w:r>
      <w:r w:rsidRPr="00126EE2">
        <w:rPr>
          <w:rFonts w:ascii="Calibri" w:hAnsi="Calibri" w:cs="Calibri"/>
          <w:color w:val="000000"/>
          <w:sz w:val="24"/>
          <w:szCs w:val="24"/>
        </w:rPr>
        <w:t xml:space="preserve"> (ICH M3) Non-clinical safety studies for the conduct of human clinical trials for pharmaceuticals (R2) and (ICH E6: Guideline for good clinical practice (R2)</w:t>
      </w:r>
      <w:r w:rsidRPr="00126EE2">
        <w:rPr>
          <w:sz w:val="24"/>
          <w:szCs w:val="24"/>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625"/>
        <w:gridCol w:w="1625"/>
      </w:tblGrid>
      <w:tr w:rsidR="00DA0327" w:rsidRPr="00126EE2" w14:paraId="6B93F08F" w14:textId="77777777" w:rsidTr="003E5DB6">
        <w:trPr>
          <w:trHeight w:val="355"/>
        </w:trPr>
        <w:tc>
          <w:tcPr>
            <w:tcW w:w="1625" w:type="dxa"/>
          </w:tcPr>
          <w:p w14:paraId="33AE0CF8" w14:textId="77777777" w:rsidR="00DA0327" w:rsidRPr="00126EE2" w:rsidRDefault="00DA0327" w:rsidP="003E5DB6">
            <w:pPr>
              <w:pStyle w:val="Default"/>
              <w:rPr>
                <w:rFonts w:asciiTheme="minorHAnsi" w:hAnsiTheme="minorHAnsi"/>
                <w:lang w:val="en-US"/>
              </w:rPr>
            </w:pPr>
          </w:p>
        </w:tc>
        <w:tc>
          <w:tcPr>
            <w:tcW w:w="1625" w:type="dxa"/>
          </w:tcPr>
          <w:p w14:paraId="14907DD1" w14:textId="77777777" w:rsidR="00DA0327" w:rsidRDefault="00DA0327" w:rsidP="003E5DB6">
            <w:pPr>
              <w:pStyle w:val="Default"/>
              <w:rPr>
                <w:rFonts w:asciiTheme="minorHAnsi" w:hAnsiTheme="minorHAnsi"/>
                <w:lang w:val="en-US"/>
              </w:rPr>
            </w:pPr>
          </w:p>
          <w:p w14:paraId="180911CA" w14:textId="77777777" w:rsidR="007E1B52" w:rsidRDefault="007E1B52" w:rsidP="003E5DB6">
            <w:pPr>
              <w:pStyle w:val="Default"/>
              <w:rPr>
                <w:rFonts w:asciiTheme="minorHAnsi" w:hAnsiTheme="minorHAnsi"/>
                <w:lang w:val="en-US"/>
              </w:rPr>
            </w:pPr>
          </w:p>
          <w:p w14:paraId="1DA0B3ED" w14:textId="77777777" w:rsidR="007E1B52" w:rsidRDefault="007E1B52" w:rsidP="003E5DB6">
            <w:pPr>
              <w:pStyle w:val="Default"/>
              <w:rPr>
                <w:rFonts w:asciiTheme="minorHAnsi" w:hAnsiTheme="minorHAnsi"/>
                <w:lang w:val="en-US"/>
              </w:rPr>
            </w:pPr>
          </w:p>
          <w:p w14:paraId="1D238587" w14:textId="77777777" w:rsidR="007E1B52" w:rsidRDefault="007E1B52" w:rsidP="003E5DB6">
            <w:pPr>
              <w:pStyle w:val="Default"/>
              <w:rPr>
                <w:rFonts w:asciiTheme="minorHAnsi" w:hAnsiTheme="minorHAnsi"/>
                <w:lang w:val="en-US"/>
              </w:rPr>
            </w:pPr>
          </w:p>
          <w:p w14:paraId="2F90B6B4" w14:textId="77777777" w:rsidR="007E1B52" w:rsidRDefault="007E1B52" w:rsidP="003E5DB6">
            <w:pPr>
              <w:pStyle w:val="Default"/>
              <w:rPr>
                <w:rFonts w:asciiTheme="minorHAnsi" w:hAnsiTheme="minorHAnsi"/>
                <w:lang w:val="en-US"/>
              </w:rPr>
            </w:pPr>
          </w:p>
          <w:p w14:paraId="59A00454" w14:textId="77777777" w:rsidR="007E1B52" w:rsidRDefault="007E1B52" w:rsidP="003E5DB6">
            <w:pPr>
              <w:pStyle w:val="Default"/>
              <w:rPr>
                <w:rFonts w:asciiTheme="minorHAnsi" w:hAnsiTheme="minorHAnsi"/>
                <w:lang w:val="en-US"/>
              </w:rPr>
            </w:pPr>
          </w:p>
          <w:p w14:paraId="3C2F9373" w14:textId="77777777" w:rsidR="007E1B52" w:rsidRDefault="007E1B52" w:rsidP="003E5DB6">
            <w:pPr>
              <w:pStyle w:val="Default"/>
              <w:rPr>
                <w:rFonts w:asciiTheme="minorHAnsi" w:hAnsiTheme="minorHAnsi"/>
                <w:lang w:val="en-US"/>
              </w:rPr>
            </w:pPr>
          </w:p>
          <w:p w14:paraId="788A9CA8" w14:textId="77777777" w:rsidR="007E1B52" w:rsidRDefault="007E1B52" w:rsidP="003E5DB6">
            <w:pPr>
              <w:pStyle w:val="Default"/>
              <w:rPr>
                <w:rFonts w:asciiTheme="minorHAnsi" w:hAnsiTheme="minorHAnsi"/>
                <w:lang w:val="en-US"/>
              </w:rPr>
            </w:pPr>
          </w:p>
          <w:p w14:paraId="7E527F2E" w14:textId="77777777" w:rsidR="007E1B52" w:rsidRDefault="007E1B52" w:rsidP="003E5DB6">
            <w:pPr>
              <w:pStyle w:val="Default"/>
              <w:rPr>
                <w:rFonts w:asciiTheme="minorHAnsi" w:hAnsiTheme="minorHAnsi"/>
                <w:lang w:val="en-US"/>
              </w:rPr>
            </w:pPr>
          </w:p>
          <w:p w14:paraId="3E8519D7" w14:textId="77777777" w:rsidR="007E1B52" w:rsidRDefault="007E1B52" w:rsidP="003E5DB6">
            <w:pPr>
              <w:pStyle w:val="Default"/>
              <w:rPr>
                <w:rFonts w:asciiTheme="minorHAnsi" w:hAnsiTheme="minorHAnsi"/>
                <w:lang w:val="en-US"/>
              </w:rPr>
            </w:pPr>
          </w:p>
          <w:p w14:paraId="29E6DC4A" w14:textId="77777777" w:rsidR="007E1B52" w:rsidRDefault="007E1B52" w:rsidP="003E5DB6">
            <w:pPr>
              <w:pStyle w:val="Default"/>
              <w:rPr>
                <w:rFonts w:asciiTheme="minorHAnsi" w:hAnsiTheme="minorHAnsi"/>
                <w:lang w:val="en-US"/>
              </w:rPr>
            </w:pPr>
          </w:p>
          <w:p w14:paraId="78523798" w14:textId="77777777" w:rsidR="007E1B52" w:rsidRDefault="007E1B52" w:rsidP="003E5DB6">
            <w:pPr>
              <w:pStyle w:val="Default"/>
              <w:rPr>
                <w:rFonts w:asciiTheme="minorHAnsi" w:hAnsiTheme="minorHAnsi"/>
                <w:lang w:val="en-US"/>
              </w:rPr>
            </w:pPr>
          </w:p>
          <w:p w14:paraId="7BC2CFE9" w14:textId="77777777" w:rsidR="007E1B52" w:rsidRDefault="007E1B52" w:rsidP="003E5DB6">
            <w:pPr>
              <w:pStyle w:val="Default"/>
              <w:rPr>
                <w:rFonts w:asciiTheme="minorHAnsi" w:hAnsiTheme="minorHAnsi"/>
                <w:lang w:val="en-US"/>
              </w:rPr>
            </w:pPr>
          </w:p>
          <w:p w14:paraId="07470919" w14:textId="77777777" w:rsidR="007E1B52" w:rsidRDefault="007E1B52" w:rsidP="003E5DB6">
            <w:pPr>
              <w:pStyle w:val="Default"/>
              <w:rPr>
                <w:rFonts w:asciiTheme="minorHAnsi" w:hAnsiTheme="minorHAnsi"/>
                <w:lang w:val="en-US"/>
              </w:rPr>
            </w:pPr>
          </w:p>
          <w:p w14:paraId="41922DB0" w14:textId="77777777" w:rsidR="007E1B52" w:rsidRDefault="007E1B52" w:rsidP="003E5DB6">
            <w:pPr>
              <w:pStyle w:val="Default"/>
              <w:rPr>
                <w:rFonts w:asciiTheme="minorHAnsi" w:hAnsiTheme="minorHAnsi"/>
                <w:lang w:val="en-US"/>
              </w:rPr>
            </w:pPr>
          </w:p>
          <w:p w14:paraId="4648DDAB" w14:textId="77777777" w:rsidR="007E1B52" w:rsidRDefault="007E1B52" w:rsidP="003E5DB6">
            <w:pPr>
              <w:pStyle w:val="Default"/>
              <w:rPr>
                <w:rFonts w:asciiTheme="minorHAnsi" w:hAnsiTheme="minorHAnsi"/>
                <w:lang w:val="en-US"/>
              </w:rPr>
            </w:pPr>
          </w:p>
          <w:p w14:paraId="0E1B0B0A" w14:textId="77777777" w:rsidR="007E1B52" w:rsidRDefault="007E1B52" w:rsidP="003E5DB6">
            <w:pPr>
              <w:pStyle w:val="Default"/>
              <w:rPr>
                <w:rFonts w:asciiTheme="minorHAnsi" w:hAnsiTheme="minorHAnsi"/>
                <w:lang w:val="en-US"/>
              </w:rPr>
            </w:pPr>
          </w:p>
          <w:p w14:paraId="4A8DA930" w14:textId="77777777" w:rsidR="007E1B52" w:rsidRDefault="007E1B52" w:rsidP="003E5DB6">
            <w:pPr>
              <w:pStyle w:val="Default"/>
              <w:rPr>
                <w:rFonts w:asciiTheme="minorHAnsi" w:hAnsiTheme="minorHAnsi"/>
                <w:lang w:val="en-US"/>
              </w:rPr>
            </w:pPr>
          </w:p>
          <w:p w14:paraId="21B25D73" w14:textId="77777777" w:rsidR="007E1B52" w:rsidRDefault="007E1B52" w:rsidP="003E5DB6">
            <w:pPr>
              <w:pStyle w:val="Default"/>
              <w:rPr>
                <w:rFonts w:asciiTheme="minorHAnsi" w:hAnsiTheme="minorHAnsi"/>
                <w:lang w:val="en-US"/>
              </w:rPr>
            </w:pPr>
          </w:p>
          <w:p w14:paraId="6F07518E" w14:textId="77777777" w:rsidR="007E1B52" w:rsidRDefault="007E1B52" w:rsidP="003E5DB6">
            <w:pPr>
              <w:pStyle w:val="Default"/>
              <w:rPr>
                <w:rFonts w:asciiTheme="minorHAnsi" w:hAnsiTheme="minorHAnsi"/>
                <w:lang w:val="en-US"/>
              </w:rPr>
            </w:pPr>
          </w:p>
          <w:p w14:paraId="0F5E3F03" w14:textId="77777777" w:rsidR="007E1B52" w:rsidRDefault="007E1B52" w:rsidP="003E5DB6">
            <w:pPr>
              <w:pStyle w:val="Default"/>
              <w:rPr>
                <w:rFonts w:asciiTheme="minorHAnsi" w:hAnsiTheme="minorHAnsi"/>
                <w:lang w:val="en-US"/>
              </w:rPr>
            </w:pPr>
          </w:p>
          <w:p w14:paraId="0B51975B" w14:textId="77777777" w:rsidR="007E1B52" w:rsidRDefault="007E1B52" w:rsidP="003E5DB6">
            <w:pPr>
              <w:pStyle w:val="Default"/>
              <w:rPr>
                <w:rFonts w:asciiTheme="minorHAnsi" w:hAnsiTheme="minorHAnsi"/>
                <w:lang w:val="en-US"/>
              </w:rPr>
            </w:pPr>
          </w:p>
          <w:p w14:paraId="2748AC31" w14:textId="77777777" w:rsidR="007E1B52" w:rsidRDefault="007E1B52" w:rsidP="003E5DB6">
            <w:pPr>
              <w:pStyle w:val="Default"/>
              <w:rPr>
                <w:rFonts w:asciiTheme="minorHAnsi" w:hAnsiTheme="minorHAnsi"/>
                <w:lang w:val="en-US"/>
              </w:rPr>
            </w:pPr>
          </w:p>
          <w:p w14:paraId="3F17D470" w14:textId="77777777" w:rsidR="007E1B52" w:rsidRDefault="007E1B52" w:rsidP="003E5DB6">
            <w:pPr>
              <w:pStyle w:val="Default"/>
              <w:rPr>
                <w:rFonts w:asciiTheme="minorHAnsi" w:hAnsiTheme="minorHAnsi"/>
                <w:lang w:val="en-US"/>
              </w:rPr>
            </w:pPr>
          </w:p>
          <w:p w14:paraId="28277AD9" w14:textId="77777777" w:rsidR="007E1B52" w:rsidRDefault="007E1B52" w:rsidP="003E5DB6">
            <w:pPr>
              <w:pStyle w:val="Default"/>
              <w:rPr>
                <w:rFonts w:asciiTheme="minorHAnsi" w:hAnsiTheme="minorHAnsi"/>
                <w:lang w:val="en-US"/>
              </w:rPr>
            </w:pPr>
          </w:p>
          <w:p w14:paraId="6373A408" w14:textId="77777777" w:rsidR="007E1B52" w:rsidRDefault="007E1B52" w:rsidP="003E5DB6">
            <w:pPr>
              <w:pStyle w:val="Default"/>
              <w:rPr>
                <w:rFonts w:asciiTheme="minorHAnsi" w:hAnsiTheme="minorHAnsi"/>
                <w:lang w:val="en-US"/>
              </w:rPr>
            </w:pPr>
          </w:p>
          <w:p w14:paraId="5B160114" w14:textId="77777777" w:rsidR="007E1B52" w:rsidRDefault="007E1B52" w:rsidP="003E5DB6">
            <w:pPr>
              <w:pStyle w:val="Default"/>
              <w:rPr>
                <w:rFonts w:asciiTheme="minorHAnsi" w:hAnsiTheme="minorHAnsi"/>
                <w:lang w:val="en-US"/>
              </w:rPr>
            </w:pPr>
          </w:p>
          <w:p w14:paraId="4CD2D28E" w14:textId="77777777" w:rsidR="007E1B52" w:rsidRDefault="007E1B52" w:rsidP="003E5DB6">
            <w:pPr>
              <w:pStyle w:val="Default"/>
              <w:rPr>
                <w:rFonts w:asciiTheme="minorHAnsi" w:hAnsiTheme="minorHAnsi"/>
                <w:lang w:val="en-US"/>
              </w:rPr>
            </w:pPr>
          </w:p>
          <w:p w14:paraId="2F4CDFFE" w14:textId="77777777" w:rsidR="007E1B52" w:rsidRDefault="007E1B52" w:rsidP="003E5DB6">
            <w:pPr>
              <w:pStyle w:val="Default"/>
              <w:rPr>
                <w:rFonts w:asciiTheme="minorHAnsi" w:hAnsiTheme="minorHAnsi"/>
                <w:lang w:val="en-US"/>
              </w:rPr>
            </w:pPr>
          </w:p>
          <w:p w14:paraId="4BA438BF" w14:textId="77777777" w:rsidR="007E1B52" w:rsidRDefault="007E1B52" w:rsidP="003E5DB6">
            <w:pPr>
              <w:pStyle w:val="Default"/>
              <w:rPr>
                <w:rFonts w:asciiTheme="minorHAnsi" w:hAnsiTheme="minorHAnsi"/>
                <w:lang w:val="en-US"/>
              </w:rPr>
            </w:pPr>
          </w:p>
          <w:p w14:paraId="0D0AD13A" w14:textId="77777777" w:rsidR="007E1B52" w:rsidRDefault="007E1B52" w:rsidP="003E5DB6">
            <w:pPr>
              <w:pStyle w:val="Default"/>
              <w:rPr>
                <w:rFonts w:asciiTheme="minorHAnsi" w:hAnsiTheme="minorHAnsi"/>
                <w:lang w:val="en-US"/>
              </w:rPr>
            </w:pPr>
          </w:p>
          <w:p w14:paraId="45795154" w14:textId="77777777" w:rsidR="007E1B52" w:rsidRDefault="007E1B52" w:rsidP="003E5DB6">
            <w:pPr>
              <w:pStyle w:val="Default"/>
              <w:rPr>
                <w:rFonts w:asciiTheme="minorHAnsi" w:hAnsiTheme="minorHAnsi"/>
                <w:lang w:val="en-US"/>
              </w:rPr>
            </w:pPr>
          </w:p>
          <w:p w14:paraId="44A14DC4" w14:textId="77777777" w:rsidR="007E1B52" w:rsidRDefault="007E1B52" w:rsidP="003E5DB6">
            <w:pPr>
              <w:pStyle w:val="Default"/>
              <w:rPr>
                <w:rFonts w:asciiTheme="minorHAnsi" w:hAnsiTheme="minorHAnsi"/>
                <w:lang w:val="en-US"/>
              </w:rPr>
            </w:pPr>
          </w:p>
          <w:p w14:paraId="2B1FCD3C" w14:textId="77777777" w:rsidR="007E1B52" w:rsidRDefault="007E1B52" w:rsidP="003E5DB6">
            <w:pPr>
              <w:pStyle w:val="Default"/>
              <w:rPr>
                <w:rFonts w:asciiTheme="minorHAnsi" w:hAnsiTheme="minorHAnsi"/>
                <w:lang w:val="en-US"/>
              </w:rPr>
            </w:pPr>
          </w:p>
          <w:p w14:paraId="373446FC" w14:textId="7B313DE1" w:rsidR="007E1B52" w:rsidRPr="00126EE2" w:rsidRDefault="007E1B52" w:rsidP="003E5DB6">
            <w:pPr>
              <w:pStyle w:val="Default"/>
              <w:rPr>
                <w:rFonts w:asciiTheme="minorHAnsi" w:hAnsiTheme="minorHAnsi"/>
                <w:lang w:val="en-US"/>
              </w:rPr>
            </w:pPr>
          </w:p>
        </w:tc>
      </w:tr>
    </w:tbl>
    <w:p w14:paraId="258094F0" w14:textId="77777777" w:rsidR="00DA0327" w:rsidRPr="00126EE2" w:rsidRDefault="00DA0327" w:rsidP="00DA0327">
      <w:pPr>
        <w:pStyle w:val="Heading2"/>
        <w:spacing w:line="480" w:lineRule="auto"/>
        <w:jc w:val="both"/>
        <w:rPr>
          <w:rFonts w:asciiTheme="minorHAnsi" w:hAnsiTheme="minorHAnsi" w:cstheme="minorHAnsi"/>
          <w:sz w:val="24"/>
          <w:szCs w:val="24"/>
        </w:rPr>
      </w:pPr>
      <w:bookmarkStart w:id="6" w:name="_Toc20143652"/>
      <w:bookmarkEnd w:id="5"/>
      <w:r w:rsidRPr="00126EE2">
        <w:rPr>
          <w:rFonts w:asciiTheme="minorHAnsi" w:hAnsiTheme="minorHAnsi" w:cstheme="minorHAnsi"/>
          <w:sz w:val="24"/>
          <w:szCs w:val="24"/>
        </w:rPr>
        <w:lastRenderedPageBreak/>
        <w:t>Part C. Chemistry, Manufacturing, and Controls</w:t>
      </w:r>
      <w:bookmarkEnd w:id="6"/>
      <w:r w:rsidRPr="00126EE2">
        <w:rPr>
          <w:rFonts w:asciiTheme="minorHAnsi" w:hAnsiTheme="minorHAnsi" w:cstheme="minorHAnsi"/>
          <w:sz w:val="24"/>
          <w:szCs w:val="24"/>
        </w:rPr>
        <w:t xml:space="preserve"> – </w:t>
      </w:r>
    </w:p>
    <w:p w14:paraId="50DE7FBF" w14:textId="77777777" w:rsidR="00DA0327" w:rsidRPr="00126EE2" w:rsidRDefault="00DA0327" w:rsidP="00DA0327">
      <w:pPr>
        <w:spacing w:line="480" w:lineRule="auto"/>
        <w:jc w:val="both"/>
        <w:rPr>
          <w:sz w:val="24"/>
          <w:szCs w:val="24"/>
        </w:rPr>
      </w:pPr>
      <w:r w:rsidRPr="00126EE2">
        <w:rPr>
          <w:sz w:val="24"/>
          <w:szCs w:val="24"/>
        </w:rPr>
        <w:t xml:space="preserve">Drug discovery has identified the lead compound Hertumig.  We aim to produce the Hertumig required for the consecutive clinical trial phases under GMP compliance. </w:t>
      </w:r>
    </w:p>
    <w:p w14:paraId="02D7A3F3" w14:textId="77777777" w:rsidR="00DA0327" w:rsidRPr="00126EE2" w:rsidRDefault="00DA0327" w:rsidP="00DA0327">
      <w:pPr>
        <w:spacing w:line="480" w:lineRule="auto"/>
        <w:jc w:val="both"/>
        <w:rPr>
          <w:sz w:val="24"/>
          <w:szCs w:val="24"/>
        </w:rPr>
      </w:pPr>
      <w:r w:rsidRPr="00126EE2">
        <w:rPr>
          <w:sz w:val="24"/>
          <w:szCs w:val="24"/>
        </w:rPr>
        <w:t xml:space="preserve">Control of Drug substances and Drug products – Characterization </w:t>
      </w:r>
    </w:p>
    <w:p w14:paraId="25B9416C" w14:textId="5B0D03CF" w:rsidR="00DA0327" w:rsidRDefault="00DA0327" w:rsidP="00DA0327">
      <w:pPr>
        <w:spacing w:line="480" w:lineRule="auto"/>
        <w:jc w:val="both"/>
        <w:rPr>
          <w:sz w:val="24"/>
          <w:szCs w:val="24"/>
        </w:rPr>
      </w:pPr>
      <w:r w:rsidRPr="00126EE2">
        <w:rPr>
          <w:sz w:val="24"/>
          <w:szCs w:val="24"/>
        </w:rPr>
        <w:t>As shown in the following table, the structural and functional characterization (also termed an analytical assessment) of Hertumig was carried out.  We have determined physicochemical properties of the Hertumig (e.g., size, charge, isoelectric point, amino acid sequence, hydrophobicity, post-translational modifications -glycosylation).</w:t>
      </w:r>
    </w:p>
    <w:p w14:paraId="4F0FA327" w14:textId="22BDE919" w:rsidR="00DA0327" w:rsidRPr="00126EE2" w:rsidRDefault="004C2BD9" w:rsidP="004C2BD9">
      <w:pPr>
        <w:spacing w:line="480" w:lineRule="auto"/>
      </w:pPr>
      <w:r w:rsidRPr="004C2BD9">
        <w:rPr>
          <w:sz w:val="24"/>
          <w:szCs w:val="24"/>
        </w:rPr>
        <w:t>Table 1. Analytical items and analytical methods for the analysis of mAb characterization.</w:t>
      </w:r>
      <w:r w:rsidR="00DA0327" w:rsidRPr="004C2BD9">
        <w:drawing>
          <wp:anchor distT="0" distB="0" distL="114300" distR="114300" simplePos="0" relativeHeight="251663360" behindDoc="0" locked="0" layoutInCell="1" allowOverlap="1" wp14:anchorId="21953A24" wp14:editId="74E443E0">
            <wp:simplePos x="0" y="0"/>
            <wp:positionH relativeFrom="margin">
              <wp:align>right</wp:align>
            </wp:positionH>
            <wp:positionV relativeFrom="paragraph">
              <wp:posOffset>274320</wp:posOffset>
            </wp:positionV>
            <wp:extent cx="5760720" cy="4828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28540"/>
                    </a:xfrm>
                    <a:prstGeom prst="rect">
                      <a:avLst/>
                    </a:prstGeom>
                  </pic:spPr>
                </pic:pic>
              </a:graphicData>
            </a:graphic>
          </wp:anchor>
        </w:drawing>
      </w:r>
    </w:p>
    <w:p w14:paraId="25F2F49F" w14:textId="77777777" w:rsidR="00DA0327" w:rsidRPr="00126EE2" w:rsidRDefault="00DA0327" w:rsidP="00DA0327">
      <w:pPr>
        <w:spacing w:line="480" w:lineRule="auto"/>
        <w:jc w:val="both"/>
        <w:rPr>
          <w:sz w:val="24"/>
          <w:szCs w:val="24"/>
        </w:rPr>
      </w:pPr>
    </w:p>
    <w:p w14:paraId="749F4F5A" w14:textId="77777777" w:rsidR="00DA0327" w:rsidRPr="00126EE2" w:rsidRDefault="00DA0327" w:rsidP="00DA0327">
      <w:pPr>
        <w:spacing w:line="480" w:lineRule="auto"/>
        <w:jc w:val="both"/>
        <w:rPr>
          <w:sz w:val="24"/>
          <w:szCs w:val="24"/>
        </w:rPr>
      </w:pPr>
      <w:r w:rsidRPr="00126EE2">
        <w:rPr>
          <w:sz w:val="24"/>
          <w:szCs w:val="24"/>
        </w:rPr>
        <w:lastRenderedPageBreak/>
        <w:t xml:space="preserve">Manufacturing process - Purification  </w:t>
      </w:r>
    </w:p>
    <w:p w14:paraId="1EB41680" w14:textId="77777777" w:rsidR="00DA0327" w:rsidRPr="00126EE2" w:rsidRDefault="00DA0327" w:rsidP="00DA0327">
      <w:pPr>
        <w:spacing w:line="480" w:lineRule="auto"/>
        <w:jc w:val="both"/>
        <w:rPr>
          <w:sz w:val="24"/>
          <w:szCs w:val="24"/>
        </w:rPr>
      </w:pPr>
      <w:r w:rsidRPr="00126EE2">
        <w:rPr>
          <w:sz w:val="24"/>
          <w:szCs w:val="24"/>
        </w:rPr>
        <w:t>For the large-scale production of the Hertumig, we have developed (optimized) a manufacturing process to yield drug substances and products per specifications needed for human use. During the manufacturing process, product-related and process-related impurities are generated. These impurities are host-cell-derived proteins, nucleic acid, viruses, and other impurities, including media-derived compounds and undesirable chemicals introduced by the purification process itself.  A combination of orthogonal methods generates the Hertumig purity/impurity profile. These methods generally include determining physicochemical properties such as molecular weight or size, isoform pattern, extinction coefficient, electrophoretic profiles, chromatographic data, and spectroscopic profiles.  Further validation of the Hertumig purification process was performed, and a reduction factor at each stage of purification was established</w:t>
      </w:r>
      <w:r w:rsidRPr="00126EE2">
        <w:t>.</w:t>
      </w:r>
    </w:p>
    <w:p w14:paraId="7DCFE811" w14:textId="77777777" w:rsidR="00DA0327" w:rsidRPr="00126EE2" w:rsidRDefault="00DA0327" w:rsidP="00DA0327">
      <w:pPr>
        <w:spacing w:line="480" w:lineRule="auto"/>
        <w:jc w:val="both"/>
        <w:rPr>
          <w:sz w:val="24"/>
          <w:szCs w:val="24"/>
        </w:rPr>
      </w:pPr>
      <w:r w:rsidRPr="00126EE2">
        <w:rPr>
          <w:sz w:val="24"/>
          <w:szCs w:val="24"/>
        </w:rPr>
        <w:t xml:space="preserve">The following guidelines are used for Hertumig </w:t>
      </w:r>
    </w:p>
    <w:p w14:paraId="2C06BD87" w14:textId="77777777" w:rsidR="00DA0327" w:rsidRPr="00126EE2" w:rsidRDefault="00DA0327" w:rsidP="00DA0327">
      <w:pPr>
        <w:pStyle w:val="ListParagraph"/>
        <w:numPr>
          <w:ilvl w:val="0"/>
          <w:numId w:val="15"/>
        </w:numPr>
        <w:spacing w:line="480" w:lineRule="auto"/>
        <w:jc w:val="both"/>
        <w:rPr>
          <w:sz w:val="24"/>
          <w:szCs w:val="24"/>
        </w:rPr>
      </w:pPr>
      <w:r w:rsidRPr="00126EE2">
        <w:rPr>
          <w:sz w:val="24"/>
          <w:szCs w:val="24"/>
        </w:rPr>
        <w:t xml:space="preserve">European Commission: (EudraLex Volume 10 clinical trials guidelines),  </w:t>
      </w:r>
    </w:p>
    <w:p w14:paraId="19A1A682" w14:textId="77777777" w:rsidR="00DA0327" w:rsidRPr="00126EE2" w:rsidRDefault="00DA0327" w:rsidP="00DA0327">
      <w:pPr>
        <w:pStyle w:val="ListParagraph"/>
        <w:numPr>
          <w:ilvl w:val="0"/>
          <w:numId w:val="15"/>
        </w:numPr>
        <w:spacing w:line="360" w:lineRule="auto"/>
        <w:rPr>
          <w:sz w:val="24"/>
          <w:szCs w:val="24"/>
        </w:rPr>
      </w:pPr>
      <w:proofErr w:type="spellStart"/>
      <w:r w:rsidRPr="00126EE2">
        <w:rPr>
          <w:sz w:val="24"/>
          <w:szCs w:val="24"/>
        </w:rPr>
        <w:t>Eudralex</w:t>
      </w:r>
      <w:proofErr w:type="spellEnd"/>
      <w:r w:rsidRPr="00126EE2">
        <w:rPr>
          <w:sz w:val="24"/>
          <w:szCs w:val="24"/>
        </w:rPr>
        <w:t xml:space="preserve"> Volume 3 PRODUCTION AND QUALITY CONTROL OF MEDICINAL PRODUCTS DERIVED BY RECOMBINANT DNA TECHNOLOGY</w:t>
      </w:r>
    </w:p>
    <w:p w14:paraId="697D811F" w14:textId="77777777" w:rsidR="00DA0327" w:rsidRPr="00126EE2" w:rsidRDefault="00DA0327" w:rsidP="00DA0327">
      <w:pPr>
        <w:pStyle w:val="ListParagraph"/>
        <w:numPr>
          <w:ilvl w:val="0"/>
          <w:numId w:val="15"/>
        </w:numPr>
        <w:spacing w:line="360" w:lineRule="auto"/>
        <w:rPr>
          <w:sz w:val="24"/>
          <w:szCs w:val="24"/>
        </w:rPr>
      </w:pPr>
      <w:r w:rsidRPr="00126EE2">
        <w:rPr>
          <w:sz w:val="24"/>
          <w:szCs w:val="24"/>
        </w:rPr>
        <w:t xml:space="preserve">Production and Quality Control of medicinal products derived by recombinant DNA technology” (3AB1A), </w:t>
      </w:r>
    </w:p>
    <w:p w14:paraId="0ECF6F70" w14:textId="77777777" w:rsidR="00DA0327" w:rsidRPr="00126EE2" w:rsidRDefault="00DA0327" w:rsidP="00DA0327">
      <w:pPr>
        <w:pStyle w:val="ListParagraph"/>
        <w:numPr>
          <w:ilvl w:val="0"/>
          <w:numId w:val="15"/>
        </w:numPr>
        <w:spacing w:line="360" w:lineRule="auto"/>
        <w:jc w:val="both"/>
        <w:rPr>
          <w:sz w:val="24"/>
          <w:szCs w:val="24"/>
        </w:rPr>
      </w:pPr>
      <w:r w:rsidRPr="00126EE2">
        <w:rPr>
          <w:sz w:val="24"/>
          <w:szCs w:val="24"/>
        </w:rPr>
        <w:t>ICH guidelines - ICH Q6B “Test Procedures and Acceptance Criteria for Biotechnological/Biological Products” (CPMP/ICH/365/96) Good manufacturing practice (ICH GMP).</w:t>
      </w:r>
    </w:p>
    <w:p w14:paraId="46F2C1C0" w14:textId="77777777" w:rsidR="00DA0327" w:rsidRPr="00126EE2" w:rsidRDefault="00DA0327" w:rsidP="00DA0327">
      <w:pPr>
        <w:pStyle w:val="ListParagraph"/>
        <w:numPr>
          <w:ilvl w:val="0"/>
          <w:numId w:val="15"/>
        </w:numPr>
        <w:spacing w:line="360" w:lineRule="auto"/>
        <w:jc w:val="both"/>
        <w:rPr>
          <w:sz w:val="24"/>
          <w:szCs w:val="24"/>
        </w:rPr>
      </w:pPr>
      <w:r w:rsidRPr="00126EE2">
        <w:rPr>
          <w:sz w:val="24"/>
          <w:szCs w:val="24"/>
        </w:rPr>
        <w:t>Guideline on development, production, characterization, and specification for monoclonal antibodies and related products EMA/CHMP/BWP/532517/2008</w:t>
      </w:r>
    </w:p>
    <w:p w14:paraId="69FFC714" w14:textId="77777777" w:rsidR="00DA0327" w:rsidRPr="00126EE2" w:rsidRDefault="00DA0327" w:rsidP="00DA0327">
      <w:pPr>
        <w:pStyle w:val="ListParagraph"/>
        <w:spacing w:line="360" w:lineRule="auto"/>
        <w:jc w:val="both"/>
        <w:rPr>
          <w:sz w:val="24"/>
          <w:szCs w:val="24"/>
        </w:rPr>
      </w:pPr>
    </w:p>
    <w:p w14:paraId="14852C6D" w14:textId="77777777" w:rsidR="00DA0327" w:rsidRPr="00126EE2" w:rsidRDefault="00DA0327" w:rsidP="00DA0327">
      <w:pPr>
        <w:pStyle w:val="ListParagraph"/>
        <w:spacing w:line="360" w:lineRule="auto"/>
        <w:jc w:val="both"/>
        <w:rPr>
          <w:sz w:val="24"/>
          <w:szCs w:val="24"/>
        </w:rPr>
      </w:pPr>
    </w:p>
    <w:p w14:paraId="54060320" w14:textId="77777777" w:rsidR="00DA0327" w:rsidRPr="00126EE2" w:rsidRDefault="00DA0327" w:rsidP="00DA0327">
      <w:pPr>
        <w:pStyle w:val="ListParagraph"/>
        <w:spacing w:line="360" w:lineRule="auto"/>
        <w:jc w:val="both"/>
        <w:rPr>
          <w:sz w:val="24"/>
          <w:szCs w:val="24"/>
        </w:rPr>
      </w:pPr>
    </w:p>
    <w:p w14:paraId="05B2BEF1" w14:textId="77777777" w:rsidR="00DA0327" w:rsidRPr="00126EE2" w:rsidRDefault="00DA0327" w:rsidP="00DA0327">
      <w:pPr>
        <w:spacing w:line="480" w:lineRule="auto"/>
        <w:jc w:val="both"/>
        <w:rPr>
          <w:rFonts w:cstheme="minorHAnsi"/>
          <w:sz w:val="24"/>
          <w:szCs w:val="24"/>
        </w:rPr>
      </w:pPr>
      <w:bookmarkStart w:id="7" w:name="_Toc20143653"/>
      <w:r w:rsidRPr="00126EE2">
        <w:rPr>
          <w:rFonts w:cstheme="minorHAnsi"/>
          <w:color w:val="2F5496" w:themeColor="accent1" w:themeShade="BF"/>
          <w:sz w:val="24"/>
          <w:szCs w:val="24"/>
        </w:rPr>
        <w:lastRenderedPageBreak/>
        <w:t>Part D: Pre-IND Meeting –</w:t>
      </w:r>
      <w:r w:rsidRPr="00126EE2">
        <w:rPr>
          <w:rFonts w:cstheme="minorHAnsi"/>
          <w:sz w:val="24"/>
          <w:szCs w:val="24"/>
        </w:rPr>
        <w:t xml:space="preserve"> </w:t>
      </w:r>
    </w:p>
    <w:p w14:paraId="3553CEA3" w14:textId="77777777" w:rsidR="00DA0327" w:rsidRPr="00126EE2" w:rsidRDefault="00DA0327" w:rsidP="00DA0327">
      <w:pPr>
        <w:spacing w:line="480" w:lineRule="auto"/>
        <w:jc w:val="both"/>
        <w:rPr>
          <w:rFonts w:cstheme="minorHAnsi"/>
          <w:sz w:val="24"/>
          <w:szCs w:val="24"/>
        </w:rPr>
      </w:pPr>
      <w:proofErr w:type="spellStart"/>
      <w:r w:rsidRPr="00126EE2">
        <w:rPr>
          <w:rFonts w:cstheme="minorHAnsi"/>
          <w:sz w:val="24"/>
          <w:szCs w:val="24"/>
        </w:rPr>
        <w:t>VaudBiotech</w:t>
      </w:r>
      <w:proofErr w:type="spellEnd"/>
      <w:r w:rsidRPr="00126EE2">
        <w:rPr>
          <w:rFonts w:cstheme="minorHAnsi"/>
          <w:sz w:val="24"/>
          <w:szCs w:val="24"/>
        </w:rPr>
        <w:t xml:space="preserve"> SA. considers the pre-IND (investigational new drug) meeting an excellent opportunity to meet representatives of the regulatory bodies. </w:t>
      </w:r>
    </w:p>
    <w:p w14:paraId="6B2B07B2" w14:textId="77777777" w:rsidR="00DA0327" w:rsidRPr="00126EE2" w:rsidRDefault="00DA0327" w:rsidP="00DA0327">
      <w:pPr>
        <w:spacing w:line="360" w:lineRule="auto"/>
        <w:jc w:val="both"/>
        <w:rPr>
          <w:rFonts w:cstheme="minorHAnsi"/>
          <w:sz w:val="24"/>
          <w:szCs w:val="24"/>
        </w:rPr>
      </w:pPr>
      <w:r w:rsidRPr="00126EE2">
        <w:rPr>
          <w:rFonts w:cstheme="minorHAnsi"/>
          <w:sz w:val="24"/>
          <w:szCs w:val="24"/>
        </w:rPr>
        <w:t xml:space="preserve">  Pre-IND meeting objectives –</w:t>
      </w:r>
    </w:p>
    <w:p w14:paraId="6CD3389D" w14:textId="77777777" w:rsidR="00DA0327" w:rsidRPr="00126EE2" w:rsidRDefault="00DA0327" w:rsidP="00DA0327">
      <w:pPr>
        <w:pStyle w:val="ListParagraph"/>
        <w:numPr>
          <w:ilvl w:val="0"/>
          <w:numId w:val="14"/>
        </w:numPr>
        <w:spacing w:line="360" w:lineRule="auto"/>
        <w:jc w:val="both"/>
        <w:rPr>
          <w:rFonts w:cstheme="minorHAnsi"/>
          <w:sz w:val="24"/>
          <w:szCs w:val="24"/>
        </w:rPr>
      </w:pPr>
      <w:r w:rsidRPr="00126EE2">
        <w:rPr>
          <w:rFonts w:cstheme="minorHAnsi"/>
          <w:sz w:val="24"/>
          <w:szCs w:val="24"/>
        </w:rPr>
        <w:t>Purpose of the study /unmet medical need</w:t>
      </w:r>
    </w:p>
    <w:p w14:paraId="7E2FD019" w14:textId="77777777" w:rsidR="00DA0327" w:rsidRPr="00126EE2" w:rsidRDefault="00DA0327" w:rsidP="00DA0327">
      <w:pPr>
        <w:pStyle w:val="ListParagraph"/>
        <w:numPr>
          <w:ilvl w:val="0"/>
          <w:numId w:val="14"/>
        </w:numPr>
        <w:spacing w:line="360" w:lineRule="auto"/>
        <w:jc w:val="both"/>
        <w:rPr>
          <w:rFonts w:cstheme="minorHAnsi"/>
          <w:sz w:val="24"/>
          <w:szCs w:val="24"/>
        </w:rPr>
      </w:pPr>
      <w:r w:rsidRPr="00126EE2">
        <w:rPr>
          <w:rFonts w:cstheme="minorHAnsi"/>
          <w:sz w:val="24"/>
          <w:szCs w:val="24"/>
        </w:rPr>
        <w:t xml:space="preserve">Represent preclinical data </w:t>
      </w:r>
    </w:p>
    <w:p w14:paraId="0B4F5309" w14:textId="77777777" w:rsidR="00DA0327" w:rsidRPr="00126EE2" w:rsidRDefault="00DA0327" w:rsidP="00DA0327">
      <w:pPr>
        <w:pStyle w:val="ListParagraph"/>
        <w:numPr>
          <w:ilvl w:val="0"/>
          <w:numId w:val="14"/>
        </w:numPr>
        <w:spacing w:line="360" w:lineRule="auto"/>
        <w:jc w:val="both"/>
        <w:rPr>
          <w:rFonts w:cstheme="minorHAnsi"/>
          <w:sz w:val="24"/>
          <w:szCs w:val="24"/>
        </w:rPr>
      </w:pPr>
      <w:r w:rsidRPr="00126EE2">
        <w:rPr>
          <w:rFonts w:cstheme="minorHAnsi"/>
          <w:sz w:val="24"/>
          <w:szCs w:val="24"/>
        </w:rPr>
        <w:t xml:space="preserve"> Represent the proposed plan for the clinical phase and CMC </w:t>
      </w:r>
    </w:p>
    <w:p w14:paraId="7D312ECC" w14:textId="77777777" w:rsidR="00DA0327" w:rsidRPr="00126EE2" w:rsidRDefault="00DA0327" w:rsidP="00DA0327">
      <w:pPr>
        <w:pStyle w:val="ListParagraph"/>
        <w:numPr>
          <w:ilvl w:val="0"/>
          <w:numId w:val="14"/>
        </w:numPr>
        <w:spacing w:line="360" w:lineRule="auto"/>
        <w:jc w:val="both"/>
        <w:rPr>
          <w:rFonts w:cstheme="minorHAnsi"/>
          <w:sz w:val="24"/>
          <w:szCs w:val="24"/>
        </w:rPr>
      </w:pPr>
      <w:r w:rsidRPr="00126EE2">
        <w:rPr>
          <w:rFonts w:cstheme="minorHAnsi"/>
          <w:sz w:val="24"/>
          <w:szCs w:val="24"/>
        </w:rPr>
        <w:t xml:space="preserve"> Drug development timeline </w:t>
      </w:r>
    </w:p>
    <w:p w14:paraId="62DD4098" w14:textId="77777777" w:rsidR="00DA0327" w:rsidRPr="00126EE2" w:rsidRDefault="00DA0327" w:rsidP="00DA0327">
      <w:pPr>
        <w:pStyle w:val="ListParagraph"/>
        <w:numPr>
          <w:ilvl w:val="0"/>
          <w:numId w:val="14"/>
        </w:numPr>
        <w:spacing w:line="360" w:lineRule="auto"/>
        <w:jc w:val="both"/>
        <w:rPr>
          <w:rFonts w:cstheme="minorHAnsi"/>
          <w:sz w:val="24"/>
          <w:szCs w:val="24"/>
        </w:rPr>
      </w:pPr>
      <w:r w:rsidRPr="00126EE2">
        <w:rPr>
          <w:rFonts w:cstheme="minorHAnsi"/>
          <w:sz w:val="24"/>
          <w:szCs w:val="24"/>
        </w:rPr>
        <w:t xml:space="preserve"> Guidance and advice on the IND application </w:t>
      </w:r>
    </w:p>
    <w:p w14:paraId="5D03E40E" w14:textId="77777777" w:rsidR="00DA0327" w:rsidRPr="00126EE2" w:rsidRDefault="00DA0327" w:rsidP="00DA0327">
      <w:pPr>
        <w:spacing w:line="480" w:lineRule="auto"/>
        <w:ind w:left="360"/>
        <w:jc w:val="both"/>
        <w:rPr>
          <w:rFonts w:cstheme="minorHAnsi"/>
          <w:color w:val="000000" w:themeColor="text1"/>
          <w:sz w:val="24"/>
          <w:szCs w:val="24"/>
        </w:rPr>
      </w:pPr>
      <w:r w:rsidRPr="00126EE2">
        <w:rPr>
          <w:rFonts w:cstheme="minorHAnsi"/>
          <w:sz w:val="24"/>
          <w:szCs w:val="24"/>
        </w:rPr>
        <w:t xml:space="preserve">In the following steps of drug development, we aim to get approval to evaluating the </w:t>
      </w:r>
      <w:r w:rsidRPr="00126EE2">
        <w:rPr>
          <w:rFonts w:cstheme="minorHAnsi"/>
          <w:color w:val="000000" w:themeColor="text1"/>
          <w:sz w:val="24"/>
          <w:szCs w:val="24"/>
        </w:rPr>
        <w:t xml:space="preserve">efficacy and safety of Hertumig in humans. </w:t>
      </w:r>
    </w:p>
    <w:p w14:paraId="7950C8F2" w14:textId="77777777" w:rsidR="00DA0327" w:rsidRPr="00126EE2" w:rsidRDefault="00DA0327" w:rsidP="00DA0327">
      <w:pPr>
        <w:spacing w:line="480" w:lineRule="auto"/>
        <w:jc w:val="both"/>
        <w:rPr>
          <w:rFonts w:cstheme="minorHAnsi"/>
          <w:color w:val="2F5496" w:themeColor="accent1" w:themeShade="BF"/>
          <w:sz w:val="24"/>
          <w:szCs w:val="24"/>
        </w:rPr>
      </w:pPr>
      <w:r w:rsidRPr="00126EE2">
        <w:rPr>
          <w:rFonts w:cstheme="minorHAnsi"/>
          <w:color w:val="2F5496" w:themeColor="accent1" w:themeShade="BF"/>
          <w:sz w:val="24"/>
          <w:szCs w:val="24"/>
        </w:rPr>
        <w:t xml:space="preserve"> Scientific Advice -  </w:t>
      </w:r>
    </w:p>
    <w:p w14:paraId="2B39E048" w14:textId="77777777" w:rsidR="00DA0327" w:rsidRPr="00126EE2" w:rsidRDefault="00DA0327" w:rsidP="00DA0327">
      <w:pPr>
        <w:spacing w:line="480" w:lineRule="auto"/>
        <w:jc w:val="both"/>
        <w:rPr>
          <w:rFonts w:eastAsia="Times New Roman" w:cstheme="minorHAnsi"/>
          <w:sz w:val="24"/>
          <w:szCs w:val="24"/>
          <w:lang w:eastAsia="de-AT"/>
        </w:rPr>
      </w:pPr>
      <w:r w:rsidRPr="00126EE2">
        <w:rPr>
          <w:rFonts w:cstheme="minorHAnsi"/>
          <w:sz w:val="24"/>
          <w:szCs w:val="24"/>
        </w:rPr>
        <w:t xml:space="preserve">Getting advice and guidance at the early stage of drug development significantly improves the chances of </w:t>
      </w:r>
      <w:r w:rsidRPr="00126EE2">
        <w:rPr>
          <w:rFonts w:eastAsia="Times New Roman" w:cstheme="minorHAnsi"/>
          <w:sz w:val="24"/>
          <w:szCs w:val="24"/>
          <w:lang w:eastAsia="de-AT"/>
        </w:rPr>
        <w:t>success in drug approval. CHMP (Committee for Medicinal Products for Human Use) on SAWP (the Scientific Advice Working Party) provides scientific advice and protocol assistance to the Hertumig Drug development process. EMA guidance for applicants is a one-stop solution for regulatory and procedural guidelines. A brief progress report and milestones of the drug development process are summarized in the application.</w:t>
      </w:r>
    </w:p>
    <w:p w14:paraId="665DE114" w14:textId="77777777" w:rsidR="00DA0327" w:rsidRPr="00126EE2" w:rsidRDefault="00DA0327" w:rsidP="00DA0327">
      <w:pPr>
        <w:pStyle w:val="Heading2"/>
        <w:spacing w:before="360" w:after="80" w:line="480" w:lineRule="auto"/>
        <w:rPr>
          <w:rFonts w:ascii="Calibri" w:hAnsi="Calibri" w:cs="Calibri"/>
          <w:color w:val="2F5496"/>
          <w:sz w:val="24"/>
          <w:szCs w:val="24"/>
        </w:rPr>
      </w:pPr>
      <w:r w:rsidRPr="00126EE2">
        <w:rPr>
          <w:rFonts w:ascii="Calibri" w:hAnsi="Calibri" w:cs="Calibri"/>
          <w:color w:val="2F5496"/>
          <w:sz w:val="24"/>
          <w:szCs w:val="24"/>
        </w:rPr>
        <w:t>Parallel scientific advice –</w:t>
      </w:r>
    </w:p>
    <w:p w14:paraId="3A909B93" w14:textId="77777777" w:rsidR="00DA0327" w:rsidRPr="00126EE2" w:rsidRDefault="00DA0327" w:rsidP="00DA0327">
      <w:pPr>
        <w:spacing w:line="480" w:lineRule="auto"/>
        <w:rPr>
          <w:sz w:val="24"/>
          <w:szCs w:val="24"/>
        </w:rPr>
      </w:pPr>
      <w:r w:rsidRPr="00126EE2">
        <w:rPr>
          <w:sz w:val="24"/>
          <w:szCs w:val="24"/>
        </w:rPr>
        <w:t>Convincing datasets from preclinical studies encouraged us to introduce Hertumig in the US market. We plan to get approval for the drug in the EU first. Additionally, we would like to initiate the FDA approved process in parallel.  We are in the process of getting joint scientific advice (PSA).</w:t>
      </w:r>
    </w:p>
    <w:p w14:paraId="58AD320A" w14:textId="77777777" w:rsidR="00DA0327" w:rsidRPr="00126EE2" w:rsidRDefault="00DA0327" w:rsidP="00DA0327"/>
    <w:p w14:paraId="07658918" w14:textId="77777777" w:rsidR="00DA0327" w:rsidRPr="00126EE2" w:rsidRDefault="00DA0327" w:rsidP="00DA0327">
      <w:pPr>
        <w:pStyle w:val="Heading2"/>
        <w:spacing w:line="480" w:lineRule="auto"/>
        <w:jc w:val="both"/>
        <w:rPr>
          <w:rFonts w:asciiTheme="minorHAnsi" w:hAnsiTheme="minorHAnsi" w:cstheme="minorHAnsi"/>
          <w:sz w:val="24"/>
          <w:szCs w:val="24"/>
        </w:rPr>
      </w:pPr>
      <w:bookmarkStart w:id="8" w:name="_Toc20143654"/>
      <w:bookmarkEnd w:id="7"/>
      <w:r w:rsidRPr="00126EE2">
        <w:rPr>
          <w:rFonts w:asciiTheme="minorHAnsi" w:hAnsiTheme="minorHAnsi" w:cstheme="minorHAnsi"/>
          <w:sz w:val="24"/>
          <w:szCs w:val="24"/>
        </w:rPr>
        <w:t>Part E: Inspection Readiness</w:t>
      </w:r>
      <w:bookmarkEnd w:id="8"/>
      <w:r w:rsidRPr="00126EE2">
        <w:rPr>
          <w:rFonts w:asciiTheme="minorHAnsi" w:hAnsiTheme="minorHAnsi" w:cstheme="minorHAnsi"/>
          <w:sz w:val="24"/>
          <w:szCs w:val="24"/>
        </w:rPr>
        <w:t xml:space="preserve"> (IR)</w:t>
      </w:r>
    </w:p>
    <w:p w14:paraId="5D4920EE" w14:textId="77777777" w:rsidR="00DA0327" w:rsidRPr="00126EE2" w:rsidRDefault="00DA0327" w:rsidP="00DA0327">
      <w:pPr>
        <w:spacing w:line="480" w:lineRule="auto"/>
        <w:jc w:val="both"/>
        <w:rPr>
          <w:sz w:val="24"/>
          <w:szCs w:val="24"/>
        </w:rPr>
      </w:pPr>
      <w:r w:rsidRPr="00126EE2">
        <w:rPr>
          <w:sz w:val="24"/>
          <w:szCs w:val="24"/>
        </w:rPr>
        <w:t>Health authorities (HA), ethical committees (EC), and institutional review boards (IRB) closely follow the process of drug development. Inspection from the regulatory authorities ensures that the drug development process is being conducted as per guidelines, regulations, and compliances. Inspections are an integral part of the drug development process and are carried out for numerous reasons regularly and might be without any intimation. For the preparation of European Commission EudraLex Volume 10 clinical trials Guidelines, Guidance for the conduct of good clinical practice inspections were used.</w:t>
      </w:r>
    </w:p>
    <w:p w14:paraId="598121AD" w14:textId="77777777" w:rsidR="00DA0327" w:rsidRPr="00126EE2" w:rsidRDefault="00DA0327" w:rsidP="00DA0327">
      <w:pPr>
        <w:spacing w:line="480" w:lineRule="auto"/>
        <w:jc w:val="both"/>
        <w:rPr>
          <w:sz w:val="24"/>
          <w:szCs w:val="24"/>
        </w:rPr>
      </w:pPr>
      <w:r w:rsidRPr="00126EE2">
        <w:rPr>
          <w:sz w:val="24"/>
          <w:szCs w:val="24"/>
        </w:rPr>
        <w:t xml:space="preserve">We have an internal quality management system (QMS) that manages change control, risk management, and corrective action preventive action (CAPA) processes. We also run an inspection readiness program that consists of cross-functional subject matter experts. </w:t>
      </w:r>
    </w:p>
    <w:p w14:paraId="49F5D42C" w14:textId="77777777" w:rsidR="00DA0327" w:rsidRPr="00126EE2" w:rsidRDefault="00DA0327" w:rsidP="00DA0327">
      <w:pPr>
        <w:pStyle w:val="ListParagraph"/>
        <w:numPr>
          <w:ilvl w:val="0"/>
          <w:numId w:val="13"/>
        </w:numPr>
        <w:spacing w:line="360" w:lineRule="auto"/>
        <w:jc w:val="both"/>
        <w:rPr>
          <w:sz w:val="24"/>
          <w:szCs w:val="24"/>
        </w:rPr>
      </w:pPr>
      <w:r w:rsidRPr="00126EE2">
        <w:rPr>
          <w:sz w:val="24"/>
          <w:szCs w:val="24"/>
        </w:rPr>
        <w:t xml:space="preserve">Keep updated with current regulations, guidance, and compliances </w:t>
      </w:r>
    </w:p>
    <w:p w14:paraId="76D96C28" w14:textId="77777777" w:rsidR="00DA0327" w:rsidRPr="00126EE2" w:rsidRDefault="00DA0327" w:rsidP="00DA0327">
      <w:pPr>
        <w:pStyle w:val="ListParagraph"/>
        <w:numPr>
          <w:ilvl w:val="0"/>
          <w:numId w:val="13"/>
        </w:numPr>
        <w:spacing w:line="360" w:lineRule="auto"/>
        <w:jc w:val="both"/>
        <w:rPr>
          <w:sz w:val="24"/>
          <w:szCs w:val="24"/>
        </w:rPr>
      </w:pPr>
      <w:r w:rsidRPr="00126EE2">
        <w:rPr>
          <w:sz w:val="24"/>
          <w:szCs w:val="24"/>
        </w:rPr>
        <w:t xml:space="preserve">It organizes mock inspections, audits </w:t>
      </w:r>
    </w:p>
    <w:p w14:paraId="0E172203" w14:textId="77777777" w:rsidR="00DA0327" w:rsidRPr="00126EE2" w:rsidRDefault="00DA0327" w:rsidP="00DA0327">
      <w:pPr>
        <w:pStyle w:val="ListParagraph"/>
        <w:numPr>
          <w:ilvl w:val="0"/>
          <w:numId w:val="13"/>
        </w:numPr>
        <w:spacing w:line="360" w:lineRule="auto"/>
        <w:jc w:val="both"/>
        <w:rPr>
          <w:sz w:val="24"/>
          <w:szCs w:val="24"/>
        </w:rPr>
      </w:pPr>
      <w:r w:rsidRPr="00126EE2">
        <w:rPr>
          <w:sz w:val="24"/>
          <w:szCs w:val="24"/>
        </w:rPr>
        <w:t xml:space="preserve">Provide unbiased reviews </w:t>
      </w:r>
    </w:p>
    <w:p w14:paraId="28807AB9" w14:textId="77777777" w:rsidR="00DA0327" w:rsidRPr="00126EE2" w:rsidRDefault="00DA0327" w:rsidP="00DA0327">
      <w:pPr>
        <w:pStyle w:val="ListParagraph"/>
        <w:numPr>
          <w:ilvl w:val="0"/>
          <w:numId w:val="13"/>
        </w:numPr>
        <w:spacing w:line="360" w:lineRule="auto"/>
        <w:jc w:val="both"/>
        <w:rPr>
          <w:sz w:val="24"/>
          <w:szCs w:val="24"/>
        </w:rPr>
      </w:pPr>
      <w:r w:rsidRPr="00126EE2">
        <w:rPr>
          <w:sz w:val="24"/>
          <w:szCs w:val="24"/>
        </w:rPr>
        <w:t xml:space="preserve">Provide formal training to make competent to handle inspections </w:t>
      </w:r>
    </w:p>
    <w:p w14:paraId="63F0D66F" w14:textId="77777777" w:rsidR="00DA0327" w:rsidRPr="00126EE2" w:rsidRDefault="00DA0327" w:rsidP="00DA0327">
      <w:pPr>
        <w:spacing w:line="480" w:lineRule="auto"/>
        <w:jc w:val="both"/>
        <w:rPr>
          <w:sz w:val="24"/>
          <w:szCs w:val="24"/>
        </w:rPr>
      </w:pPr>
      <w:r w:rsidRPr="00126EE2">
        <w:rPr>
          <w:sz w:val="24"/>
          <w:szCs w:val="24"/>
        </w:rPr>
        <w:t xml:space="preserve">In </w:t>
      </w:r>
      <w:proofErr w:type="spellStart"/>
      <w:r w:rsidRPr="00126EE2">
        <w:rPr>
          <w:sz w:val="24"/>
          <w:szCs w:val="24"/>
        </w:rPr>
        <w:t>VaudBiotech</w:t>
      </w:r>
      <w:proofErr w:type="spellEnd"/>
      <w:r w:rsidRPr="00126EE2">
        <w:rPr>
          <w:sz w:val="24"/>
          <w:szCs w:val="24"/>
        </w:rPr>
        <w:t xml:space="preserve"> SA, inspection readiness is considered the state of the operation. We are confident and fully equipped to welcome inspectors and satisfactorily answer their questions. </w:t>
      </w:r>
    </w:p>
    <w:p w14:paraId="295F4840" w14:textId="77777777" w:rsidR="00DA0327" w:rsidRPr="00126EE2" w:rsidRDefault="00DA0327" w:rsidP="00DA0327">
      <w:pPr>
        <w:spacing w:line="480" w:lineRule="auto"/>
        <w:jc w:val="both"/>
        <w:rPr>
          <w:sz w:val="24"/>
          <w:szCs w:val="24"/>
        </w:rPr>
      </w:pPr>
    </w:p>
    <w:p w14:paraId="4763969E" w14:textId="77777777" w:rsidR="00DA0327" w:rsidRPr="00126EE2" w:rsidRDefault="00DA0327" w:rsidP="00DA0327">
      <w:pPr>
        <w:spacing w:line="480" w:lineRule="auto"/>
        <w:jc w:val="both"/>
        <w:rPr>
          <w:sz w:val="24"/>
          <w:szCs w:val="24"/>
        </w:rPr>
      </w:pPr>
    </w:p>
    <w:p w14:paraId="5295FD4B" w14:textId="77777777" w:rsidR="00DA0327" w:rsidRPr="00126EE2" w:rsidRDefault="00DA0327" w:rsidP="00DA0327">
      <w:pPr>
        <w:spacing w:line="480" w:lineRule="auto"/>
        <w:jc w:val="both"/>
        <w:rPr>
          <w:sz w:val="24"/>
          <w:szCs w:val="24"/>
        </w:rPr>
      </w:pPr>
    </w:p>
    <w:p w14:paraId="5F23148A" w14:textId="77777777" w:rsidR="00DA0327" w:rsidRPr="00126EE2" w:rsidRDefault="00DA0327" w:rsidP="00DA0327">
      <w:pPr>
        <w:spacing w:line="480" w:lineRule="auto"/>
        <w:jc w:val="both"/>
        <w:rPr>
          <w:sz w:val="24"/>
          <w:szCs w:val="24"/>
        </w:rPr>
      </w:pPr>
    </w:p>
    <w:p w14:paraId="5FD7DA5B" w14:textId="77777777" w:rsidR="00DA0327" w:rsidRPr="00126EE2" w:rsidRDefault="00DA0327" w:rsidP="00DA0327">
      <w:pPr>
        <w:pStyle w:val="Heading1"/>
        <w:numPr>
          <w:ilvl w:val="0"/>
          <w:numId w:val="6"/>
        </w:numPr>
        <w:spacing w:line="480" w:lineRule="auto"/>
        <w:ind w:left="780"/>
        <w:jc w:val="both"/>
        <w:rPr>
          <w:rFonts w:asciiTheme="minorHAnsi" w:hAnsiTheme="minorHAnsi" w:cstheme="minorHAnsi"/>
          <w:sz w:val="24"/>
          <w:szCs w:val="24"/>
        </w:rPr>
      </w:pPr>
      <w:bookmarkStart w:id="9" w:name="_Toc20143655"/>
      <w:r w:rsidRPr="00126EE2">
        <w:rPr>
          <w:rFonts w:asciiTheme="minorHAnsi" w:hAnsiTheme="minorHAnsi" w:cstheme="minorHAnsi"/>
          <w:sz w:val="24"/>
          <w:szCs w:val="24"/>
        </w:rPr>
        <w:lastRenderedPageBreak/>
        <w:t>Overall strategy</w:t>
      </w:r>
      <w:bookmarkEnd w:id="9"/>
      <w:r w:rsidRPr="00126EE2">
        <w:rPr>
          <w:rFonts w:asciiTheme="minorHAnsi" w:hAnsiTheme="minorHAnsi" w:cstheme="minorHAnsi"/>
          <w:sz w:val="24"/>
          <w:szCs w:val="24"/>
        </w:rPr>
        <w:t xml:space="preserve"> – </w:t>
      </w:r>
    </w:p>
    <w:p w14:paraId="76E0C84C" w14:textId="77777777" w:rsidR="00DA0327" w:rsidRPr="00126EE2" w:rsidRDefault="00DA0327" w:rsidP="00DA0327">
      <w:pPr>
        <w:spacing w:line="480" w:lineRule="auto"/>
        <w:jc w:val="both"/>
        <w:rPr>
          <w:sz w:val="24"/>
          <w:szCs w:val="24"/>
        </w:rPr>
      </w:pPr>
      <w:r w:rsidRPr="00126EE2">
        <w:rPr>
          <w:sz w:val="24"/>
          <w:szCs w:val="24"/>
        </w:rPr>
        <w:t xml:space="preserve">We aim to provide safe, effective, and quality drugs to patients. We have strictly and stringently monitored the drug development process to ensure the study is carried out under the regulations, guidance, and compliance. Therefore, we have designed well defined, robust regulatory strategy to ensure Hertumig gets approval to treat HER2+ breast cancer.  </w:t>
      </w:r>
    </w:p>
    <w:p w14:paraId="2870F363" w14:textId="77777777" w:rsidR="00DA0327" w:rsidRPr="00126EE2" w:rsidRDefault="00DA0327" w:rsidP="00DA0327">
      <w:pPr>
        <w:spacing w:line="480" w:lineRule="auto"/>
        <w:jc w:val="both"/>
        <w:rPr>
          <w:sz w:val="24"/>
          <w:szCs w:val="24"/>
        </w:rPr>
      </w:pPr>
      <w:r w:rsidRPr="00126EE2">
        <w:rPr>
          <w:sz w:val="24"/>
          <w:szCs w:val="24"/>
        </w:rPr>
        <w:t>The regulatory strategy for Hertumig consists of the following components -</w:t>
      </w:r>
    </w:p>
    <w:p w14:paraId="1035E679"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Literature review for critically and carefully designing studies </w:t>
      </w:r>
    </w:p>
    <w:p w14:paraId="7ED76AB3"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Learn from the past submission in the same category </w:t>
      </w:r>
    </w:p>
    <w:p w14:paraId="29253E74"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Consistent, clear, and precise datasets generated from studies </w:t>
      </w:r>
    </w:p>
    <w:p w14:paraId="14D9B180"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Practical and feasible timeline for deliverables </w:t>
      </w:r>
    </w:p>
    <w:p w14:paraId="7E7B284E"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Timely crosstalk among stakeholders </w:t>
      </w:r>
    </w:p>
    <w:p w14:paraId="55C62A00"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Dedicated team for handling documentation, submission </w:t>
      </w:r>
    </w:p>
    <w:p w14:paraId="2E4630F8"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Dedicated team for CMC and manufacturing (most critical)</w:t>
      </w:r>
    </w:p>
    <w:p w14:paraId="55D1744E"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Dedicated IP- patenting team </w:t>
      </w:r>
    </w:p>
    <w:p w14:paraId="5F67C8D9"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Consultation from an expert in the field </w:t>
      </w:r>
    </w:p>
    <w:p w14:paraId="2B9117FB"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Organize a pre-submission meeting with health agencies for feedback and guidance </w:t>
      </w:r>
    </w:p>
    <w:p w14:paraId="7851C847"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Update on global regulatory requirements  </w:t>
      </w:r>
    </w:p>
    <w:p w14:paraId="747D52A9"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Streamline strategy </w:t>
      </w:r>
    </w:p>
    <w:p w14:paraId="06D91BCD"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Strategic and operational outsourcing</w:t>
      </w:r>
    </w:p>
    <w:p w14:paraId="520C4B6F" w14:textId="77777777" w:rsidR="00DA0327" w:rsidRPr="00126EE2" w:rsidRDefault="00DA0327" w:rsidP="00DA0327">
      <w:pPr>
        <w:pStyle w:val="ListParagraph"/>
        <w:numPr>
          <w:ilvl w:val="0"/>
          <w:numId w:val="12"/>
        </w:numPr>
        <w:spacing w:line="360" w:lineRule="auto"/>
        <w:jc w:val="both"/>
        <w:rPr>
          <w:sz w:val="24"/>
          <w:szCs w:val="24"/>
        </w:rPr>
      </w:pPr>
      <w:r w:rsidRPr="00126EE2">
        <w:rPr>
          <w:sz w:val="24"/>
          <w:szCs w:val="24"/>
        </w:rPr>
        <w:t xml:space="preserve">Scientific advice and Protocol assistance from the Scientific Advice Working Party (SWAP) </w:t>
      </w:r>
    </w:p>
    <w:p w14:paraId="3CB6B17F" w14:textId="77777777" w:rsidR="00DA0327" w:rsidRPr="00126EE2" w:rsidRDefault="00DA0327" w:rsidP="00DA0327">
      <w:pPr>
        <w:spacing w:line="480" w:lineRule="auto"/>
        <w:jc w:val="both"/>
      </w:pPr>
      <w:r w:rsidRPr="00126EE2">
        <w:rPr>
          <w:sz w:val="24"/>
          <w:szCs w:val="24"/>
        </w:rPr>
        <w:t>A robust regulatory strategy will assist in a smooth and swift transition from the preclinical to the clinical phase. We will choose a centralized marketing authorization application (MAA). A single application to EMA is valid for all the members of the EU. We have filed a patent application and aim to get market exclusivity rights for ten years.</w:t>
      </w:r>
    </w:p>
    <w:p w14:paraId="47C43C9D" w14:textId="77777777" w:rsidR="00DA0327" w:rsidRPr="00126EE2" w:rsidRDefault="00DA0327" w:rsidP="00DA0327">
      <w:pPr>
        <w:pStyle w:val="NormalWeb"/>
        <w:spacing w:before="0" w:beforeAutospacing="0" w:after="0" w:afterAutospacing="0"/>
        <w:rPr>
          <w:lang w:val="en-US"/>
        </w:rPr>
      </w:pPr>
      <w:r w:rsidRPr="00126EE2">
        <w:rPr>
          <w:rFonts w:ascii="Calibri" w:hAnsi="Calibri"/>
          <w:color w:val="000000"/>
          <w:lang w:val="en-US"/>
        </w:rPr>
        <w:t> </w:t>
      </w:r>
    </w:p>
    <w:p w14:paraId="4E5626F4" w14:textId="77777777" w:rsidR="00DA0327" w:rsidRPr="00126EE2" w:rsidRDefault="00DA0327" w:rsidP="00DA0327">
      <w:pPr>
        <w:pStyle w:val="Heading1"/>
        <w:numPr>
          <w:ilvl w:val="0"/>
          <w:numId w:val="6"/>
        </w:numPr>
        <w:spacing w:line="480" w:lineRule="auto"/>
        <w:ind w:left="780"/>
        <w:jc w:val="both"/>
        <w:rPr>
          <w:rFonts w:asciiTheme="minorHAnsi" w:hAnsiTheme="minorHAnsi"/>
          <w:sz w:val="24"/>
          <w:szCs w:val="24"/>
        </w:rPr>
      </w:pPr>
      <w:bookmarkStart w:id="10" w:name="_Toc20143656"/>
      <w:r w:rsidRPr="00126EE2">
        <w:rPr>
          <w:rFonts w:asciiTheme="minorHAnsi" w:hAnsiTheme="minorHAnsi" w:cstheme="minorHAnsi"/>
          <w:sz w:val="24"/>
          <w:szCs w:val="24"/>
        </w:rPr>
        <w:lastRenderedPageBreak/>
        <w:t>Advice to Management</w:t>
      </w:r>
      <w:bookmarkEnd w:id="10"/>
    </w:p>
    <w:p w14:paraId="5A214943" w14:textId="77777777" w:rsidR="00DA0327" w:rsidRPr="00126EE2" w:rsidRDefault="00DA0327" w:rsidP="00DA0327">
      <w:pPr>
        <w:spacing w:line="480" w:lineRule="auto"/>
        <w:jc w:val="both"/>
        <w:rPr>
          <w:sz w:val="24"/>
          <w:szCs w:val="24"/>
        </w:rPr>
      </w:pPr>
      <w:r w:rsidRPr="00126EE2">
        <w:rPr>
          <w:sz w:val="24"/>
          <w:szCs w:val="24"/>
        </w:rPr>
        <w:t>A Hertumig drug development process has been planned considering the limitations of the currently available treatment for breast cancer. Per current regulations and guidelines, the Hertumig drug discovery and development plan has been carefully and critically drafted by our team.</w:t>
      </w:r>
    </w:p>
    <w:p w14:paraId="4A047B63" w14:textId="77777777" w:rsidR="00DA0327" w:rsidRPr="00126EE2" w:rsidRDefault="00DA0327" w:rsidP="00DA0327">
      <w:pPr>
        <w:spacing w:line="480" w:lineRule="auto"/>
        <w:jc w:val="both"/>
        <w:rPr>
          <w:sz w:val="24"/>
          <w:szCs w:val="24"/>
        </w:rPr>
      </w:pPr>
      <w:r w:rsidRPr="00126EE2">
        <w:rPr>
          <w:sz w:val="24"/>
          <w:szCs w:val="24"/>
        </w:rPr>
        <w:t>In a preclinical and clinical phase I studies, safety and efficacy were evaluated in the first place. Convincing robust datasets from our preclinical studies established a reliable platform for clinical phase I studies. Simultaneous optimization of the manufacturing design process prepared us for the large-scale production of the drug. Regulatory guidelines were followed strictly and stringently for the large-scale production of Hertumig. In addition, the necessary documentation supporting our studies has been completed and submitted on time.</w:t>
      </w:r>
    </w:p>
    <w:p w14:paraId="28FE5BF5" w14:textId="77777777" w:rsidR="00DA0327" w:rsidRPr="00126EE2" w:rsidRDefault="00DA0327" w:rsidP="00DA0327">
      <w:pPr>
        <w:spacing w:line="480" w:lineRule="auto"/>
        <w:jc w:val="both"/>
        <w:rPr>
          <w:sz w:val="24"/>
          <w:szCs w:val="24"/>
        </w:rPr>
      </w:pPr>
      <w:r w:rsidRPr="00126EE2">
        <w:rPr>
          <w:sz w:val="24"/>
          <w:szCs w:val="24"/>
        </w:rPr>
        <w:t>In summary, we will deliver a safe, efficacious, quality drug, Hertumig, which can be a crucial player in HER2+ breast cancer treatment. Datasets from our preclinical and phase I clinical study give us the impression that we will complete subsequent phases of the drug development process in time.</w:t>
      </w:r>
    </w:p>
    <w:p w14:paraId="411A9B6C" w14:textId="77777777" w:rsidR="00DA0327" w:rsidRPr="00126EE2" w:rsidRDefault="00DA0327" w:rsidP="00DA0327">
      <w:pPr>
        <w:pStyle w:val="Heading1"/>
        <w:numPr>
          <w:ilvl w:val="0"/>
          <w:numId w:val="6"/>
        </w:numPr>
        <w:spacing w:line="480" w:lineRule="auto"/>
        <w:ind w:left="780"/>
        <w:jc w:val="both"/>
        <w:rPr>
          <w:rFonts w:asciiTheme="minorHAnsi" w:hAnsiTheme="minorHAnsi" w:cstheme="minorHAnsi"/>
          <w:sz w:val="24"/>
          <w:szCs w:val="24"/>
        </w:rPr>
      </w:pPr>
      <w:bookmarkStart w:id="11" w:name="_Toc20143657"/>
      <w:r w:rsidRPr="00126EE2">
        <w:rPr>
          <w:rFonts w:asciiTheme="minorHAnsi" w:hAnsiTheme="minorHAnsi" w:cstheme="minorHAnsi"/>
          <w:sz w:val="24"/>
          <w:szCs w:val="24"/>
        </w:rPr>
        <w:t>Conclusion</w:t>
      </w:r>
      <w:bookmarkEnd w:id="11"/>
      <w:r w:rsidRPr="00126EE2">
        <w:rPr>
          <w:rFonts w:asciiTheme="minorHAnsi" w:hAnsiTheme="minorHAnsi" w:cstheme="minorHAnsi"/>
          <w:sz w:val="24"/>
          <w:szCs w:val="24"/>
        </w:rPr>
        <w:t xml:space="preserve"> –  </w:t>
      </w:r>
    </w:p>
    <w:p w14:paraId="34C95AC6" w14:textId="77777777" w:rsidR="00DA0327" w:rsidRPr="00126EE2" w:rsidRDefault="00DA0327" w:rsidP="00DA0327">
      <w:pPr>
        <w:spacing w:line="480" w:lineRule="auto"/>
        <w:jc w:val="both"/>
        <w:rPr>
          <w:sz w:val="24"/>
          <w:szCs w:val="24"/>
        </w:rPr>
      </w:pPr>
      <w:r w:rsidRPr="00126EE2">
        <w:rPr>
          <w:sz w:val="24"/>
          <w:szCs w:val="24"/>
        </w:rPr>
        <w:t xml:space="preserve">In this study, we are explicitly targeting the HER+ positive subtype of breast cancer. Hertumig drug discovery, development, and production were planned and executed according to current regulatory guidelines and compliances. So far, we have completed preclinical studies in time without any adverse events. We have determined the First- in- human dose and evaluated the safety and efficacy of the Hertumig by </w:t>
      </w:r>
      <w:r w:rsidRPr="00126EE2">
        <w:rPr>
          <w:i/>
          <w:iCs/>
          <w:sz w:val="24"/>
          <w:szCs w:val="24"/>
        </w:rPr>
        <w:t>in vivo</w:t>
      </w:r>
      <w:r w:rsidRPr="00126EE2">
        <w:rPr>
          <w:sz w:val="24"/>
          <w:szCs w:val="24"/>
        </w:rPr>
        <w:t xml:space="preserve"> and</w:t>
      </w:r>
      <w:r w:rsidRPr="00126EE2">
        <w:rPr>
          <w:i/>
          <w:iCs/>
          <w:sz w:val="24"/>
          <w:szCs w:val="24"/>
        </w:rPr>
        <w:t xml:space="preserve"> in vitro</w:t>
      </w:r>
      <w:r w:rsidRPr="00126EE2">
        <w:rPr>
          <w:sz w:val="24"/>
          <w:szCs w:val="24"/>
        </w:rPr>
        <w:t xml:space="preserve"> assays. In addition, a combinational study with existing therapies was carried out. We are confident to enter the next stage of the drug development process.</w:t>
      </w:r>
    </w:p>
    <w:p w14:paraId="2BAC1DEC" w14:textId="77777777" w:rsidR="00DA0327" w:rsidRPr="00126EE2" w:rsidRDefault="00DA0327" w:rsidP="00DA0327">
      <w:pPr>
        <w:pStyle w:val="NormalWeb"/>
        <w:spacing w:before="0" w:beforeAutospacing="0" w:after="0" w:afterAutospacing="0" w:line="480" w:lineRule="auto"/>
        <w:ind w:left="360"/>
        <w:jc w:val="both"/>
        <w:rPr>
          <w:rFonts w:asciiTheme="minorHAnsi" w:hAnsiTheme="minorHAnsi" w:cstheme="minorHAnsi"/>
          <w:color w:val="2F5496" w:themeColor="accent1" w:themeShade="BF"/>
          <w:lang w:val="en-US"/>
        </w:rPr>
      </w:pPr>
      <w:r w:rsidRPr="00126EE2">
        <w:rPr>
          <w:rFonts w:asciiTheme="minorHAnsi" w:hAnsiTheme="minorHAnsi" w:cstheme="minorHAnsi"/>
          <w:color w:val="2F5496" w:themeColor="accent1" w:themeShade="BF"/>
          <w:lang w:val="en-US"/>
        </w:rPr>
        <w:lastRenderedPageBreak/>
        <w:t>References –</w:t>
      </w:r>
    </w:p>
    <w:p w14:paraId="0B33D4DE" w14:textId="364E3FA2"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126EE2">
        <w:rPr>
          <w:rFonts w:cstheme="minorHAnsi"/>
          <w:color w:val="2F5496" w:themeColor="accent1" w:themeShade="BF"/>
        </w:rPr>
        <w:fldChar w:fldCharType="begin" w:fldLock="1"/>
      </w:r>
      <w:r w:rsidRPr="00126EE2">
        <w:rPr>
          <w:rFonts w:cstheme="minorHAnsi"/>
          <w:color w:val="2F5496" w:themeColor="accent1" w:themeShade="BF"/>
        </w:rPr>
        <w:instrText xml:space="preserve">ADDIN Mendeley Bibliography CSL_BIBLIOGRAPHY </w:instrText>
      </w:r>
      <w:r w:rsidRPr="00126EE2">
        <w:rPr>
          <w:rFonts w:cstheme="minorHAnsi"/>
          <w:color w:val="2F5496" w:themeColor="accent1" w:themeShade="BF"/>
        </w:rPr>
        <w:fldChar w:fldCharType="separate"/>
      </w:r>
      <w:r w:rsidRPr="00DA0327">
        <w:rPr>
          <w:rFonts w:ascii="Calibri" w:hAnsi="Calibri" w:cs="Calibri"/>
          <w:noProof/>
          <w:sz w:val="24"/>
          <w:szCs w:val="24"/>
        </w:rPr>
        <w:t xml:space="preserve">AK, K., &amp; TR, E. (2008). The epidermal growth factor receptor family in breast cancer. </w:t>
      </w:r>
      <w:r w:rsidRPr="00DA0327">
        <w:rPr>
          <w:rFonts w:ascii="Calibri" w:hAnsi="Calibri" w:cs="Calibri"/>
          <w:i/>
          <w:iCs/>
          <w:noProof/>
          <w:sz w:val="24"/>
          <w:szCs w:val="24"/>
        </w:rPr>
        <w:t>OncoTargets and Therapy</w:t>
      </w:r>
      <w:r w:rsidRPr="00DA0327">
        <w:rPr>
          <w:rFonts w:ascii="Calibri" w:hAnsi="Calibri" w:cs="Calibri"/>
          <w:noProof/>
          <w:sz w:val="24"/>
          <w:szCs w:val="24"/>
        </w:rPr>
        <w:t xml:space="preserve">, </w:t>
      </w:r>
      <w:r w:rsidRPr="00DA0327">
        <w:rPr>
          <w:rFonts w:ascii="Calibri" w:hAnsi="Calibri" w:cs="Calibri"/>
          <w:i/>
          <w:iCs/>
          <w:noProof/>
          <w:sz w:val="24"/>
          <w:szCs w:val="24"/>
        </w:rPr>
        <w:t>1</w:t>
      </w:r>
      <w:r w:rsidRPr="00DA0327">
        <w:rPr>
          <w:rFonts w:ascii="Calibri" w:hAnsi="Calibri" w:cs="Calibri"/>
          <w:noProof/>
          <w:sz w:val="24"/>
          <w:szCs w:val="24"/>
        </w:rPr>
        <w:t>, 5. https://doi.org/10.2147/OTT.S3842</w:t>
      </w:r>
    </w:p>
    <w:p w14:paraId="5E79FAC6"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Amiri-Kordestani, L., Wedam, S., Zhang, L., Tang, S., Tilley, A., Ibrahim, A., Justice, R., Pazdur, R., &amp; Cortazar, P. (2014). First FDA approval of neoadjuvant therapy for breast cancer: pertuzumab for the treatment of patients with HER2-positive breast cancer. </w:t>
      </w:r>
      <w:r w:rsidRPr="00DA0327">
        <w:rPr>
          <w:rFonts w:ascii="Calibri" w:hAnsi="Calibri" w:cs="Calibri"/>
          <w:i/>
          <w:iCs/>
          <w:noProof/>
          <w:sz w:val="24"/>
          <w:szCs w:val="24"/>
        </w:rPr>
        <w:t>Clinical Cancer Research : An Official Journal of the American Association for Cancer Research</w:t>
      </w:r>
      <w:r w:rsidRPr="00DA0327">
        <w:rPr>
          <w:rFonts w:ascii="Calibri" w:hAnsi="Calibri" w:cs="Calibri"/>
          <w:noProof/>
          <w:sz w:val="24"/>
          <w:szCs w:val="24"/>
        </w:rPr>
        <w:t xml:space="preserve">, </w:t>
      </w:r>
      <w:r w:rsidRPr="00DA0327">
        <w:rPr>
          <w:rFonts w:ascii="Calibri" w:hAnsi="Calibri" w:cs="Calibri"/>
          <w:i/>
          <w:iCs/>
          <w:noProof/>
          <w:sz w:val="24"/>
          <w:szCs w:val="24"/>
        </w:rPr>
        <w:t>20</w:t>
      </w:r>
      <w:r w:rsidRPr="00DA0327">
        <w:rPr>
          <w:rFonts w:ascii="Calibri" w:hAnsi="Calibri" w:cs="Calibri"/>
          <w:noProof/>
          <w:sz w:val="24"/>
          <w:szCs w:val="24"/>
        </w:rPr>
        <w:t>(21), 5359–5364. https://doi.org/10.1158/1078-0432.CCR-14-1268</w:t>
      </w:r>
    </w:p>
    <w:p w14:paraId="08966BA1"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Andrade, E. L., Bento, A. F., Cavalli, J., Oliveira, S. K., Schwanke, R. C., Siqueira, J. M., Freitas, C. S., Marcon, R., &amp; Calixto, J. B. (2016). Non-clinical studies in the process of new drug development - Part II: Good laboratory practice, metabolism, pharmacokinetics, safety and dose translation to clinical studies. </w:t>
      </w:r>
      <w:r w:rsidRPr="00DA0327">
        <w:rPr>
          <w:rFonts w:ascii="Calibri" w:hAnsi="Calibri" w:cs="Calibri"/>
          <w:i/>
          <w:iCs/>
          <w:noProof/>
          <w:sz w:val="24"/>
          <w:szCs w:val="24"/>
        </w:rPr>
        <w:t>Brazilian Journal of Medical and Biological Research = Revista Brasileira de Pesquisas Medicas e Biologicas</w:t>
      </w:r>
      <w:r w:rsidRPr="00DA0327">
        <w:rPr>
          <w:rFonts w:ascii="Calibri" w:hAnsi="Calibri" w:cs="Calibri"/>
          <w:noProof/>
          <w:sz w:val="24"/>
          <w:szCs w:val="24"/>
        </w:rPr>
        <w:t xml:space="preserve">, </w:t>
      </w:r>
      <w:r w:rsidRPr="00DA0327">
        <w:rPr>
          <w:rFonts w:ascii="Calibri" w:hAnsi="Calibri" w:cs="Calibri"/>
          <w:i/>
          <w:iCs/>
          <w:noProof/>
          <w:sz w:val="24"/>
          <w:szCs w:val="24"/>
        </w:rPr>
        <w:t>49</w:t>
      </w:r>
      <w:r w:rsidRPr="00DA0327">
        <w:rPr>
          <w:rFonts w:ascii="Calibri" w:hAnsi="Calibri" w:cs="Calibri"/>
          <w:noProof/>
          <w:sz w:val="24"/>
          <w:szCs w:val="24"/>
        </w:rPr>
        <w:t>(12), e5646. https://doi.org/10.1590/1414-431X20165646</w:t>
      </w:r>
    </w:p>
    <w:p w14:paraId="0DABAFF8"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Balduzzi, S., Mantarro, S., Guarneri, V., Tagliabue, L., Pistotti, V., Moja, L., &amp; D’Amico, R. (2014). Trastuzumab-containing regimens for metastatic breast cancer. </w:t>
      </w:r>
      <w:r w:rsidRPr="00DA0327">
        <w:rPr>
          <w:rFonts w:ascii="Calibri" w:hAnsi="Calibri" w:cs="Calibri"/>
          <w:i/>
          <w:iCs/>
          <w:noProof/>
          <w:sz w:val="24"/>
          <w:szCs w:val="24"/>
        </w:rPr>
        <w:t>Cochrane Database of Systematic Reviews</w:t>
      </w:r>
      <w:r w:rsidRPr="00DA0327">
        <w:rPr>
          <w:rFonts w:ascii="Calibri" w:hAnsi="Calibri" w:cs="Calibri"/>
          <w:noProof/>
          <w:sz w:val="24"/>
          <w:szCs w:val="24"/>
        </w:rPr>
        <w:t xml:space="preserve">, </w:t>
      </w:r>
      <w:r w:rsidRPr="00DA0327">
        <w:rPr>
          <w:rFonts w:ascii="Calibri" w:hAnsi="Calibri" w:cs="Calibri"/>
          <w:i/>
          <w:iCs/>
          <w:noProof/>
          <w:sz w:val="24"/>
          <w:szCs w:val="24"/>
        </w:rPr>
        <w:t>2014</w:t>
      </w:r>
      <w:r w:rsidRPr="00DA0327">
        <w:rPr>
          <w:rFonts w:ascii="Calibri" w:hAnsi="Calibri" w:cs="Calibri"/>
          <w:noProof/>
          <w:sz w:val="24"/>
          <w:szCs w:val="24"/>
        </w:rPr>
        <w:t>(6). https://doi.org/10.1002/14651858.CD006242.pub2</w:t>
      </w:r>
    </w:p>
    <w:p w14:paraId="0E8A8494"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Balocco, R., De Sousa Guimaraes Koch, S., Thorpe, R., Weisser, K., &amp; Malan, S. (2022). New INN nomenclature for monoclonal antibodies. </w:t>
      </w:r>
      <w:r w:rsidRPr="00DA0327">
        <w:rPr>
          <w:rFonts w:ascii="Calibri" w:hAnsi="Calibri" w:cs="Calibri"/>
          <w:i/>
          <w:iCs/>
          <w:noProof/>
          <w:sz w:val="24"/>
          <w:szCs w:val="24"/>
        </w:rPr>
        <w:t>Lancet (London, England)</w:t>
      </w:r>
      <w:r w:rsidRPr="00DA0327">
        <w:rPr>
          <w:rFonts w:ascii="Calibri" w:hAnsi="Calibri" w:cs="Calibri"/>
          <w:noProof/>
          <w:sz w:val="24"/>
          <w:szCs w:val="24"/>
        </w:rPr>
        <w:t xml:space="preserve">, </w:t>
      </w:r>
      <w:r w:rsidRPr="00DA0327">
        <w:rPr>
          <w:rFonts w:ascii="Calibri" w:hAnsi="Calibri" w:cs="Calibri"/>
          <w:i/>
          <w:iCs/>
          <w:noProof/>
          <w:sz w:val="24"/>
          <w:szCs w:val="24"/>
        </w:rPr>
        <w:t>399</w:t>
      </w:r>
      <w:r w:rsidRPr="00DA0327">
        <w:rPr>
          <w:rFonts w:ascii="Calibri" w:hAnsi="Calibri" w:cs="Calibri"/>
          <w:noProof/>
          <w:sz w:val="24"/>
          <w:szCs w:val="24"/>
        </w:rPr>
        <w:t>(10319), 24. https://doi.org/10.1016/S0140-6736(21)02732-X</w:t>
      </w:r>
    </w:p>
    <w:p w14:paraId="730CE02E"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Chiavenna, S. M., Jaworski, J. P., &amp; Vendrell, A. (2017). State of the art in anti-cancer mAbs. </w:t>
      </w:r>
      <w:r w:rsidRPr="00DA0327">
        <w:rPr>
          <w:rFonts w:ascii="Calibri" w:hAnsi="Calibri" w:cs="Calibri"/>
          <w:i/>
          <w:iCs/>
          <w:noProof/>
          <w:sz w:val="24"/>
          <w:szCs w:val="24"/>
        </w:rPr>
        <w:t>Journal of Biomedical Science</w:t>
      </w:r>
      <w:r w:rsidRPr="00DA0327">
        <w:rPr>
          <w:rFonts w:ascii="Calibri" w:hAnsi="Calibri" w:cs="Calibri"/>
          <w:noProof/>
          <w:sz w:val="24"/>
          <w:szCs w:val="24"/>
        </w:rPr>
        <w:t xml:space="preserve">, </w:t>
      </w:r>
      <w:r w:rsidRPr="00DA0327">
        <w:rPr>
          <w:rFonts w:ascii="Calibri" w:hAnsi="Calibri" w:cs="Calibri"/>
          <w:i/>
          <w:iCs/>
          <w:noProof/>
          <w:sz w:val="24"/>
          <w:szCs w:val="24"/>
        </w:rPr>
        <w:t>24</w:t>
      </w:r>
      <w:r w:rsidRPr="00DA0327">
        <w:rPr>
          <w:rFonts w:ascii="Calibri" w:hAnsi="Calibri" w:cs="Calibri"/>
          <w:noProof/>
          <w:sz w:val="24"/>
          <w:szCs w:val="24"/>
        </w:rPr>
        <w:t>(1). https://doi.org/10.1186/S12929-016-0311-Y</w:t>
      </w:r>
    </w:p>
    <w:p w14:paraId="50012A50"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Goldhirsch, A., Gelber, R. D., Piccart-Gebhart, M. J., De Azambuja, E., Procter, M., Suter, T. M., Jackisch, C., Cameron, D., Weber, H. A., Heinzmann, D., Lago, L. D., McFadden, E., Dowsett, M., Untch, M., Gianni, L., Bell, R., Köhne, C. H., Vindevoghel, A., Andersson, M., … Baselga, J. (2013). 2 years versus 1 year of adjuvant trastuzumab for HER2-positive breast cancer (HERA): an open-label, randomised controlled trial. </w:t>
      </w:r>
      <w:r w:rsidRPr="00DA0327">
        <w:rPr>
          <w:rFonts w:ascii="Calibri" w:hAnsi="Calibri" w:cs="Calibri"/>
          <w:i/>
          <w:iCs/>
          <w:noProof/>
          <w:sz w:val="24"/>
          <w:szCs w:val="24"/>
        </w:rPr>
        <w:t>Lancet (London, England)</w:t>
      </w:r>
      <w:r w:rsidRPr="00DA0327">
        <w:rPr>
          <w:rFonts w:ascii="Calibri" w:hAnsi="Calibri" w:cs="Calibri"/>
          <w:noProof/>
          <w:sz w:val="24"/>
          <w:szCs w:val="24"/>
        </w:rPr>
        <w:t xml:space="preserve">, </w:t>
      </w:r>
      <w:r w:rsidRPr="00DA0327">
        <w:rPr>
          <w:rFonts w:ascii="Calibri" w:hAnsi="Calibri" w:cs="Calibri"/>
          <w:i/>
          <w:iCs/>
          <w:noProof/>
          <w:sz w:val="24"/>
          <w:szCs w:val="24"/>
        </w:rPr>
        <w:t>382</w:t>
      </w:r>
      <w:r w:rsidRPr="00DA0327">
        <w:rPr>
          <w:rFonts w:ascii="Calibri" w:hAnsi="Calibri" w:cs="Calibri"/>
          <w:noProof/>
          <w:sz w:val="24"/>
          <w:szCs w:val="24"/>
        </w:rPr>
        <w:t>(9897), 1021–1028. https://doi.org/10.1016/S0140-6736(13)61094-6</w:t>
      </w:r>
    </w:p>
    <w:p w14:paraId="57C12497"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Graus-Porta, D., Beerli, R. R., Daly, J. M., &amp; Hynes, N. E. (1997). ErbB-2, the preferred heterodimerization partner of all ErbB receptors, is a mediator of lateral signaling. </w:t>
      </w:r>
      <w:r w:rsidRPr="00DA0327">
        <w:rPr>
          <w:rFonts w:ascii="Calibri" w:hAnsi="Calibri" w:cs="Calibri"/>
          <w:i/>
          <w:iCs/>
          <w:noProof/>
          <w:sz w:val="24"/>
          <w:szCs w:val="24"/>
        </w:rPr>
        <w:t>The EMBO Journal</w:t>
      </w:r>
      <w:r w:rsidRPr="00DA0327">
        <w:rPr>
          <w:rFonts w:ascii="Calibri" w:hAnsi="Calibri" w:cs="Calibri"/>
          <w:noProof/>
          <w:sz w:val="24"/>
          <w:szCs w:val="24"/>
        </w:rPr>
        <w:t xml:space="preserve">, </w:t>
      </w:r>
      <w:r w:rsidRPr="00DA0327">
        <w:rPr>
          <w:rFonts w:ascii="Calibri" w:hAnsi="Calibri" w:cs="Calibri"/>
          <w:i/>
          <w:iCs/>
          <w:noProof/>
          <w:sz w:val="24"/>
          <w:szCs w:val="24"/>
        </w:rPr>
        <w:t>16</w:t>
      </w:r>
      <w:r w:rsidRPr="00DA0327">
        <w:rPr>
          <w:rFonts w:ascii="Calibri" w:hAnsi="Calibri" w:cs="Calibri"/>
          <w:noProof/>
          <w:sz w:val="24"/>
          <w:szCs w:val="24"/>
        </w:rPr>
        <w:t>(7), 1647–1655. https://doi.org/10.1093/EMBOJ/16.7.1647</w:t>
      </w:r>
    </w:p>
    <w:p w14:paraId="27A5936B"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Hansel, T. T., Kropshofer, H., Singer, T., Mitchell, J. A., &amp; George, A. J. T. (2010). The safety and side effects of monoclonal antibodies. </w:t>
      </w:r>
      <w:r w:rsidRPr="00DA0327">
        <w:rPr>
          <w:rFonts w:ascii="Calibri" w:hAnsi="Calibri" w:cs="Calibri"/>
          <w:i/>
          <w:iCs/>
          <w:noProof/>
          <w:sz w:val="24"/>
          <w:szCs w:val="24"/>
        </w:rPr>
        <w:t>Nature Reviews Drug Discovery 2010 9:4</w:t>
      </w:r>
      <w:r w:rsidRPr="00DA0327">
        <w:rPr>
          <w:rFonts w:ascii="Calibri" w:hAnsi="Calibri" w:cs="Calibri"/>
          <w:noProof/>
          <w:sz w:val="24"/>
          <w:szCs w:val="24"/>
        </w:rPr>
        <w:t xml:space="preserve">, </w:t>
      </w:r>
      <w:r w:rsidRPr="00DA0327">
        <w:rPr>
          <w:rFonts w:ascii="Calibri" w:hAnsi="Calibri" w:cs="Calibri"/>
          <w:i/>
          <w:iCs/>
          <w:noProof/>
          <w:sz w:val="24"/>
          <w:szCs w:val="24"/>
        </w:rPr>
        <w:t>9</w:t>
      </w:r>
      <w:r w:rsidRPr="00DA0327">
        <w:rPr>
          <w:rFonts w:ascii="Calibri" w:hAnsi="Calibri" w:cs="Calibri"/>
          <w:noProof/>
          <w:sz w:val="24"/>
          <w:szCs w:val="24"/>
        </w:rPr>
        <w:t>(4), 325–338. https://doi.org/10.1038/nrd3003</w:t>
      </w:r>
    </w:p>
    <w:p w14:paraId="16152C31"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Mitri, Z., Constantine, T., &amp; O’Regan, R. (2012). The HER2 Receptor in Breast Cancer: Pathophysiology, Clinical Use, and New Advances in Therapy. </w:t>
      </w:r>
      <w:r w:rsidRPr="00DA0327">
        <w:rPr>
          <w:rFonts w:ascii="Calibri" w:hAnsi="Calibri" w:cs="Calibri"/>
          <w:i/>
          <w:iCs/>
          <w:noProof/>
          <w:sz w:val="24"/>
          <w:szCs w:val="24"/>
        </w:rPr>
        <w:t>Chemotherapy Research and Practice</w:t>
      </w:r>
      <w:r w:rsidRPr="00DA0327">
        <w:rPr>
          <w:rFonts w:ascii="Calibri" w:hAnsi="Calibri" w:cs="Calibri"/>
          <w:noProof/>
          <w:sz w:val="24"/>
          <w:szCs w:val="24"/>
        </w:rPr>
        <w:t xml:space="preserve">, </w:t>
      </w:r>
      <w:r w:rsidRPr="00DA0327">
        <w:rPr>
          <w:rFonts w:ascii="Calibri" w:hAnsi="Calibri" w:cs="Calibri"/>
          <w:i/>
          <w:iCs/>
          <w:noProof/>
          <w:sz w:val="24"/>
          <w:szCs w:val="24"/>
        </w:rPr>
        <w:t>2012</w:t>
      </w:r>
      <w:r w:rsidRPr="00DA0327">
        <w:rPr>
          <w:rFonts w:ascii="Calibri" w:hAnsi="Calibri" w:cs="Calibri"/>
          <w:noProof/>
          <w:sz w:val="24"/>
          <w:szCs w:val="24"/>
        </w:rPr>
        <w:t>, 1–7. https://doi.org/10.1155/2012/743193</w:t>
      </w:r>
    </w:p>
    <w:p w14:paraId="454D0FBE"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Schlam, I., &amp; Swain, S. M. (2021). HER2-positive breast cancer and tyrosine kinase inhibitors: the time is now. </w:t>
      </w:r>
      <w:r w:rsidRPr="00DA0327">
        <w:rPr>
          <w:rFonts w:ascii="Calibri" w:hAnsi="Calibri" w:cs="Calibri"/>
          <w:i/>
          <w:iCs/>
          <w:noProof/>
          <w:sz w:val="24"/>
          <w:szCs w:val="24"/>
        </w:rPr>
        <w:t>NPJ Breast Cancer</w:t>
      </w:r>
      <w:r w:rsidRPr="00DA0327">
        <w:rPr>
          <w:rFonts w:ascii="Calibri" w:hAnsi="Calibri" w:cs="Calibri"/>
          <w:noProof/>
          <w:sz w:val="24"/>
          <w:szCs w:val="24"/>
        </w:rPr>
        <w:t xml:space="preserve">, </w:t>
      </w:r>
      <w:r w:rsidRPr="00DA0327">
        <w:rPr>
          <w:rFonts w:ascii="Calibri" w:hAnsi="Calibri" w:cs="Calibri"/>
          <w:i/>
          <w:iCs/>
          <w:noProof/>
          <w:sz w:val="24"/>
          <w:szCs w:val="24"/>
        </w:rPr>
        <w:t>7</w:t>
      </w:r>
      <w:r w:rsidRPr="00DA0327">
        <w:rPr>
          <w:rFonts w:ascii="Calibri" w:hAnsi="Calibri" w:cs="Calibri"/>
          <w:noProof/>
          <w:sz w:val="24"/>
          <w:szCs w:val="24"/>
        </w:rPr>
        <w:t>(1). https://doi.org/10.1038/S41523-021-00265-1</w:t>
      </w:r>
    </w:p>
    <w:p w14:paraId="3861D1DA"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Siegel, R. L., Miller, K. D., &amp; Jemal, A. (2020). Cancer statistics, 2020. </w:t>
      </w:r>
      <w:r w:rsidRPr="00DA0327">
        <w:rPr>
          <w:rFonts w:ascii="Calibri" w:hAnsi="Calibri" w:cs="Calibri"/>
          <w:i/>
          <w:iCs/>
          <w:noProof/>
          <w:sz w:val="24"/>
          <w:szCs w:val="24"/>
        </w:rPr>
        <w:t>CA: A Cancer Journal for Clinicians</w:t>
      </w:r>
      <w:r w:rsidRPr="00DA0327">
        <w:rPr>
          <w:rFonts w:ascii="Calibri" w:hAnsi="Calibri" w:cs="Calibri"/>
          <w:noProof/>
          <w:sz w:val="24"/>
          <w:szCs w:val="24"/>
        </w:rPr>
        <w:t xml:space="preserve">, </w:t>
      </w:r>
      <w:r w:rsidRPr="00DA0327">
        <w:rPr>
          <w:rFonts w:ascii="Calibri" w:hAnsi="Calibri" w:cs="Calibri"/>
          <w:i/>
          <w:iCs/>
          <w:noProof/>
          <w:sz w:val="24"/>
          <w:szCs w:val="24"/>
        </w:rPr>
        <w:t>70</w:t>
      </w:r>
      <w:r w:rsidRPr="00DA0327">
        <w:rPr>
          <w:rFonts w:ascii="Calibri" w:hAnsi="Calibri" w:cs="Calibri"/>
          <w:noProof/>
          <w:sz w:val="24"/>
          <w:szCs w:val="24"/>
        </w:rPr>
        <w:t>(1), 7–30. https://doi.org/10.3322/CAAC.21590</w:t>
      </w:r>
    </w:p>
    <w:p w14:paraId="1BBC6C44"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Spector, N. L., &amp; Blackwell, K. L. (2009). Understanding the mechanisms behind trastuzumab therapy for human epidermal growth factor receptor 2-positive breast cancer. </w:t>
      </w:r>
      <w:r w:rsidRPr="00DA0327">
        <w:rPr>
          <w:rFonts w:ascii="Calibri" w:hAnsi="Calibri" w:cs="Calibri"/>
          <w:i/>
          <w:iCs/>
          <w:noProof/>
          <w:sz w:val="24"/>
          <w:szCs w:val="24"/>
        </w:rPr>
        <w:t>Journal of Clinical Oncology : Official Journal of the American Society of Clinical Oncology</w:t>
      </w:r>
      <w:r w:rsidRPr="00DA0327">
        <w:rPr>
          <w:rFonts w:ascii="Calibri" w:hAnsi="Calibri" w:cs="Calibri"/>
          <w:noProof/>
          <w:sz w:val="24"/>
          <w:szCs w:val="24"/>
        </w:rPr>
        <w:t xml:space="preserve">, </w:t>
      </w:r>
      <w:r w:rsidRPr="00DA0327">
        <w:rPr>
          <w:rFonts w:ascii="Calibri" w:hAnsi="Calibri" w:cs="Calibri"/>
          <w:i/>
          <w:iCs/>
          <w:noProof/>
          <w:sz w:val="24"/>
          <w:szCs w:val="24"/>
        </w:rPr>
        <w:lastRenderedPageBreak/>
        <w:t>27</w:t>
      </w:r>
      <w:r w:rsidRPr="00DA0327">
        <w:rPr>
          <w:rFonts w:ascii="Calibri" w:hAnsi="Calibri" w:cs="Calibri"/>
          <w:noProof/>
          <w:sz w:val="24"/>
          <w:szCs w:val="24"/>
        </w:rPr>
        <w:t>(34), 5838–5847. https://doi.org/10.1200/JCO.2009.22.1507</w:t>
      </w:r>
    </w:p>
    <w:p w14:paraId="26923EE7"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szCs w:val="24"/>
        </w:rPr>
      </w:pPr>
      <w:r w:rsidRPr="00DA0327">
        <w:rPr>
          <w:rFonts w:ascii="Calibri" w:hAnsi="Calibri" w:cs="Calibri"/>
          <w:noProof/>
          <w:sz w:val="24"/>
          <w:szCs w:val="24"/>
        </w:rPr>
        <w:t xml:space="preserve">Tarantino, P., Morganti, S., &amp; Curigliano, G. (2021). Targeting HER2 in breast cancer: new drugs and paradigms on the horizon. </w:t>
      </w:r>
      <w:r w:rsidRPr="00DA0327">
        <w:rPr>
          <w:rFonts w:ascii="Calibri" w:hAnsi="Calibri" w:cs="Calibri"/>
          <w:i/>
          <w:iCs/>
          <w:noProof/>
          <w:sz w:val="24"/>
          <w:szCs w:val="24"/>
        </w:rPr>
        <w:t>Exploration of Targeted Anti-Tumor Therapy</w:t>
      </w:r>
      <w:r w:rsidRPr="00DA0327">
        <w:rPr>
          <w:rFonts w:ascii="Calibri" w:hAnsi="Calibri" w:cs="Calibri"/>
          <w:noProof/>
          <w:sz w:val="24"/>
          <w:szCs w:val="24"/>
        </w:rPr>
        <w:t xml:space="preserve">, </w:t>
      </w:r>
      <w:r w:rsidRPr="00DA0327">
        <w:rPr>
          <w:rFonts w:ascii="Calibri" w:hAnsi="Calibri" w:cs="Calibri"/>
          <w:i/>
          <w:iCs/>
          <w:noProof/>
          <w:sz w:val="24"/>
          <w:szCs w:val="24"/>
        </w:rPr>
        <w:t>2</w:t>
      </w:r>
      <w:r w:rsidRPr="00DA0327">
        <w:rPr>
          <w:rFonts w:ascii="Calibri" w:hAnsi="Calibri" w:cs="Calibri"/>
          <w:noProof/>
          <w:sz w:val="24"/>
          <w:szCs w:val="24"/>
        </w:rPr>
        <w:t>(2), 139–155. https://doi.org/10.37349/etat.2021.00037</w:t>
      </w:r>
    </w:p>
    <w:p w14:paraId="5383E15C" w14:textId="77777777" w:rsidR="00DA0327" w:rsidRPr="00DA0327" w:rsidRDefault="00DA0327" w:rsidP="006B5023">
      <w:pPr>
        <w:widowControl w:val="0"/>
        <w:autoSpaceDE w:val="0"/>
        <w:autoSpaceDN w:val="0"/>
        <w:adjustRightInd w:val="0"/>
        <w:spacing w:after="0" w:line="240" w:lineRule="auto"/>
        <w:ind w:left="480" w:hanging="480"/>
        <w:rPr>
          <w:rFonts w:ascii="Calibri" w:hAnsi="Calibri" w:cs="Calibri"/>
          <w:noProof/>
          <w:sz w:val="24"/>
        </w:rPr>
      </w:pPr>
      <w:r w:rsidRPr="00DA0327">
        <w:rPr>
          <w:rFonts w:ascii="Calibri" w:hAnsi="Calibri" w:cs="Calibri"/>
          <w:noProof/>
          <w:sz w:val="24"/>
          <w:szCs w:val="24"/>
        </w:rPr>
        <w:t xml:space="preserve">Wilkinson, L., &amp; Gathani, T. (2022). Understanding breast cancer as a global health concern. </w:t>
      </w:r>
      <w:r w:rsidRPr="00DA0327">
        <w:rPr>
          <w:rFonts w:ascii="Calibri" w:hAnsi="Calibri" w:cs="Calibri"/>
          <w:i/>
          <w:iCs/>
          <w:noProof/>
          <w:sz w:val="24"/>
          <w:szCs w:val="24"/>
        </w:rPr>
        <w:t>British Journal of Radiology</w:t>
      </w:r>
      <w:r w:rsidRPr="00DA0327">
        <w:rPr>
          <w:rFonts w:ascii="Calibri" w:hAnsi="Calibri" w:cs="Calibri"/>
          <w:noProof/>
          <w:sz w:val="24"/>
          <w:szCs w:val="24"/>
        </w:rPr>
        <w:t xml:space="preserve">, </w:t>
      </w:r>
      <w:r w:rsidRPr="00DA0327">
        <w:rPr>
          <w:rFonts w:ascii="Calibri" w:hAnsi="Calibri" w:cs="Calibri"/>
          <w:i/>
          <w:iCs/>
          <w:noProof/>
          <w:sz w:val="24"/>
          <w:szCs w:val="24"/>
        </w:rPr>
        <w:t>95</w:t>
      </w:r>
      <w:r w:rsidRPr="00DA0327">
        <w:rPr>
          <w:rFonts w:ascii="Calibri" w:hAnsi="Calibri" w:cs="Calibri"/>
          <w:noProof/>
          <w:sz w:val="24"/>
          <w:szCs w:val="24"/>
        </w:rPr>
        <w:t>(1130). https://doi.org/10.1259/BJR.20211033</w:t>
      </w:r>
    </w:p>
    <w:p w14:paraId="07C1808E"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r w:rsidRPr="00126EE2">
        <w:rPr>
          <w:rFonts w:asciiTheme="minorHAnsi" w:hAnsiTheme="minorHAnsi" w:cstheme="minorHAnsi"/>
          <w:color w:val="2F5496" w:themeColor="accent1" w:themeShade="BF"/>
          <w:lang w:val="en-US"/>
        </w:rPr>
        <w:fldChar w:fldCharType="end"/>
      </w:r>
    </w:p>
    <w:p w14:paraId="256D8CBF"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0E0C3499"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1649E8D9"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5C724259"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077C90C3"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776D98A2"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13C1AC5B"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328220EA"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2E20066A"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0EBA41DC"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5494141D"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23F0BC82"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74FA6BDC"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5A79EC3B"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4FBB53FC"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516A4FAE"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1CD7DA1B"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18E9D608"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5ECE73A6"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39B8763C" w14:textId="77777777" w:rsidR="006B5023"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
    <w:p w14:paraId="76BD47F6" w14:textId="444E92AC" w:rsidR="00DA0327" w:rsidRPr="00126EE2" w:rsidRDefault="006B5023" w:rsidP="00DA0327">
      <w:pPr>
        <w:pStyle w:val="NormalWeb"/>
        <w:spacing w:before="0" w:beforeAutospacing="0" w:after="0" w:afterAutospacing="0" w:line="480" w:lineRule="auto"/>
        <w:jc w:val="both"/>
        <w:rPr>
          <w:rFonts w:asciiTheme="minorHAnsi" w:hAnsiTheme="minorHAnsi" w:cstheme="minorHAnsi"/>
          <w:color w:val="2F5496" w:themeColor="accent1" w:themeShade="BF"/>
          <w:lang w:val="en-US"/>
        </w:rPr>
      </w:pPr>
      <w:proofErr w:type="spellStart"/>
      <w:proofErr w:type="gramStart"/>
      <w:r>
        <w:rPr>
          <w:rFonts w:asciiTheme="minorHAnsi" w:hAnsiTheme="minorHAnsi" w:cstheme="minorHAnsi"/>
          <w:color w:val="2F5496" w:themeColor="accent1" w:themeShade="BF"/>
          <w:lang w:val="en-US"/>
        </w:rPr>
        <w:lastRenderedPageBreak/>
        <w:t>S</w:t>
      </w:r>
      <w:r w:rsidR="00B417FC">
        <w:rPr>
          <w:rFonts w:asciiTheme="minorHAnsi" w:hAnsiTheme="minorHAnsi" w:cstheme="minorHAnsi"/>
          <w:color w:val="2F5496" w:themeColor="accent1" w:themeShade="BF"/>
          <w:lang w:val="en-US"/>
        </w:rPr>
        <w:t>uppliment</w:t>
      </w:r>
      <w:proofErr w:type="spellEnd"/>
      <w:r w:rsidR="00B417FC">
        <w:rPr>
          <w:rFonts w:asciiTheme="minorHAnsi" w:hAnsiTheme="minorHAnsi" w:cstheme="minorHAnsi"/>
          <w:color w:val="2F5496" w:themeColor="accent1" w:themeShade="BF"/>
          <w:lang w:val="en-US"/>
        </w:rPr>
        <w:t xml:space="preserve"> </w:t>
      </w:r>
      <w:r w:rsidR="00DA0327" w:rsidRPr="00126EE2">
        <w:rPr>
          <w:rFonts w:asciiTheme="minorHAnsi" w:hAnsiTheme="minorHAnsi" w:cstheme="minorHAnsi"/>
          <w:color w:val="2F5496" w:themeColor="accent1" w:themeShade="BF"/>
          <w:lang w:val="en-US"/>
        </w:rPr>
        <w:t xml:space="preserve"> –</w:t>
      </w:r>
      <w:proofErr w:type="gramEnd"/>
      <w:r w:rsidR="00DA0327" w:rsidRPr="00126EE2">
        <w:rPr>
          <w:rFonts w:asciiTheme="minorHAnsi" w:hAnsiTheme="minorHAnsi" w:cstheme="minorHAnsi"/>
          <w:color w:val="000000"/>
          <w:lang w:val="en-US"/>
        </w:rPr>
        <w:t xml:space="preserve"> </w:t>
      </w:r>
    </w:p>
    <w:p w14:paraId="567E9AA2" w14:textId="77777777" w:rsidR="00DA0327" w:rsidRPr="00126EE2" w:rsidRDefault="00DA0327" w:rsidP="00DA0327">
      <w:pPr>
        <w:pStyle w:val="NormalWeb"/>
        <w:spacing w:before="0" w:beforeAutospacing="0" w:after="0" w:afterAutospacing="0" w:line="480" w:lineRule="auto"/>
        <w:jc w:val="both"/>
        <w:rPr>
          <w:rFonts w:asciiTheme="minorHAnsi" w:hAnsiTheme="minorHAnsi" w:cstheme="minorHAnsi"/>
          <w:color w:val="000000"/>
          <w:lang w:val="en-US"/>
        </w:rPr>
      </w:pPr>
      <w:r w:rsidRPr="00126EE2">
        <w:rPr>
          <w:rFonts w:asciiTheme="minorHAnsi" w:hAnsiTheme="minorHAnsi" w:cstheme="minorHAnsi"/>
          <w:color w:val="000000"/>
          <w:lang w:val="en-US"/>
        </w:rPr>
        <w:t>Hertumig</w:t>
      </w:r>
      <w:r w:rsidRPr="00126EE2">
        <w:rPr>
          <w:rFonts w:asciiTheme="minorHAnsi" w:hAnsiTheme="minorHAnsi" w:cstheme="minorHAnsi"/>
          <w:color w:val="212121"/>
          <w:shd w:val="clear" w:color="auto" w:fill="FFFFFF"/>
          <w:vertAlign w:val="superscript"/>
          <w:lang w:val="en-US"/>
        </w:rPr>
        <w:t>®</w:t>
      </w:r>
      <w:r w:rsidRPr="00126EE2">
        <w:rPr>
          <w:rFonts w:asciiTheme="minorHAnsi" w:hAnsiTheme="minorHAnsi" w:cstheme="minorHAnsi"/>
          <w:color w:val="000000"/>
          <w:lang w:val="en-US"/>
        </w:rPr>
        <w:t xml:space="preserve"> / monoclonal antibody (mAb) VBT001</w:t>
      </w:r>
    </w:p>
    <w:p w14:paraId="51FF12D7" w14:textId="77777777" w:rsidR="00DA0327" w:rsidRPr="00126EE2" w:rsidRDefault="00DA0327" w:rsidP="00DA0327">
      <w:pPr>
        <w:pStyle w:val="Heading2"/>
        <w:spacing w:before="0"/>
        <w:rPr>
          <w:rFonts w:asciiTheme="minorHAnsi" w:hAnsiTheme="minorHAnsi"/>
          <w:sz w:val="24"/>
          <w:szCs w:val="24"/>
        </w:rPr>
      </w:pPr>
      <w:r w:rsidRPr="00126EE2">
        <w:rPr>
          <w:rFonts w:asciiTheme="minorHAnsi" w:hAnsiTheme="minorHAnsi" w:cs="Calibri"/>
          <w:color w:val="2F5496"/>
          <w:sz w:val="24"/>
          <w:szCs w:val="24"/>
        </w:rPr>
        <w:t>Product details</w:t>
      </w:r>
    </w:p>
    <w:p w14:paraId="4182A1B7"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 xml:space="preserve">Chemical Name: Immunoglobulin G1 (human-mouse monoclonal </w:t>
      </w:r>
      <w:proofErr w:type="spellStart"/>
      <w:r w:rsidRPr="00126EE2">
        <w:rPr>
          <w:rFonts w:asciiTheme="minorHAnsi" w:hAnsiTheme="minorHAnsi" w:cs="Calibri"/>
          <w:color w:val="000000"/>
          <w:lang w:val="en-US"/>
        </w:rPr>
        <w:t>rhuMAb</w:t>
      </w:r>
      <w:proofErr w:type="spellEnd"/>
      <w:r w:rsidRPr="00126EE2">
        <w:rPr>
          <w:rFonts w:asciiTheme="minorHAnsi" w:hAnsiTheme="minorHAnsi" w:cs="Calibri"/>
          <w:color w:val="000000"/>
          <w:lang w:val="en-US"/>
        </w:rPr>
        <w:t xml:space="preserve"> HER2γ1- chain anti-human P185c-erB2 receptor) disulfide with human-mouse monoclonal </w:t>
      </w:r>
      <w:proofErr w:type="spellStart"/>
      <w:r w:rsidRPr="00126EE2">
        <w:rPr>
          <w:rFonts w:asciiTheme="minorHAnsi" w:hAnsiTheme="minorHAnsi" w:cs="Calibri"/>
          <w:color w:val="000000"/>
          <w:lang w:val="en-US"/>
        </w:rPr>
        <w:t>rhuMAb</w:t>
      </w:r>
      <w:proofErr w:type="spellEnd"/>
      <w:r w:rsidRPr="00126EE2">
        <w:rPr>
          <w:rFonts w:asciiTheme="minorHAnsi" w:hAnsiTheme="minorHAnsi" w:cs="Calibri"/>
          <w:color w:val="000000"/>
          <w:lang w:val="en-US"/>
        </w:rPr>
        <w:t xml:space="preserve"> HER2 light chain, dimer. Molecular Formula/Molecular Weight: C6460H9972N1724O2014S44 / 148 </w:t>
      </w:r>
      <w:proofErr w:type="spellStart"/>
      <w:r w:rsidRPr="00126EE2">
        <w:rPr>
          <w:rFonts w:asciiTheme="minorHAnsi" w:hAnsiTheme="minorHAnsi" w:cs="Calibri"/>
          <w:color w:val="000000"/>
          <w:lang w:val="en-US"/>
        </w:rPr>
        <w:t>kDa</w:t>
      </w:r>
      <w:proofErr w:type="spellEnd"/>
      <w:r w:rsidRPr="00126EE2">
        <w:rPr>
          <w:rFonts w:asciiTheme="minorHAnsi" w:hAnsiTheme="minorHAnsi" w:cs="Calibri"/>
          <w:color w:val="000000"/>
          <w:lang w:val="en-US"/>
        </w:rPr>
        <w:t xml:space="preserve"> (without the N-glycan moiety). Structure or Biochemical Description: SB3 (</w:t>
      </w:r>
      <w:proofErr w:type="spellStart"/>
      <w:r w:rsidRPr="00126EE2">
        <w:rPr>
          <w:rFonts w:asciiTheme="minorHAnsi" w:hAnsiTheme="minorHAnsi" w:cs="Calibri"/>
          <w:color w:val="000000"/>
          <w:lang w:val="en-US"/>
        </w:rPr>
        <w:t>hertumig</w:t>
      </w:r>
      <w:proofErr w:type="spellEnd"/>
      <w:r w:rsidRPr="00126EE2">
        <w:rPr>
          <w:rFonts w:asciiTheme="minorHAnsi" w:hAnsiTheme="minorHAnsi" w:cs="Calibri"/>
          <w:color w:val="000000"/>
          <w:lang w:val="en-US"/>
        </w:rPr>
        <w:t>) contains human framework regions with the complementarity-determining regions of a murine antibody (4D5) modified to bind to two epitopes of HER2. SB3 consists of 1,328 amino acids. The amino acid sequences for the heavy and light chains of SB3 are listed in the following FASTA format:</w:t>
      </w:r>
    </w:p>
    <w:p w14:paraId="4B82BAA1" w14:textId="77777777" w:rsidR="00DA0327" w:rsidRPr="00126EE2" w:rsidRDefault="00DA0327" w:rsidP="00DA0327">
      <w:pPr>
        <w:pStyle w:val="NormalWeb"/>
        <w:spacing w:before="0" w:beforeAutospacing="0" w:after="0" w:afterAutospacing="0"/>
        <w:rPr>
          <w:rFonts w:asciiTheme="minorHAnsi" w:hAnsiTheme="minorHAnsi" w:cs="Calibri"/>
          <w:color w:val="000000"/>
          <w:lang w:val="en-US"/>
        </w:rPr>
      </w:pPr>
    </w:p>
    <w:p w14:paraId="713E8176"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&gt;</w:t>
      </w:r>
      <w:proofErr w:type="spellStart"/>
      <w:r w:rsidRPr="00126EE2">
        <w:rPr>
          <w:rFonts w:asciiTheme="minorHAnsi" w:hAnsiTheme="minorHAnsi" w:cs="Calibri"/>
          <w:color w:val="000000"/>
          <w:lang w:val="en-US"/>
        </w:rPr>
        <w:t>Hertumig_Heavy_Chain</w:t>
      </w:r>
      <w:proofErr w:type="spellEnd"/>
    </w:p>
    <w:p w14:paraId="05F976F2"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EVQLVESGGG LVQPGGSLRL SCAASGFNIK DTYIHWVRQA PGKGLEWVAR IYPTNGYTRY</w:t>
      </w:r>
    </w:p>
    <w:p w14:paraId="4E54C4C1"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ADSVKGRFTI SADTSKNTAY LQMNSLRAED TAVYYCSRWG GDGFYAMDYW GQGTLVTVSS</w:t>
      </w:r>
    </w:p>
    <w:p w14:paraId="250D0BB6"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ASTKGPSVFP LAPSSKSTSG GTAALGCLVK DYFPEPVTVS WNSGALTSGV HTFPAVLQSS</w:t>
      </w:r>
    </w:p>
    <w:p w14:paraId="008718AB"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GLYSLSSVVT VPSSSLGTQT YICNVNHKPS NTKVDKKVEP KSCDKTHTCP PCPAPELLGG</w:t>
      </w:r>
    </w:p>
    <w:p w14:paraId="59C9F98A"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PSVFLFPPKP KDTLMISRTP EVTCVVVDVS HEDPEVKFNW YVDGVEVHNA KTKPREEQYN</w:t>
      </w:r>
    </w:p>
    <w:p w14:paraId="3476FD6C"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STYRVVSVLT VLHQDWLNGK EYKCKVSNKA LPAPIEKTIS KAKGQPREPQ VYTLPPSREE</w:t>
      </w:r>
    </w:p>
    <w:p w14:paraId="53E4F8D1"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MTKNQVSLTC LVKGFYPSDI AVEWESNGQP ENNYKTTPPV LDSDGSFFLY SKLTVDKSRW</w:t>
      </w:r>
    </w:p>
    <w:p w14:paraId="122A48F0"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QQGNVFSCSV MHEALHNHYT QKSLSLSPG</w:t>
      </w:r>
    </w:p>
    <w:p w14:paraId="7B3CDEF3" w14:textId="77777777" w:rsidR="00DA0327" w:rsidRPr="00126EE2" w:rsidRDefault="00DA0327" w:rsidP="00DA0327">
      <w:pPr>
        <w:rPr>
          <w:sz w:val="24"/>
          <w:szCs w:val="24"/>
        </w:rPr>
      </w:pPr>
    </w:p>
    <w:p w14:paraId="69420038"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&gt;</w:t>
      </w:r>
      <w:proofErr w:type="spellStart"/>
      <w:r w:rsidRPr="00126EE2">
        <w:rPr>
          <w:rFonts w:asciiTheme="minorHAnsi" w:hAnsiTheme="minorHAnsi" w:cs="Calibri"/>
          <w:color w:val="000000"/>
          <w:lang w:val="en-US"/>
        </w:rPr>
        <w:t>Hertumig_Light_Chain</w:t>
      </w:r>
      <w:proofErr w:type="spellEnd"/>
      <w:r w:rsidRPr="00126EE2">
        <w:rPr>
          <w:rFonts w:asciiTheme="minorHAnsi" w:hAnsiTheme="minorHAnsi" w:cs="Calibri"/>
          <w:color w:val="000000"/>
          <w:lang w:val="en-US"/>
        </w:rPr>
        <w:t>:</w:t>
      </w:r>
    </w:p>
    <w:p w14:paraId="240F4C92"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DIQMTQSPSS LSASVGDRVT ITCRASQDVN TAVAWYQQKP GKAPKLLIYS ASFLYSGVPS</w:t>
      </w:r>
    </w:p>
    <w:p w14:paraId="79F949EA"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RFSGSRSGTD FTLTISSLQP EDFATYYCQQ HYTTPPTFGQ GTKVEIKRTV AAPSVFIFPP</w:t>
      </w:r>
    </w:p>
    <w:p w14:paraId="6B957DC8"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SDEQLKSGTA SVVCLLNNFY PREAKVQWKV DNALQSGNSQ ESVTEQDSKD STYSLSSTLT</w:t>
      </w:r>
    </w:p>
    <w:p w14:paraId="61075186"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LSKADYEKHK VYACEVTHQG LSSPVTKSFN RGEC</w:t>
      </w:r>
    </w:p>
    <w:p w14:paraId="70CF62DC" w14:textId="77777777" w:rsidR="00DA0327" w:rsidRPr="00126EE2" w:rsidRDefault="00DA0327" w:rsidP="00DA0327">
      <w:pPr>
        <w:rPr>
          <w:sz w:val="24"/>
          <w:szCs w:val="24"/>
        </w:rPr>
      </w:pPr>
    </w:p>
    <w:p w14:paraId="5F108250" w14:textId="77777777" w:rsidR="00DA0327" w:rsidRPr="00126EE2" w:rsidRDefault="00DA0327" w:rsidP="00DA0327">
      <w:pPr>
        <w:pStyle w:val="NormalWeb"/>
        <w:spacing w:before="0" w:beforeAutospacing="0" w:after="0" w:afterAutospacing="0"/>
        <w:rPr>
          <w:rFonts w:asciiTheme="minorHAnsi" w:hAnsiTheme="minorHAnsi"/>
          <w:lang w:val="en-US"/>
        </w:rPr>
      </w:pPr>
      <w:r w:rsidRPr="00126EE2">
        <w:rPr>
          <w:rFonts w:asciiTheme="minorHAnsi" w:hAnsiTheme="minorHAnsi" w:cs="Calibri"/>
          <w:color w:val="000000"/>
          <w:lang w:val="en-US"/>
        </w:rPr>
        <w:t xml:space="preserve">Composition: Hertumig is a sterile, white to pale yellow, preservative-free lyophilized powder for intravenous (IV) administration. Each vial contains 440 mg of Hertumig, 6.4 mg L-histidine, 9.9 mg L-histidine HCl, 1.8 mg polysorbate 20, and 400 mg </w:t>
      </w:r>
      <w:proofErr w:type="gramStart"/>
      <w:r w:rsidRPr="00126EE2">
        <w:rPr>
          <w:rFonts w:asciiTheme="minorHAnsi" w:hAnsiTheme="minorHAnsi" w:cs="Calibri"/>
          <w:color w:val="000000"/>
          <w:lang w:val="en-US"/>
        </w:rPr>
        <w:t>α,α</w:t>
      </w:r>
      <w:proofErr w:type="gramEnd"/>
      <w:r w:rsidRPr="00126EE2">
        <w:rPr>
          <w:rFonts w:asciiTheme="minorHAnsi" w:hAnsiTheme="minorHAnsi" w:cs="Calibri"/>
          <w:color w:val="000000"/>
          <w:lang w:val="en-US"/>
        </w:rPr>
        <w:t>-trehalose dihydrate. Reconstitution with 20 mL of the supplied BWFI, containing 1.1% benzyl alcohol as a preservative, yields a multi-dose solution containing 21 mg/mL Hertumig, at a pH of approximately 6.</w:t>
      </w:r>
    </w:p>
    <w:p w14:paraId="17642296" w14:textId="77777777" w:rsidR="00DA0327" w:rsidRPr="00126EE2" w:rsidRDefault="00DA0327" w:rsidP="00DA0327">
      <w:pPr>
        <w:rPr>
          <w:sz w:val="24"/>
          <w:szCs w:val="24"/>
        </w:rPr>
      </w:pPr>
    </w:p>
    <w:p w14:paraId="21D3CC26" w14:textId="5647148A" w:rsidR="00E35CA5" w:rsidRPr="00DA0327" w:rsidRDefault="00DA0327" w:rsidP="006B5023">
      <w:pPr>
        <w:pStyle w:val="NormalWeb"/>
        <w:spacing w:before="0" w:beforeAutospacing="0" w:after="0" w:afterAutospacing="0"/>
      </w:pPr>
      <w:r w:rsidRPr="00126EE2">
        <w:rPr>
          <w:rFonts w:asciiTheme="minorHAnsi" w:hAnsiTheme="minorHAnsi" w:cs="Calibri"/>
          <w:color w:val="000000"/>
          <w:lang w:val="en-US"/>
        </w:rPr>
        <w:t>Availability: Hertumig is supplied as a lyophilized, sterile powder containing 440 mg Hertumig per vial under vacuum. BWFI is supplied as a 20 mL vial of sterile solution containing 1.1% benzyl alcohol as an antimicrobial preservative. Each carton contains one vial of 440 mg Hertumig and one 20 mL vial of BWFI containing 1.1% benzyl alcohol.</w:t>
      </w:r>
    </w:p>
    <w:sectPr w:rsidR="00E35CA5" w:rsidRPr="00DA0327" w:rsidSect="00F07F33">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711E3" w14:textId="77777777" w:rsidR="00DB74BF" w:rsidRDefault="00DB74BF" w:rsidP="00A5313F">
      <w:pPr>
        <w:spacing w:after="0" w:line="240" w:lineRule="auto"/>
      </w:pPr>
      <w:r>
        <w:separator/>
      </w:r>
    </w:p>
  </w:endnote>
  <w:endnote w:type="continuationSeparator" w:id="0">
    <w:p w14:paraId="39E08526" w14:textId="77777777" w:rsidR="00DB74BF" w:rsidRDefault="00DB74BF" w:rsidP="00A53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44753"/>
      <w:docPartObj>
        <w:docPartGallery w:val="Page Numbers (Bottom of Page)"/>
        <w:docPartUnique/>
      </w:docPartObj>
    </w:sdtPr>
    <w:sdtEndPr/>
    <w:sdtContent>
      <w:sdt>
        <w:sdtPr>
          <w:id w:val="-1769616900"/>
          <w:docPartObj>
            <w:docPartGallery w:val="Page Numbers (Top of Page)"/>
            <w:docPartUnique/>
          </w:docPartObj>
        </w:sdtPr>
        <w:sdtEndPr/>
        <w:sdtContent>
          <w:p w14:paraId="0DCE1F51" w14:textId="77777777" w:rsidR="00913603" w:rsidRDefault="0091360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22D9D">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2D9D">
              <w:rPr>
                <w:b/>
                <w:bCs/>
                <w:noProof/>
              </w:rPr>
              <w:t>10</w:t>
            </w:r>
            <w:r>
              <w:rPr>
                <w:b/>
                <w:bCs/>
                <w:sz w:val="24"/>
                <w:szCs w:val="24"/>
              </w:rPr>
              <w:fldChar w:fldCharType="end"/>
            </w:r>
          </w:p>
        </w:sdtContent>
      </w:sdt>
    </w:sdtContent>
  </w:sdt>
  <w:p w14:paraId="37942C09" w14:textId="77777777" w:rsidR="00913603" w:rsidRDefault="00913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709F4" w14:textId="77777777" w:rsidR="00DB74BF" w:rsidRDefault="00DB74BF" w:rsidP="00A5313F">
      <w:pPr>
        <w:spacing w:after="0" w:line="240" w:lineRule="auto"/>
      </w:pPr>
      <w:r>
        <w:separator/>
      </w:r>
    </w:p>
  </w:footnote>
  <w:footnote w:type="continuationSeparator" w:id="0">
    <w:p w14:paraId="24B29A3A" w14:textId="77777777" w:rsidR="00DB74BF" w:rsidRDefault="00DB74BF" w:rsidP="00A53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9CE"/>
    <w:multiLevelType w:val="hybridMultilevel"/>
    <w:tmpl w:val="483C94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E9B74C8"/>
    <w:multiLevelType w:val="hybridMultilevel"/>
    <w:tmpl w:val="4ABEBA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3E73F0"/>
    <w:multiLevelType w:val="hybridMultilevel"/>
    <w:tmpl w:val="7A34AEE2"/>
    <w:lvl w:ilvl="0" w:tplc="0C070005">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72A2B27"/>
    <w:multiLevelType w:val="multilevel"/>
    <w:tmpl w:val="7D4AEA1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8F32036"/>
    <w:multiLevelType w:val="hybridMultilevel"/>
    <w:tmpl w:val="E51866C8"/>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AFD71A2"/>
    <w:multiLevelType w:val="hybridMultilevel"/>
    <w:tmpl w:val="8FA0984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6FF0142"/>
    <w:multiLevelType w:val="hybridMultilevel"/>
    <w:tmpl w:val="666EE94A"/>
    <w:lvl w:ilvl="0" w:tplc="5D7E2CFC">
      <w:start w:val="1"/>
      <w:numFmt w:val="bullet"/>
      <w:lvlText w:val=""/>
      <w:lvlJc w:val="left"/>
      <w:pPr>
        <w:ind w:left="1789" w:hanging="360"/>
      </w:pPr>
      <w:rPr>
        <w:rFonts w:ascii="Wingdings" w:hAnsi="Wingdings" w:hint="default"/>
        <w:sz w:val="32"/>
        <w:szCs w:val="32"/>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7" w15:restartNumberingAfterBreak="0">
    <w:nsid w:val="3EC728FF"/>
    <w:multiLevelType w:val="hybridMultilevel"/>
    <w:tmpl w:val="477CD01A"/>
    <w:lvl w:ilvl="0" w:tplc="F1840FD0">
      <w:start w:val="1"/>
      <w:numFmt w:val="decimal"/>
      <w:lvlText w:val="%1."/>
      <w:lvlJc w:val="left"/>
      <w:pPr>
        <w:ind w:left="360" w:hanging="360"/>
      </w:pPr>
      <w:rPr>
        <w:color w:val="2F5496" w:themeColor="accent1" w:themeShade="BF"/>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8" w15:restartNumberingAfterBreak="0">
    <w:nsid w:val="3F833DA7"/>
    <w:multiLevelType w:val="hybridMultilevel"/>
    <w:tmpl w:val="FEE404A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A137692"/>
    <w:multiLevelType w:val="hybridMultilevel"/>
    <w:tmpl w:val="581C9F60"/>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4AFC5B19"/>
    <w:multiLevelType w:val="hybridMultilevel"/>
    <w:tmpl w:val="365A9E20"/>
    <w:lvl w:ilvl="0" w:tplc="16F62044">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E00AB8"/>
    <w:multiLevelType w:val="hybridMultilevel"/>
    <w:tmpl w:val="56103C3C"/>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0366F2"/>
    <w:multiLevelType w:val="hybridMultilevel"/>
    <w:tmpl w:val="589821E0"/>
    <w:lvl w:ilvl="0" w:tplc="0C07000B">
      <w:start w:val="1"/>
      <w:numFmt w:val="bullet"/>
      <w:lvlText w:val=""/>
      <w:lvlJc w:val="left"/>
      <w:pPr>
        <w:ind w:left="1068" w:hanging="360"/>
      </w:pPr>
      <w:rPr>
        <w:rFonts w:ascii="Wingdings" w:hAnsi="Wingdings" w:hint="default"/>
      </w:rPr>
    </w:lvl>
    <w:lvl w:ilvl="1" w:tplc="0C070003">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3" w15:restartNumberingAfterBreak="0">
    <w:nsid w:val="58D65E8C"/>
    <w:multiLevelType w:val="hybridMultilevel"/>
    <w:tmpl w:val="F6CA6C74"/>
    <w:lvl w:ilvl="0" w:tplc="0C07000D">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06C38DB"/>
    <w:multiLevelType w:val="hybridMultilevel"/>
    <w:tmpl w:val="ADBC78AA"/>
    <w:lvl w:ilvl="0" w:tplc="0C07000B">
      <w:start w:val="1"/>
      <w:numFmt w:val="bullet"/>
      <w:lvlText w:val=""/>
      <w:lvlJc w:val="left"/>
      <w:pPr>
        <w:ind w:left="1068" w:hanging="360"/>
      </w:pPr>
      <w:rPr>
        <w:rFonts w:ascii="Wingdings" w:hAnsi="Wingdings" w:hint="default"/>
      </w:rPr>
    </w:lvl>
    <w:lvl w:ilvl="1" w:tplc="0C070003">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5" w15:restartNumberingAfterBreak="0">
    <w:nsid w:val="7A14110C"/>
    <w:multiLevelType w:val="hybridMultilevel"/>
    <w:tmpl w:val="73B8E7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5"/>
  </w:num>
  <w:num w:numId="4">
    <w:abstractNumId w:val="11"/>
  </w:num>
  <w:num w:numId="5">
    <w:abstractNumId w:val="6"/>
  </w:num>
  <w:num w:numId="6">
    <w:abstractNumId w:val="7"/>
  </w:num>
  <w:num w:numId="7">
    <w:abstractNumId w:val="5"/>
  </w:num>
  <w:num w:numId="8">
    <w:abstractNumId w:val="2"/>
  </w:num>
  <w:num w:numId="9">
    <w:abstractNumId w:val="3"/>
  </w:num>
  <w:num w:numId="10">
    <w:abstractNumId w:val="12"/>
  </w:num>
  <w:num w:numId="11">
    <w:abstractNumId w:val="14"/>
  </w:num>
  <w:num w:numId="12">
    <w:abstractNumId w:val="4"/>
  </w:num>
  <w:num w:numId="13">
    <w:abstractNumId w:val="8"/>
  </w:num>
  <w:num w:numId="14">
    <w:abstractNumId w:val="13"/>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F33"/>
    <w:rsid w:val="000E1D7C"/>
    <w:rsid w:val="002628F7"/>
    <w:rsid w:val="002803F7"/>
    <w:rsid w:val="00292154"/>
    <w:rsid w:val="00357FDB"/>
    <w:rsid w:val="003D29A2"/>
    <w:rsid w:val="004C2BD9"/>
    <w:rsid w:val="004F169D"/>
    <w:rsid w:val="0059748C"/>
    <w:rsid w:val="005B6673"/>
    <w:rsid w:val="00604289"/>
    <w:rsid w:val="00692C81"/>
    <w:rsid w:val="006B5023"/>
    <w:rsid w:val="00704EDC"/>
    <w:rsid w:val="00747FFE"/>
    <w:rsid w:val="00790B88"/>
    <w:rsid w:val="007E1B52"/>
    <w:rsid w:val="00852DE3"/>
    <w:rsid w:val="00861CC1"/>
    <w:rsid w:val="00913603"/>
    <w:rsid w:val="00933A72"/>
    <w:rsid w:val="009352DE"/>
    <w:rsid w:val="0099261E"/>
    <w:rsid w:val="00A22D9D"/>
    <w:rsid w:val="00A5313F"/>
    <w:rsid w:val="00AB69BA"/>
    <w:rsid w:val="00B417FC"/>
    <w:rsid w:val="00B4786B"/>
    <w:rsid w:val="00B5153F"/>
    <w:rsid w:val="00B94E8E"/>
    <w:rsid w:val="00BE4A08"/>
    <w:rsid w:val="00C739A7"/>
    <w:rsid w:val="00CE5DA7"/>
    <w:rsid w:val="00CF18C9"/>
    <w:rsid w:val="00D02B04"/>
    <w:rsid w:val="00D2175A"/>
    <w:rsid w:val="00D47234"/>
    <w:rsid w:val="00DA0327"/>
    <w:rsid w:val="00DB74BF"/>
    <w:rsid w:val="00DC759B"/>
    <w:rsid w:val="00DF0888"/>
    <w:rsid w:val="00E051BC"/>
    <w:rsid w:val="00E35CA5"/>
    <w:rsid w:val="00E35EBB"/>
    <w:rsid w:val="00E42C3C"/>
    <w:rsid w:val="00E4762D"/>
    <w:rsid w:val="00E7147F"/>
    <w:rsid w:val="00ED7DC1"/>
    <w:rsid w:val="00EF306D"/>
    <w:rsid w:val="00F07F33"/>
    <w:rsid w:val="00F22A33"/>
    <w:rsid w:val="00F81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FE72A"/>
  <w15:chartTrackingRefBased/>
  <w15:docId w15:val="{5EE07926-C859-44F5-935A-13945D1D9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327"/>
    <w:rPr>
      <w:lang w:val="en-US"/>
    </w:rPr>
  </w:style>
  <w:style w:type="paragraph" w:styleId="Heading1">
    <w:name w:val="heading 1"/>
    <w:basedOn w:val="Normal"/>
    <w:next w:val="Normal"/>
    <w:link w:val="Heading1Char"/>
    <w:uiPriority w:val="9"/>
    <w:qFormat/>
    <w:rsid w:val="00F07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F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7F33"/>
    <w:rPr>
      <w:rFonts w:eastAsiaTheme="minorEastAsia"/>
      <w:lang w:val="en-US"/>
    </w:rPr>
  </w:style>
  <w:style w:type="character" w:customStyle="1" w:styleId="Heading1Char">
    <w:name w:val="Heading 1 Char"/>
    <w:basedOn w:val="DefaultParagraphFont"/>
    <w:link w:val="Heading1"/>
    <w:uiPriority w:val="9"/>
    <w:rsid w:val="00F07F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F33"/>
    <w:pPr>
      <w:outlineLvl w:val="9"/>
    </w:pPr>
  </w:style>
  <w:style w:type="paragraph" w:styleId="ListParagraph">
    <w:name w:val="List Paragraph"/>
    <w:basedOn w:val="Normal"/>
    <w:uiPriority w:val="34"/>
    <w:qFormat/>
    <w:rsid w:val="00F07F33"/>
    <w:pPr>
      <w:ind w:left="720"/>
      <w:contextualSpacing/>
    </w:pPr>
  </w:style>
  <w:style w:type="paragraph" w:styleId="Header">
    <w:name w:val="header"/>
    <w:basedOn w:val="Normal"/>
    <w:link w:val="HeaderChar"/>
    <w:uiPriority w:val="99"/>
    <w:unhideWhenUsed/>
    <w:rsid w:val="00A53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13F"/>
  </w:style>
  <w:style w:type="paragraph" w:styleId="Footer">
    <w:name w:val="footer"/>
    <w:basedOn w:val="Normal"/>
    <w:link w:val="FooterChar"/>
    <w:uiPriority w:val="99"/>
    <w:unhideWhenUsed/>
    <w:rsid w:val="00A53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13F"/>
  </w:style>
  <w:style w:type="paragraph" w:styleId="TOC1">
    <w:name w:val="toc 1"/>
    <w:basedOn w:val="Normal"/>
    <w:next w:val="Normal"/>
    <w:autoRedefine/>
    <w:uiPriority w:val="39"/>
    <w:unhideWhenUsed/>
    <w:rsid w:val="00B94E8E"/>
    <w:pPr>
      <w:spacing w:after="100"/>
    </w:pPr>
  </w:style>
  <w:style w:type="character" w:styleId="Hyperlink">
    <w:name w:val="Hyperlink"/>
    <w:basedOn w:val="DefaultParagraphFont"/>
    <w:uiPriority w:val="99"/>
    <w:unhideWhenUsed/>
    <w:rsid w:val="00B94E8E"/>
    <w:rPr>
      <w:color w:val="0563C1" w:themeColor="hyperlink"/>
      <w:u w:val="single"/>
    </w:rPr>
  </w:style>
  <w:style w:type="character" w:styleId="UnresolvedMention">
    <w:name w:val="Unresolved Mention"/>
    <w:basedOn w:val="DefaultParagraphFont"/>
    <w:uiPriority w:val="99"/>
    <w:semiHidden/>
    <w:unhideWhenUsed/>
    <w:rsid w:val="00AB69BA"/>
    <w:rPr>
      <w:color w:val="808080"/>
      <w:shd w:val="clear" w:color="auto" w:fill="E6E6E6"/>
    </w:rPr>
  </w:style>
  <w:style w:type="character" w:customStyle="1" w:styleId="Heading2Char">
    <w:name w:val="Heading 2 Char"/>
    <w:basedOn w:val="DefaultParagraphFont"/>
    <w:link w:val="Heading2"/>
    <w:uiPriority w:val="9"/>
    <w:rsid w:val="00F81C1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92C81"/>
    <w:pPr>
      <w:spacing w:after="100"/>
      <w:ind w:left="220"/>
    </w:pPr>
  </w:style>
  <w:style w:type="paragraph" w:styleId="NormalWeb">
    <w:name w:val="Normal (Web)"/>
    <w:basedOn w:val="Normal"/>
    <w:uiPriority w:val="99"/>
    <w:unhideWhenUsed/>
    <w:rsid w:val="00DA0327"/>
    <w:pPr>
      <w:spacing w:before="100" w:beforeAutospacing="1" w:after="100" w:afterAutospacing="1" w:line="240" w:lineRule="auto"/>
    </w:pPr>
    <w:rPr>
      <w:rFonts w:ascii="Times New Roman" w:eastAsia="Times New Roman" w:hAnsi="Times New Roman" w:cs="Times New Roman"/>
      <w:sz w:val="24"/>
      <w:szCs w:val="24"/>
      <w:lang w:val="de-AT" w:eastAsia="de-AT"/>
    </w:rPr>
  </w:style>
  <w:style w:type="character" w:styleId="Emphasis">
    <w:name w:val="Emphasis"/>
    <w:basedOn w:val="DefaultParagraphFont"/>
    <w:uiPriority w:val="20"/>
    <w:qFormat/>
    <w:rsid w:val="00DA0327"/>
    <w:rPr>
      <w:i/>
      <w:iCs/>
    </w:rPr>
  </w:style>
  <w:style w:type="paragraph" w:customStyle="1" w:styleId="Default">
    <w:name w:val="Default"/>
    <w:rsid w:val="00DA0327"/>
    <w:pPr>
      <w:autoSpaceDE w:val="0"/>
      <w:autoSpaceDN w:val="0"/>
      <w:adjustRightInd w:val="0"/>
      <w:spacing w:after="0" w:line="240" w:lineRule="auto"/>
    </w:pPr>
    <w:rPr>
      <w:rFonts w:ascii="Times New Roman" w:hAnsi="Times New Roman" w:cs="Times New Roman"/>
      <w:color w:val="000000"/>
      <w:sz w:val="24"/>
      <w:szCs w:val="24"/>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D17D98-D344-41B4-BC89-C5841AE16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11402</Words>
  <Characters>71836</Characters>
  <Application>Microsoft Office Word</Application>
  <DocSecurity>0</DocSecurity>
  <Lines>598</Lines>
  <Paragraphs>166</Paragraphs>
  <ScaleCrop>false</ScaleCrop>
  <HeadingPairs>
    <vt:vector size="2" baseType="variant">
      <vt:variant>
        <vt:lpstr>Title</vt:lpstr>
      </vt:variant>
      <vt:variant>
        <vt:i4>1</vt:i4>
      </vt:variant>
    </vt:vector>
  </HeadingPairs>
  <TitlesOfParts>
    <vt:vector size="1" baseType="lpstr">
      <vt:lpstr>Drug Development Plan</vt:lpstr>
    </vt:vector>
  </TitlesOfParts>
  <Company/>
  <LinksUpToDate>false</LinksUpToDate>
  <CharactersWithSpaces>83072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Drug Development Plan</dc:title>
  <dc:subject>Making it the right way</dc:subject>
  <dc:creator>XXX YYY</dc:creator>
  <cp:keywords/>
  <dc:description/>
  <cp:lastModifiedBy>Bhutada, Priya (priya.bhutada@uni-graz.at)</cp:lastModifiedBy>
  <cp:revision>13</cp:revision>
  <cp:lastPrinted>2022-10-17T14:01:00Z</cp:lastPrinted>
  <dcterms:created xsi:type="dcterms:W3CDTF">2022-10-17T13:41:00Z</dcterms:created>
  <dcterms:modified xsi:type="dcterms:W3CDTF">2022-10-17T20:21:00Z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http://www.zotero.org/styles/biotechnology-and-bioengineering</vt:lpwstr>
  </property>
  <property fmtid="{D5CDD505-2E9C-101B-9397-08002B2CF9AE}" pid="9" name="Mendeley Recent Style Name 3_1">
    <vt:lpwstr>Biotechnology and Bioengineering</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2103985e-b20e-356d-baf7-d457af36dee2</vt:lpwstr>
  </property>
  <property fmtid="{D5CDD505-2E9C-101B-9397-08002B2CF9AE}" pid="24" name="Mendeley Citation Style_1">
    <vt:lpwstr>http://www.zotero.org/styles/apa</vt:lpwstr>
  </property>
</Properties>
</file>