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856A7" w14:textId="555C3EFC" w:rsidR="00701EDC" w:rsidRPr="00BB3396" w:rsidRDefault="00701EDC" w:rsidP="009C2B25">
      <w:pPr>
        <w:rPr>
          <w:rFonts w:ascii="Calibri" w:eastAsia="Calibri" w:hAnsi="Calibri" w:cs="Calibri"/>
          <w:color w:val="000000"/>
          <w:szCs w:val="20"/>
          <w:lang w:val="en-US"/>
        </w:rPr>
      </w:pPr>
    </w:p>
    <w:sdt>
      <w:sdtPr>
        <w:rPr>
          <w:rFonts w:ascii="Calibri" w:eastAsia="Times New Roman" w:hAnsi="Calibri" w:cs="Calibri"/>
          <w:b w:val="0"/>
          <w:bCs w:val="0"/>
          <w:color w:val="auto"/>
          <w:sz w:val="20"/>
          <w:szCs w:val="20"/>
          <w:lang w:val="en-CH"/>
        </w:rPr>
        <w:id w:val="-2458826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E48BC" w14:textId="57C788A8" w:rsidR="00F236A3" w:rsidRPr="00476E0E" w:rsidRDefault="00F236A3" w:rsidP="009C2B25">
          <w:pPr>
            <w:pStyle w:val="TOCHeading"/>
            <w:spacing w:before="0"/>
            <w:rPr>
              <w:rFonts w:ascii="Calibri" w:hAnsi="Calibri" w:cs="Calibri"/>
              <w:sz w:val="20"/>
              <w:szCs w:val="20"/>
            </w:rPr>
          </w:pPr>
          <w:r w:rsidRPr="00476E0E">
            <w:rPr>
              <w:rFonts w:ascii="Calibri" w:hAnsi="Calibri" w:cs="Calibri"/>
              <w:sz w:val="20"/>
              <w:szCs w:val="20"/>
            </w:rPr>
            <w:t>Table of Contents</w:t>
          </w:r>
        </w:p>
        <w:p w14:paraId="6E5A2BEA" w14:textId="392AE683" w:rsidR="009C2B25" w:rsidRDefault="00F236A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476E0E">
            <w:rPr>
              <w:rFonts w:ascii="Calibri" w:hAnsi="Calibri" w:cs="Calibri"/>
              <w:b w:val="0"/>
              <w:bCs w:val="0"/>
              <w:szCs w:val="20"/>
            </w:rPr>
            <w:fldChar w:fldCharType="begin"/>
          </w:r>
          <w:r w:rsidRPr="00476E0E">
            <w:rPr>
              <w:rFonts w:ascii="Calibri" w:hAnsi="Calibri" w:cs="Calibri"/>
              <w:szCs w:val="20"/>
            </w:rPr>
            <w:instrText xml:space="preserve"> TOC \o "1-3" \h \z \u </w:instrText>
          </w:r>
          <w:r w:rsidRPr="00476E0E">
            <w:rPr>
              <w:rFonts w:ascii="Calibri" w:hAnsi="Calibri" w:cs="Calibri"/>
              <w:b w:val="0"/>
              <w:bCs w:val="0"/>
              <w:szCs w:val="20"/>
            </w:rPr>
            <w:fldChar w:fldCharType="separate"/>
          </w:r>
          <w:hyperlink w:anchor="_Toc116905839" w:history="1">
            <w:r w:rsidR="009C2B25" w:rsidRPr="00DE1A59">
              <w:rPr>
                <w:rStyle w:val="Hyperlink"/>
                <w:rFonts w:ascii="Calibri" w:hAnsi="Calibri" w:cs="Calibri"/>
                <w:noProof/>
                <w:lang w:val="en-US"/>
              </w:rPr>
              <w:t>Table of tables</w:t>
            </w:r>
            <w:r w:rsidR="009C2B25">
              <w:rPr>
                <w:noProof/>
                <w:webHidden/>
              </w:rPr>
              <w:tab/>
            </w:r>
            <w:r w:rsidR="009C2B25">
              <w:rPr>
                <w:noProof/>
                <w:webHidden/>
              </w:rPr>
              <w:fldChar w:fldCharType="begin"/>
            </w:r>
            <w:r w:rsidR="009C2B25">
              <w:rPr>
                <w:noProof/>
                <w:webHidden/>
              </w:rPr>
              <w:instrText xml:space="preserve"> PAGEREF _Toc116905839 \h </w:instrText>
            </w:r>
            <w:r w:rsidR="009C2B25">
              <w:rPr>
                <w:noProof/>
                <w:webHidden/>
              </w:rPr>
            </w:r>
            <w:r w:rsidR="009C2B25">
              <w:rPr>
                <w:noProof/>
                <w:webHidden/>
              </w:rPr>
              <w:fldChar w:fldCharType="separate"/>
            </w:r>
            <w:r w:rsidR="009C2B25">
              <w:rPr>
                <w:noProof/>
                <w:webHidden/>
              </w:rPr>
              <w:t>1</w:t>
            </w:r>
            <w:r w:rsidR="009C2B25">
              <w:rPr>
                <w:noProof/>
                <w:webHidden/>
              </w:rPr>
              <w:fldChar w:fldCharType="end"/>
            </w:r>
          </w:hyperlink>
        </w:p>
        <w:p w14:paraId="145394B7" w14:textId="2785EA0C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0" w:history="1">
            <w:r w:rsidRPr="00DE1A59">
              <w:rPr>
                <w:rStyle w:val="Hyperlink"/>
                <w:rFonts w:ascii="Calibri" w:hAnsi="Calibri" w:cs="Calibri"/>
                <w:noProof/>
                <w:lang w:val="en-US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E8C0" w14:textId="1A538A4C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1" w:history="1">
            <w:r w:rsidRPr="00DE1A59">
              <w:rPr>
                <w:rStyle w:val="Hyperlink"/>
                <w:rFonts w:ascii="Calibri" w:hAnsi="Calibri" w:cs="Calibri"/>
                <w:noProof/>
                <w:lang w:val="en-US"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F767" w14:textId="160FF184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2" w:history="1">
            <w:r w:rsidRPr="00DE1A59">
              <w:rPr>
                <w:rStyle w:val="Hyperlink"/>
                <w:noProof/>
                <w:lang w:val="en-US"/>
              </w:rPr>
              <w:t>Guidelines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E23E" w14:textId="4592E4AA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3" w:history="1">
            <w:r w:rsidRPr="00DE1A59">
              <w:rPr>
                <w:rStyle w:val="Hyperlink"/>
                <w:noProof/>
                <w:lang w:val="en-US"/>
              </w:rPr>
              <w:t xml:space="preserve">Product </w:t>
            </w:r>
            <w:r w:rsidRPr="00DE1A5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245E" w14:textId="1B8FE059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4" w:history="1">
            <w:r w:rsidRPr="00DE1A59">
              <w:rPr>
                <w:rStyle w:val="Hyperlink"/>
                <w:noProof/>
              </w:rPr>
              <w:t>Part A: Preclinical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D455" w14:textId="1A74853A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5" w:history="1">
            <w:r w:rsidRPr="00DE1A59">
              <w:rPr>
                <w:rStyle w:val="Hyperlink"/>
                <w:noProof/>
              </w:rPr>
              <w:t>Part B: Clinical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A4D5" w14:textId="6713E15D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6" w:history="1">
            <w:r w:rsidRPr="00DE1A59">
              <w:rPr>
                <w:rStyle w:val="Hyperlink"/>
                <w:noProof/>
              </w:rPr>
              <w:t>Part C: Chemistry, Manufacturing and Controls, CMC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650E" w14:textId="6F3BA8D4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7" w:history="1">
            <w:r w:rsidRPr="00DE1A59">
              <w:rPr>
                <w:rStyle w:val="Hyperlink"/>
                <w:noProof/>
              </w:rPr>
              <w:t>Part D: Scientific Advice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B695" w14:textId="5F10FE27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8" w:history="1">
            <w:r w:rsidRPr="00DE1A59">
              <w:rPr>
                <w:rStyle w:val="Hyperlink"/>
                <w:noProof/>
              </w:rPr>
              <w:t>Part E: Inspection Readiness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4C92" w14:textId="641B4D0B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49" w:history="1">
            <w:r w:rsidRPr="00DE1A59">
              <w:rPr>
                <w:rStyle w:val="Hyperlink"/>
                <w:noProof/>
              </w:rPr>
              <w:t>Overall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39BC" w14:textId="7DAFDC89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50" w:history="1">
            <w:r w:rsidRPr="00DE1A59">
              <w:rPr>
                <w:rStyle w:val="Hyperlink"/>
                <w:noProof/>
              </w:rPr>
              <w:t>Advice to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99B8" w14:textId="1ED1469A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51" w:history="1">
            <w:r w:rsidRPr="00DE1A5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F910" w14:textId="206DBED4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52" w:history="1">
            <w:r w:rsidRPr="00DE1A59">
              <w:rPr>
                <w:rStyle w:val="Hyperlink"/>
                <w:noProof/>
              </w:rPr>
              <w:t>Supplemental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D71E" w14:textId="36E5A818" w:rsidR="009C2B25" w:rsidRDefault="009C2B2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116905853" w:history="1">
            <w:r w:rsidRPr="00DE1A59">
              <w:rPr>
                <w:rStyle w:val="Hyperlink"/>
                <w:rFonts w:ascii="Calibri" w:hAnsi="Calibri" w:cs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0B27" w14:textId="5DA6110C" w:rsidR="00E72A1E" w:rsidRPr="009C2B25" w:rsidRDefault="00F236A3" w:rsidP="009C2B25">
          <w:pPr>
            <w:rPr>
              <w:rFonts w:ascii="Calibri" w:hAnsi="Calibri" w:cs="Calibri"/>
              <w:noProof/>
              <w:szCs w:val="20"/>
            </w:rPr>
          </w:pPr>
          <w:r w:rsidRPr="00476E0E">
            <w:rPr>
              <w:rFonts w:ascii="Calibri" w:hAnsi="Calibri" w:cs="Calibri"/>
              <w:b/>
              <w:bCs/>
              <w:noProof/>
              <w:szCs w:val="20"/>
            </w:rPr>
            <w:fldChar w:fldCharType="end"/>
          </w:r>
        </w:p>
      </w:sdtContent>
    </w:sdt>
    <w:p w14:paraId="19786433" w14:textId="77777777" w:rsidR="00F77FAF" w:rsidRPr="00476E0E" w:rsidRDefault="00F77FAF" w:rsidP="009C2B25">
      <w:pPr>
        <w:rPr>
          <w:rFonts w:ascii="Calibri" w:eastAsiaTheme="majorEastAsia" w:hAnsi="Calibri" w:cs="Calibri"/>
          <w:color w:val="2F5496" w:themeColor="accent1" w:themeShade="BF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br w:type="page"/>
      </w:r>
    </w:p>
    <w:p w14:paraId="520D6723" w14:textId="7221E5C3" w:rsidR="00E72A1E" w:rsidRPr="00476E0E" w:rsidRDefault="00E72A1E" w:rsidP="009C2B25">
      <w:pPr>
        <w:pStyle w:val="Heading1"/>
        <w:spacing w:before="0"/>
        <w:rPr>
          <w:rFonts w:ascii="Calibri" w:hAnsi="Calibri" w:cs="Calibri"/>
          <w:sz w:val="20"/>
          <w:szCs w:val="20"/>
          <w:lang w:val="en-US"/>
        </w:rPr>
      </w:pPr>
      <w:bookmarkStart w:id="0" w:name="_Toc116905841"/>
      <w:r w:rsidRPr="00476E0E">
        <w:rPr>
          <w:rFonts w:ascii="Calibri" w:hAnsi="Calibri" w:cs="Calibri"/>
          <w:sz w:val="20"/>
          <w:szCs w:val="20"/>
          <w:lang w:val="en-US"/>
        </w:rPr>
        <w:lastRenderedPageBreak/>
        <w:t>Abbreviations</w:t>
      </w:r>
      <w:bookmarkEnd w:id="0"/>
    </w:p>
    <w:p w14:paraId="7BE07C16" w14:textId="57F9128F" w:rsidR="003D2139" w:rsidRPr="00476E0E" w:rsidRDefault="003D2139" w:rsidP="009C2B25">
      <w:pPr>
        <w:rPr>
          <w:rFonts w:ascii="Calibri" w:eastAsia="Calibri" w:hAnsi="Calibri" w:cs="Calibri"/>
          <w:color w:val="000000"/>
          <w:szCs w:val="20"/>
          <w:lang w:val="en-US"/>
        </w:rPr>
      </w:pPr>
      <w:r w:rsidRPr="00476E0E">
        <w:rPr>
          <w:rFonts w:ascii="Calibri" w:eastAsia="Calibri" w:hAnsi="Calibri" w:cs="Calibri"/>
          <w:color w:val="000000"/>
          <w:szCs w:val="20"/>
          <w:lang w:val="en-US"/>
        </w:rPr>
        <w:t>AC, anthracycline-</w:t>
      </w:r>
      <w:proofErr w:type="gramStart"/>
      <w:r w:rsidRPr="00476E0E">
        <w:rPr>
          <w:rFonts w:ascii="Calibri" w:eastAsia="Calibri" w:hAnsi="Calibri" w:cs="Calibri"/>
          <w:color w:val="000000"/>
          <w:szCs w:val="20"/>
          <w:lang w:val="en-US"/>
        </w:rPr>
        <w:t>cyclophosphamide;</w:t>
      </w:r>
      <w:proofErr w:type="gramEnd"/>
    </w:p>
    <w:p w14:paraId="0949EDE4" w14:textId="27ADF409" w:rsidR="007B59B5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CHMP, Committee for Medicinal Products for Human </w:t>
      </w:r>
      <w:proofErr w:type="gramStart"/>
      <w:r w:rsidRPr="00476E0E">
        <w:rPr>
          <w:rFonts w:ascii="Calibri" w:eastAsia="Calibri" w:hAnsi="Calibri" w:cs="Calibri"/>
          <w:color w:val="141413"/>
          <w:szCs w:val="20"/>
          <w:lang w:val="en-US"/>
        </w:rPr>
        <w:t>Use;</w:t>
      </w:r>
      <w:proofErr w:type="gramEnd"/>
    </w:p>
    <w:p w14:paraId="5777D0AA" w14:textId="2C035DB6" w:rsidR="00DA0E81" w:rsidRPr="00476E0E" w:rsidRDefault="00DA0E81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DA0E81">
        <w:rPr>
          <w:rFonts w:ascii="Calibri" w:eastAsia="Calibri" w:hAnsi="Calibri" w:cs="Calibri"/>
          <w:color w:val="141413"/>
          <w:szCs w:val="20"/>
          <w:lang w:val="en-US"/>
        </w:rPr>
        <w:t xml:space="preserve">CTD, common technical </w:t>
      </w:r>
      <w:proofErr w:type="gramStart"/>
      <w:r w:rsidRPr="00DA0E81">
        <w:rPr>
          <w:rFonts w:ascii="Calibri" w:eastAsia="Calibri" w:hAnsi="Calibri" w:cs="Calibri"/>
          <w:color w:val="141413"/>
          <w:szCs w:val="20"/>
          <w:lang w:val="en-US"/>
        </w:rPr>
        <w:t>document;</w:t>
      </w:r>
      <w:proofErr w:type="gramEnd"/>
    </w:p>
    <w:p w14:paraId="4AD2D063" w14:textId="065A1704" w:rsidR="00E72A1E" w:rsidRPr="00476E0E" w:rsidRDefault="00E72A1E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EGFR, epidermal growth factor </w:t>
      </w:r>
      <w:proofErr w:type="gramStart"/>
      <w:r w:rsidRPr="00476E0E">
        <w:rPr>
          <w:rFonts w:ascii="Calibri" w:hAnsi="Calibri" w:cs="Calibri"/>
          <w:szCs w:val="20"/>
          <w:lang w:val="en-US"/>
        </w:rPr>
        <w:t>receptor;</w:t>
      </w:r>
      <w:proofErr w:type="gramEnd"/>
      <w:r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4931B9E9" w14:textId="49616280" w:rsidR="007B59B5" w:rsidRPr="00476E0E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EMA, European Medicines </w:t>
      </w:r>
      <w:proofErr w:type="gramStart"/>
      <w:r w:rsidRPr="00476E0E">
        <w:rPr>
          <w:rFonts w:ascii="Calibri" w:eastAsia="Calibri" w:hAnsi="Calibri" w:cs="Calibri"/>
          <w:color w:val="141413"/>
          <w:szCs w:val="20"/>
          <w:lang w:val="en-US"/>
        </w:rPr>
        <w:t>Agency;</w:t>
      </w:r>
      <w:proofErr w:type="gramEnd"/>
    </w:p>
    <w:p w14:paraId="25C3E835" w14:textId="689FD3FA" w:rsidR="007B59B5" w:rsidRPr="00476E0E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FDA, Food and drug </w:t>
      </w:r>
      <w:proofErr w:type="gramStart"/>
      <w:r w:rsidRPr="00476E0E">
        <w:rPr>
          <w:rFonts w:ascii="Calibri" w:eastAsia="Calibri" w:hAnsi="Calibri" w:cs="Calibri"/>
          <w:color w:val="141413"/>
          <w:szCs w:val="20"/>
          <w:lang w:val="en-US"/>
        </w:rPr>
        <w:t>administration;</w:t>
      </w:r>
      <w:proofErr w:type="gramEnd"/>
    </w:p>
    <w:p w14:paraId="454B981A" w14:textId="182ED6FA" w:rsidR="005A0CE8" w:rsidRDefault="005A0CE8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FIH, first in </w:t>
      </w:r>
      <w:proofErr w:type="gramStart"/>
      <w:r w:rsidRPr="00476E0E">
        <w:rPr>
          <w:rFonts w:ascii="Calibri" w:hAnsi="Calibri" w:cs="Calibri"/>
          <w:szCs w:val="20"/>
          <w:lang w:val="en-US"/>
        </w:rPr>
        <w:t>human;</w:t>
      </w:r>
      <w:proofErr w:type="gramEnd"/>
      <w:r w:rsidR="00BA3009"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57F9EFB6" w14:textId="18B12929" w:rsidR="00DA0E81" w:rsidRDefault="00DA0E81" w:rsidP="009C2B25">
      <w:pPr>
        <w:rPr>
          <w:rFonts w:ascii="Calibri" w:hAnsi="Calibri" w:cs="Calibri"/>
          <w:szCs w:val="20"/>
          <w:lang w:val="en-US"/>
        </w:rPr>
      </w:pPr>
      <w:r w:rsidRPr="00DA0E81">
        <w:rPr>
          <w:rFonts w:ascii="Calibri" w:hAnsi="Calibri" w:cs="Calibri"/>
          <w:szCs w:val="20"/>
          <w:lang w:val="en-US"/>
        </w:rPr>
        <w:t xml:space="preserve">FMECA, failure modes effects and criticality </w:t>
      </w:r>
      <w:proofErr w:type="gramStart"/>
      <w:r w:rsidRPr="00DA0E81">
        <w:rPr>
          <w:rFonts w:ascii="Calibri" w:hAnsi="Calibri" w:cs="Calibri"/>
          <w:szCs w:val="20"/>
          <w:lang w:val="en-US"/>
        </w:rPr>
        <w:t>analysis;</w:t>
      </w:r>
      <w:proofErr w:type="gramEnd"/>
    </w:p>
    <w:p w14:paraId="66DE6930" w14:textId="2E41C29E" w:rsidR="006E1AC5" w:rsidRPr="006E1AC5" w:rsidRDefault="006E1AC5" w:rsidP="009C2B25">
      <w:pPr>
        <w:rPr>
          <w:rFonts w:ascii="Calibri" w:hAnsi="Calibri" w:cs="Calibri"/>
          <w:szCs w:val="20"/>
          <w:lang w:val="en-US"/>
        </w:rPr>
      </w:pPr>
      <w:r w:rsidRPr="006E1AC5">
        <w:rPr>
          <w:rFonts w:ascii="Calibri" w:hAnsi="Calibri" w:cs="Calibri"/>
          <w:szCs w:val="20"/>
        </w:rPr>
        <w:t>GCP Good clinical practice</w:t>
      </w:r>
      <w:r>
        <w:rPr>
          <w:rFonts w:ascii="Calibri" w:hAnsi="Calibri" w:cs="Calibri"/>
          <w:szCs w:val="20"/>
          <w:lang w:val="en-US"/>
        </w:rPr>
        <w:t>;</w:t>
      </w:r>
    </w:p>
    <w:p w14:paraId="7D7645C7" w14:textId="63BC8FF0" w:rsidR="006E1AC5" w:rsidRDefault="006E1AC5" w:rsidP="009C2B25">
      <w:pPr>
        <w:rPr>
          <w:rFonts w:ascii="Calibri" w:hAnsi="Calibri" w:cs="Calibri"/>
          <w:szCs w:val="20"/>
          <w:lang w:val="en-US"/>
        </w:rPr>
      </w:pPr>
      <w:r w:rsidRPr="006E1AC5">
        <w:rPr>
          <w:rFonts w:ascii="Calibri" w:hAnsi="Calibri" w:cs="Calibri"/>
          <w:szCs w:val="20"/>
        </w:rPr>
        <w:t>GLP Good laboratory practice</w:t>
      </w:r>
      <w:r>
        <w:rPr>
          <w:rFonts w:ascii="Calibri" w:hAnsi="Calibri" w:cs="Calibri"/>
          <w:szCs w:val="20"/>
          <w:lang w:val="en-US"/>
        </w:rPr>
        <w:t>;</w:t>
      </w:r>
    </w:p>
    <w:p w14:paraId="53EAD3E9" w14:textId="426A5231" w:rsidR="006E1AC5" w:rsidRPr="006E1AC5" w:rsidRDefault="006E1AC5" w:rsidP="009C2B25">
      <w:pPr>
        <w:rPr>
          <w:rFonts w:ascii="Calibri" w:hAnsi="Calibri" w:cs="Calibri"/>
          <w:szCs w:val="20"/>
          <w:lang w:val="en-US"/>
        </w:rPr>
      </w:pPr>
      <w:r w:rsidRPr="006E1AC5">
        <w:rPr>
          <w:rFonts w:ascii="Calibri" w:hAnsi="Calibri" w:cs="Calibri"/>
          <w:szCs w:val="20"/>
          <w:lang w:val="en-US"/>
        </w:rPr>
        <w:t>GMP</w:t>
      </w:r>
      <w:r>
        <w:rPr>
          <w:rFonts w:ascii="Calibri" w:hAnsi="Calibri" w:cs="Calibri"/>
          <w:szCs w:val="20"/>
          <w:lang w:val="en-US"/>
        </w:rPr>
        <w:t xml:space="preserve">, </w:t>
      </w:r>
      <w:r w:rsidRPr="006E1AC5">
        <w:rPr>
          <w:rFonts w:ascii="Calibri" w:hAnsi="Calibri" w:cs="Calibri"/>
          <w:szCs w:val="20"/>
          <w:lang w:val="en-US"/>
        </w:rPr>
        <w:t xml:space="preserve">Good manufacturing </w:t>
      </w:r>
      <w:proofErr w:type="gramStart"/>
      <w:r w:rsidRPr="006E1AC5">
        <w:rPr>
          <w:rFonts w:ascii="Calibri" w:hAnsi="Calibri" w:cs="Calibri"/>
          <w:szCs w:val="20"/>
          <w:lang w:val="en-US"/>
        </w:rPr>
        <w:t>practice</w:t>
      </w:r>
      <w:r>
        <w:rPr>
          <w:rFonts w:ascii="Calibri" w:hAnsi="Calibri" w:cs="Calibri"/>
          <w:szCs w:val="20"/>
          <w:lang w:val="en-US"/>
        </w:rPr>
        <w:t>;</w:t>
      </w:r>
      <w:proofErr w:type="gramEnd"/>
    </w:p>
    <w:p w14:paraId="76F3B3E7" w14:textId="77777777" w:rsidR="00942ED4" w:rsidRPr="00476E0E" w:rsidRDefault="00E72A1E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HER, human epidermal growth factor </w:t>
      </w:r>
      <w:proofErr w:type="gramStart"/>
      <w:r w:rsidRPr="00476E0E">
        <w:rPr>
          <w:rFonts w:ascii="Calibri" w:hAnsi="Calibri" w:cs="Calibri"/>
          <w:szCs w:val="20"/>
          <w:lang w:val="en-US"/>
        </w:rPr>
        <w:t>receptor;</w:t>
      </w:r>
      <w:proofErr w:type="gramEnd"/>
      <w:r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6A5907B1" w14:textId="08F73817" w:rsidR="00942ED4" w:rsidRPr="00476E0E" w:rsidRDefault="00942ED4" w:rsidP="009C2B25">
      <w:pPr>
        <w:rPr>
          <w:rFonts w:ascii="Calibri" w:hAnsi="Calibri" w:cs="Calibri"/>
          <w:szCs w:val="20"/>
        </w:rPr>
      </w:pPr>
      <w:r w:rsidRPr="00476E0E">
        <w:rPr>
          <w:rFonts w:ascii="Calibri" w:hAnsi="Calibri" w:cs="Calibri"/>
          <w:szCs w:val="20"/>
          <w:lang w:val="en-US"/>
        </w:rPr>
        <w:t xml:space="preserve">IV, </w:t>
      </w:r>
      <w:proofErr w:type="gramStart"/>
      <w:r w:rsidRPr="00476E0E">
        <w:rPr>
          <w:rFonts w:ascii="Calibri" w:hAnsi="Calibri" w:cs="Calibri"/>
          <w:szCs w:val="20"/>
          <w:lang w:val="en-US"/>
        </w:rPr>
        <w:t>Intravenous;</w:t>
      </w:r>
      <w:proofErr w:type="gramEnd"/>
      <w:r w:rsidRPr="00476E0E">
        <w:rPr>
          <w:rFonts w:ascii="Calibri" w:hAnsi="Calibri" w:cs="Calibri"/>
          <w:szCs w:val="20"/>
        </w:rPr>
        <w:t xml:space="preserve"> </w:t>
      </w:r>
    </w:p>
    <w:p w14:paraId="0F2F75D1" w14:textId="27BB73A1" w:rsidR="007B59B5" w:rsidRPr="00476E0E" w:rsidRDefault="007B59B5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IR, </w:t>
      </w:r>
      <w:proofErr w:type="spellStart"/>
      <w:r w:rsidRPr="00476E0E">
        <w:rPr>
          <w:rFonts w:ascii="Calibri" w:hAnsi="Calibri" w:cs="Calibri"/>
          <w:szCs w:val="20"/>
          <w:lang w:val="en-US"/>
        </w:rPr>
        <w:t>i</w:t>
      </w:r>
      <w:proofErr w:type="spellEnd"/>
      <w:r w:rsidRPr="00476E0E">
        <w:rPr>
          <w:rFonts w:ascii="Calibri" w:hAnsi="Calibri" w:cs="Calibri"/>
          <w:szCs w:val="20"/>
        </w:rPr>
        <w:t xml:space="preserve">nspection </w:t>
      </w:r>
      <w:proofErr w:type="gramStart"/>
      <w:r w:rsidRPr="00476E0E">
        <w:rPr>
          <w:rFonts w:ascii="Calibri" w:hAnsi="Calibri" w:cs="Calibri"/>
          <w:szCs w:val="20"/>
          <w:lang w:val="en-US"/>
        </w:rPr>
        <w:t>r</w:t>
      </w:r>
      <w:r w:rsidRPr="00476E0E">
        <w:rPr>
          <w:rFonts w:ascii="Calibri" w:hAnsi="Calibri" w:cs="Calibri"/>
          <w:szCs w:val="20"/>
        </w:rPr>
        <w:t>eadiness</w:t>
      </w:r>
      <w:r w:rsidRPr="00476E0E">
        <w:rPr>
          <w:rFonts w:ascii="Calibri" w:hAnsi="Calibri" w:cs="Calibri"/>
          <w:szCs w:val="20"/>
          <w:lang w:val="en-US"/>
        </w:rPr>
        <w:t>;</w:t>
      </w:r>
      <w:proofErr w:type="gramEnd"/>
    </w:p>
    <w:p w14:paraId="55A79CFC" w14:textId="77777777" w:rsidR="007B59B5" w:rsidRPr="00476E0E" w:rsidRDefault="007B59B5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</w:rPr>
        <w:t>MABEL</w:t>
      </w: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, </w:t>
      </w:r>
      <w:r w:rsidRPr="00476E0E">
        <w:rPr>
          <w:rFonts w:ascii="Calibri" w:eastAsia="Calibri" w:hAnsi="Calibri" w:cs="Calibri"/>
          <w:color w:val="141413"/>
          <w:szCs w:val="20"/>
        </w:rPr>
        <w:t>minimal anticipated biological-effective level</w:t>
      </w:r>
      <w:r w:rsidRPr="00476E0E">
        <w:rPr>
          <w:rFonts w:ascii="Calibri" w:eastAsia="Calibri" w:hAnsi="Calibri" w:cs="Calibri"/>
          <w:color w:val="141413"/>
          <w:szCs w:val="20"/>
          <w:lang w:val="en-US"/>
        </w:rPr>
        <w:t>;</w:t>
      </w:r>
    </w:p>
    <w:p w14:paraId="03C388FD" w14:textId="77777777" w:rsidR="007B59B5" w:rsidRPr="00476E0E" w:rsidRDefault="007B59B5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MAPK, mitogen-activated protein </w:t>
      </w:r>
      <w:proofErr w:type="gramStart"/>
      <w:r w:rsidRPr="00476E0E">
        <w:rPr>
          <w:rFonts w:ascii="Calibri" w:hAnsi="Calibri" w:cs="Calibri"/>
          <w:szCs w:val="20"/>
          <w:lang w:val="en-US"/>
        </w:rPr>
        <w:t>kinase;</w:t>
      </w:r>
      <w:proofErr w:type="gramEnd"/>
      <w:r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5D4FB38A" w14:textId="6127FCEE" w:rsidR="007B59B5" w:rsidRPr="00476E0E" w:rsidRDefault="007B59B5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476E0E">
        <w:rPr>
          <w:rFonts w:ascii="Calibri" w:hAnsi="Calibri" w:cs="Calibri"/>
          <w:color w:val="000000"/>
          <w:szCs w:val="20"/>
        </w:rPr>
        <w:t>MED</w:t>
      </w:r>
      <w:r w:rsidRPr="00476E0E">
        <w:rPr>
          <w:rFonts w:ascii="Calibri" w:hAnsi="Calibri" w:cs="Calibri"/>
          <w:color w:val="000000"/>
          <w:szCs w:val="20"/>
          <w:lang w:val="en-US"/>
        </w:rPr>
        <w:t xml:space="preserve">, </w:t>
      </w:r>
      <w:r w:rsidRPr="00476E0E">
        <w:rPr>
          <w:rFonts w:ascii="Calibri" w:hAnsi="Calibri" w:cs="Calibri"/>
          <w:color w:val="000000"/>
          <w:szCs w:val="20"/>
        </w:rPr>
        <w:t>minimum effective dose</w:t>
      </w:r>
      <w:r w:rsidRPr="00476E0E">
        <w:rPr>
          <w:rFonts w:ascii="Calibri" w:hAnsi="Calibri" w:cs="Calibri"/>
          <w:color w:val="000000"/>
          <w:szCs w:val="20"/>
          <w:lang w:val="en-US"/>
        </w:rPr>
        <w:t>;</w:t>
      </w:r>
    </w:p>
    <w:p w14:paraId="1A48FD01" w14:textId="3B829760" w:rsidR="00E72A1E" w:rsidRPr="00476E0E" w:rsidRDefault="00E72A1E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MEK, MAPK/extracellular signal–related kinase </w:t>
      </w:r>
      <w:proofErr w:type="spellStart"/>
      <w:proofErr w:type="gramStart"/>
      <w:r w:rsidRPr="00476E0E">
        <w:rPr>
          <w:rFonts w:ascii="Calibri" w:hAnsi="Calibri" w:cs="Calibri"/>
          <w:szCs w:val="20"/>
          <w:lang w:val="en-US"/>
        </w:rPr>
        <w:t>kinase</w:t>
      </w:r>
      <w:proofErr w:type="spellEnd"/>
      <w:r w:rsidRPr="00476E0E">
        <w:rPr>
          <w:rFonts w:ascii="Calibri" w:hAnsi="Calibri" w:cs="Calibri"/>
          <w:szCs w:val="20"/>
          <w:lang w:val="en-US"/>
        </w:rPr>
        <w:t>;</w:t>
      </w:r>
      <w:proofErr w:type="gramEnd"/>
      <w:r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2BA89CE9" w14:textId="77777777" w:rsidR="00942ED4" w:rsidRPr="00476E0E" w:rsidRDefault="00942ED4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476E0E">
        <w:rPr>
          <w:rFonts w:ascii="Calibri" w:hAnsi="Calibri" w:cs="Calibri"/>
          <w:color w:val="000000"/>
          <w:szCs w:val="20"/>
        </w:rPr>
        <w:t>MFD maximal feasible dose</w:t>
      </w:r>
      <w:r w:rsidRPr="00476E0E">
        <w:rPr>
          <w:rFonts w:ascii="Calibri" w:hAnsi="Calibri" w:cs="Calibri"/>
          <w:color w:val="000000"/>
          <w:szCs w:val="20"/>
          <w:lang w:val="en-US"/>
        </w:rPr>
        <w:t xml:space="preserve">; </w:t>
      </w:r>
    </w:p>
    <w:p w14:paraId="7EA0558E" w14:textId="0392A3F5" w:rsidR="00942ED4" w:rsidRPr="00476E0E" w:rsidRDefault="00942ED4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MSRD, maximum recommended starting </w:t>
      </w:r>
      <w:proofErr w:type="gramStart"/>
      <w:r w:rsidRPr="00476E0E">
        <w:rPr>
          <w:rFonts w:ascii="Calibri" w:hAnsi="Calibri" w:cs="Calibri"/>
          <w:szCs w:val="20"/>
          <w:lang w:val="en-US"/>
        </w:rPr>
        <w:t>dose;</w:t>
      </w:r>
      <w:proofErr w:type="gramEnd"/>
    </w:p>
    <w:p w14:paraId="0CF0C049" w14:textId="5F84D246" w:rsidR="00942ED4" w:rsidRDefault="00942ED4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476E0E">
        <w:rPr>
          <w:rFonts w:ascii="Calibri" w:hAnsi="Calibri" w:cs="Calibri"/>
          <w:color w:val="000000"/>
          <w:szCs w:val="20"/>
        </w:rPr>
        <w:t>MTD</w:t>
      </w:r>
      <w:r w:rsidRPr="00476E0E">
        <w:rPr>
          <w:rFonts w:ascii="Calibri" w:hAnsi="Calibri" w:cs="Calibri"/>
          <w:color w:val="000000"/>
          <w:szCs w:val="20"/>
          <w:lang w:val="en-US"/>
        </w:rPr>
        <w:t xml:space="preserve">, </w:t>
      </w:r>
      <w:r w:rsidRPr="00476E0E">
        <w:rPr>
          <w:rFonts w:ascii="Calibri" w:hAnsi="Calibri" w:cs="Calibri"/>
          <w:color w:val="000000"/>
          <w:szCs w:val="20"/>
        </w:rPr>
        <w:t>maximum tolerated dose</w:t>
      </w:r>
      <w:r w:rsidRPr="00476E0E">
        <w:rPr>
          <w:rFonts w:ascii="Calibri" w:hAnsi="Calibri" w:cs="Calibri"/>
          <w:color w:val="000000"/>
          <w:szCs w:val="20"/>
          <w:lang w:val="en-US"/>
        </w:rPr>
        <w:t>;</w:t>
      </w:r>
    </w:p>
    <w:p w14:paraId="0583B31B" w14:textId="008EDA36" w:rsidR="00DA0E81" w:rsidRPr="00476E0E" w:rsidRDefault="00DA0E81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DA0E81">
        <w:rPr>
          <w:rFonts w:ascii="Calibri" w:hAnsi="Calibri" w:cs="Calibri"/>
          <w:color w:val="000000"/>
          <w:szCs w:val="20"/>
          <w:lang w:val="en-US"/>
        </w:rPr>
        <w:t xml:space="preserve">NDA, new drug </w:t>
      </w:r>
      <w:proofErr w:type="gramStart"/>
      <w:r w:rsidRPr="00DA0E81">
        <w:rPr>
          <w:rFonts w:ascii="Calibri" w:hAnsi="Calibri" w:cs="Calibri"/>
          <w:color w:val="000000"/>
          <w:szCs w:val="20"/>
          <w:lang w:val="en-US"/>
        </w:rPr>
        <w:t>application;</w:t>
      </w:r>
      <w:proofErr w:type="gramEnd"/>
    </w:p>
    <w:p w14:paraId="07740AD8" w14:textId="67E03A96" w:rsidR="00942ED4" w:rsidRPr="00476E0E" w:rsidRDefault="00942ED4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</w:rPr>
        <w:t>NOAEL</w:t>
      </w: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, </w:t>
      </w:r>
      <w:r w:rsidRPr="00476E0E">
        <w:rPr>
          <w:rFonts w:ascii="Calibri" w:eastAsia="Calibri" w:hAnsi="Calibri" w:cs="Calibri"/>
          <w:color w:val="141413"/>
          <w:szCs w:val="20"/>
        </w:rPr>
        <w:t>no-observed-adverse-effect level</w:t>
      </w:r>
      <w:r w:rsidRPr="00476E0E">
        <w:rPr>
          <w:rFonts w:ascii="Calibri" w:eastAsia="Calibri" w:hAnsi="Calibri" w:cs="Calibri"/>
          <w:color w:val="141413"/>
          <w:szCs w:val="20"/>
          <w:lang w:val="en-US"/>
        </w:rPr>
        <w:t>;</w:t>
      </w:r>
    </w:p>
    <w:p w14:paraId="179F6186" w14:textId="77777777" w:rsidR="007B59B5" w:rsidRPr="00476E0E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</w:rPr>
        <w:t>PAD</w:t>
      </w:r>
      <w:r w:rsidRPr="00476E0E">
        <w:rPr>
          <w:rFonts w:ascii="Calibri" w:eastAsia="Calibri" w:hAnsi="Calibri" w:cs="Calibri"/>
          <w:color w:val="141413"/>
          <w:szCs w:val="20"/>
          <w:lang w:val="en-US"/>
        </w:rPr>
        <w:t>,</w:t>
      </w:r>
      <w:r w:rsidRPr="00476E0E">
        <w:rPr>
          <w:rFonts w:ascii="Calibri" w:eastAsia="Calibri" w:hAnsi="Calibri" w:cs="Calibri"/>
          <w:color w:val="141413"/>
          <w:szCs w:val="20"/>
        </w:rPr>
        <w:t xml:space="preserve"> pharmacologically active dose</w:t>
      </w:r>
      <w:r w:rsidRPr="00476E0E">
        <w:rPr>
          <w:rFonts w:ascii="Calibri" w:eastAsia="Calibri" w:hAnsi="Calibri" w:cs="Calibri"/>
          <w:color w:val="141413"/>
          <w:szCs w:val="20"/>
          <w:lang w:val="en-US"/>
        </w:rPr>
        <w:t>;</w:t>
      </w:r>
    </w:p>
    <w:p w14:paraId="6747BD24" w14:textId="0355F4DB" w:rsidR="007B59B5" w:rsidRDefault="007B59B5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>PI3K, phosphoinositide 3-</w:t>
      </w:r>
      <w:proofErr w:type="gramStart"/>
      <w:r w:rsidRPr="00476E0E">
        <w:rPr>
          <w:rFonts w:ascii="Calibri" w:hAnsi="Calibri" w:cs="Calibri"/>
          <w:szCs w:val="20"/>
          <w:lang w:val="en-US"/>
        </w:rPr>
        <w:t>kinase;</w:t>
      </w:r>
      <w:proofErr w:type="gramEnd"/>
      <w:r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139F219F" w14:textId="20945250" w:rsidR="00DA0E81" w:rsidRPr="00476E0E" w:rsidRDefault="00DA0E81" w:rsidP="009C2B25">
      <w:pPr>
        <w:rPr>
          <w:rFonts w:ascii="Calibri" w:hAnsi="Calibri" w:cs="Calibri"/>
          <w:szCs w:val="20"/>
          <w:lang w:val="en-US"/>
        </w:rPr>
      </w:pPr>
      <w:r w:rsidRPr="00DA0E81">
        <w:rPr>
          <w:rFonts w:ascii="Calibri" w:hAnsi="Calibri" w:cs="Calibri"/>
          <w:szCs w:val="20"/>
          <w:lang w:val="en-US"/>
        </w:rPr>
        <w:t xml:space="preserve">PRA, process risk </w:t>
      </w:r>
      <w:proofErr w:type="gramStart"/>
      <w:r w:rsidRPr="00DA0E81">
        <w:rPr>
          <w:rFonts w:ascii="Calibri" w:hAnsi="Calibri" w:cs="Calibri"/>
          <w:szCs w:val="20"/>
          <w:lang w:val="en-US"/>
        </w:rPr>
        <w:t>assessment;</w:t>
      </w:r>
      <w:proofErr w:type="gramEnd"/>
    </w:p>
    <w:p w14:paraId="203475FE" w14:textId="1C9269DD" w:rsidR="007B59B5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PSA, parallel scientific </w:t>
      </w:r>
      <w:proofErr w:type="gramStart"/>
      <w:r w:rsidRPr="00476E0E">
        <w:rPr>
          <w:rFonts w:ascii="Calibri" w:eastAsia="Calibri" w:hAnsi="Calibri" w:cs="Calibri"/>
          <w:color w:val="141413"/>
          <w:szCs w:val="20"/>
          <w:lang w:val="en-US"/>
        </w:rPr>
        <w:t>advice;</w:t>
      </w:r>
      <w:proofErr w:type="gramEnd"/>
    </w:p>
    <w:p w14:paraId="37F40573" w14:textId="13DFCD27" w:rsidR="00DA0E81" w:rsidRPr="00476E0E" w:rsidRDefault="00DA0E81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proofErr w:type="spellStart"/>
      <w:r w:rsidRPr="00DA0E81">
        <w:rPr>
          <w:rFonts w:ascii="Calibri" w:eastAsia="Calibri" w:hAnsi="Calibri" w:cs="Calibri"/>
          <w:color w:val="141413"/>
          <w:szCs w:val="20"/>
          <w:lang w:val="en-US"/>
        </w:rPr>
        <w:t>QbD</w:t>
      </w:r>
      <w:proofErr w:type="spellEnd"/>
      <w:r w:rsidRPr="00DA0E81">
        <w:rPr>
          <w:rFonts w:ascii="Calibri" w:eastAsia="Calibri" w:hAnsi="Calibri" w:cs="Calibri"/>
          <w:color w:val="141413"/>
          <w:szCs w:val="20"/>
          <w:lang w:val="en-US"/>
        </w:rPr>
        <w:t xml:space="preserve">, quality by </w:t>
      </w:r>
      <w:proofErr w:type="gramStart"/>
      <w:r w:rsidRPr="00DA0E81">
        <w:rPr>
          <w:rFonts w:ascii="Calibri" w:eastAsia="Calibri" w:hAnsi="Calibri" w:cs="Calibri"/>
          <w:color w:val="141413"/>
          <w:szCs w:val="20"/>
          <w:lang w:val="en-US"/>
        </w:rPr>
        <w:t>design;</w:t>
      </w:r>
      <w:proofErr w:type="gramEnd"/>
    </w:p>
    <w:p w14:paraId="46DB73F0" w14:textId="75269536" w:rsidR="003D2139" w:rsidRDefault="003D2139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REC, response evaluation </w:t>
      </w:r>
      <w:proofErr w:type="gramStart"/>
      <w:r w:rsidRPr="00476E0E">
        <w:rPr>
          <w:rFonts w:ascii="Calibri" w:hAnsi="Calibri" w:cs="Calibri"/>
          <w:szCs w:val="20"/>
          <w:lang w:val="en-US"/>
        </w:rPr>
        <w:t>committee;</w:t>
      </w:r>
      <w:proofErr w:type="gramEnd"/>
    </w:p>
    <w:p w14:paraId="643723C3" w14:textId="5A843281" w:rsidR="00DA0E81" w:rsidRPr="00476E0E" w:rsidRDefault="00DA0E81" w:rsidP="009C2B25">
      <w:pPr>
        <w:rPr>
          <w:rFonts w:ascii="Calibri" w:hAnsi="Calibri" w:cs="Calibri"/>
          <w:szCs w:val="20"/>
          <w:lang w:val="en-US"/>
        </w:rPr>
      </w:pPr>
      <w:r w:rsidRPr="00DA0E81">
        <w:rPr>
          <w:rFonts w:ascii="Calibri" w:hAnsi="Calibri" w:cs="Calibri"/>
          <w:szCs w:val="20"/>
          <w:lang w:val="en-US"/>
        </w:rPr>
        <w:t xml:space="preserve">RPN, risk priority </w:t>
      </w:r>
      <w:proofErr w:type="gramStart"/>
      <w:r w:rsidRPr="00DA0E81">
        <w:rPr>
          <w:rFonts w:ascii="Calibri" w:hAnsi="Calibri" w:cs="Calibri"/>
          <w:szCs w:val="20"/>
          <w:lang w:val="en-US"/>
        </w:rPr>
        <w:t>number;</w:t>
      </w:r>
      <w:proofErr w:type="gramEnd"/>
    </w:p>
    <w:p w14:paraId="7FD45928" w14:textId="77777777" w:rsidR="007B59B5" w:rsidRPr="00476E0E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SAWP, Scientific Advice Working </w:t>
      </w:r>
      <w:proofErr w:type="gramStart"/>
      <w:r w:rsidRPr="00476E0E">
        <w:rPr>
          <w:rFonts w:ascii="Calibri" w:eastAsia="Calibri" w:hAnsi="Calibri" w:cs="Calibri"/>
          <w:color w:val="141413"/>
          <w:szCs w:val="20"/>
          <w:lang w:val="en-US"/>
        </w:rPr>
        <w:t>Part;</w:t>
      </w:r>
      <w:proofErr w:type="gramEnd"/>
    </w:p>
    <w:p w14:paraId="547AA337" w14:textId="4C5A8EAB" w:rsidR="007B59B5" w:rsidRPr="00476E0E" w:rsidRDefault="007B59B5" w:rsidP="009C2B25">
      <w:pPr>
        <w:rPr>
          <w:rFonts w:ascii="Calibri" w:eastAsia="Calibri" w:hAnsi="Calibri" w:cs="Calibri"/>
          <w:color w:val="141413"/>
          <w:szCs w:val="20"/>
          <w:lang w:val="en-US"/>
        </w:rPr>
      </w:pPr>
      <w:r w:rsidRPr="00476E0E">
        <w:rPr>
          <w:rFonts w:ascii="Calibri" w:eastAsia="Calibri" w:hAnsi="Calibri" w:cs="Calibri"/>
          <w:color w:val="141413"/>
          <w:szCs w:val="20"/>
          <w:lang w:val="en-US"/>
        </w:rPr>
        <w:t xml:space="preserve">SmPC, summary of product </w:t>
      </w:r>
      <w:proofErr w:type="gramStart"/>
      <w:r w:rsidRPr="00476E0E">
        <w:rPr>
          <w:rFonts w:ascii="Calibri" w:eastAsia="Calibri" w:hAnsi="Calibri" w:cs="Calibri"/>
          <w:color w:val="141413"/>
          <w:szCs w:val="20"/>
          <w:lang w:val="en-US"/>
        </w:rPr>
        <w:t>characteristics;</w:t>
      </w:r>
      <w:proofErr w:type="gramEnd"/>
    </w:p>
    <w:p w14:paraId="31064F3E" w14:textId="6BFB970D" w:rsidR="00942ED4" w:rsidRPr="00476E0E" w:rsidRDefault="00E72A1E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SOS, son of </w:t>
      </w:r>
      <w:proofErr w:type="spellStart"/>
      <w:proofErr w:type="gramStart"/>
      <w:r w:rsidRPr="00476E0E">
        <w:rPr>
          <w:rFonts w:ascii="Calibri" w:hAnsi="Calibri" w:cs="Calibri"/>
          <w:szCs w:val="20"/>
          <w:lang w:val="en-US"/>
        </w:rPr>
        <w:t>sevenless</w:t>
      </w:r>
      <w:proofErr w:type="spellEnd"/>
      <w:r w:rsidRPr="00476E0E">
        <w:rPr>
          <w:rFonts w:ascii="Calibri" w:hAnsi="Calibri" w:cs="Calibri"/>
          <w:szCs w:val="20"/>
          <w:lang w:val="en-US"/>
        </w:rPr>
        <w:t>;</w:t>
      </w:r>
      <w:proofErr w:type="gramEnd"/>
    </w:p>
    <w:p w14:paraId="75483E96" w14:textId="71CA8C47" w:rsidR="003D2139" w:rsidRPr="00476E0E" w:rsidRDefault="003D2139" w:rsidP="009C2B25">
      <w:pPr>
        <w:rPr>
          <w:rFonts w:ascii="Calibri" w:hAnsi="Calibri" w:cs="Calibri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 xml:space="preserve">TTF, time to treatment </w:t>
      </w:r>
      <w:proofErr w:type="gramStart"/>
      <w:r w:rsidRPr="00476E0E">
        <w:rPr>
          <w:rFonts w:ascii="Calibri" w:hAnsi="Calibri" w:cs="Calibri"/>
          <w:szCs w:val="20"/>
          <w:lang w:val="en-US"/>
        </w:rPr>
        <w:t>failure;</w:t>
      </w:r>
      <w:proofErr w:type="gramEnd"/>
    </w:p>
    <w:p w14:paraId="1BDB86EE" w14:textId="4A388124" w:rsidR="007B59B5" w:rsidRPr="00476E0E" w:rsidRDefault="00E72A1E" w:rsidP="009C2B25">
      <w:pPr>
        <w:rPr>
          <w:rFonts w:ascii="Calibri" w:hAnsi="Calibri" w:cs="Calibri"/>
          <w:color w:val="000000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t>VEGF, vascular endothelial growth factor</w:t>
      </w:r>
      <w:r w:rsidR="00F43C36" w:rsidRPr="00476E0E">
        <w:rPr>
          <w:rFonts w:ascii="Calibri" w:hAnsi="Calibri" w:cs="Calibri"/>
          <w:szCs w:val="20"/>
          <w:lang w:val="en-US"/>
        </w:rPr>
        <w:t>.</w:t>
      </w:r>
    </w:p>
    <w:p w14:paraId="3A4D53BD" w14:textId="05DD5508" w:rsidR="003D2139" w:rsidRPr="009C2B25" w:rsidRDefault="00A13195" w:rsidP="009C2B25">
      <w:pPr>
        <w:rPr>
          <w:rFonts w:ascii="Calibri" w:eastAsiaTheme="majorEastAsia" w:hAnsi="Calibri" w:cs="Calibri"/>
          <w:color w:val="2F5496" w:themeColor="accent1" w:themeShade="BF"/>
          <w:szCs w:val="20"/>
          <w:lang w:val="en-US"/>
        </w:rPr>
      </w:pPr>
      <w:r w:rsidRPr="00476E0E">
        <w:rPr>
          <w:rFonts w:ascii="Calibri" w:hAnsi="Calibri" w:cs="Calibri"/>
          <w:szCs w:val="20"/>
          <w:lang w:val="en-US"/>
        </w:rPr>
        <w:br w:type="page"/>
      </w:r>
    </w:p>
    <w:p w14:paraId="5EB89134" w14:textId="77777777" w:rsidR="009C2B25" w:rsidRDefault="009C2B25" w:rsidP="009C2B25">
      <w:pPr>
        <w:pStyle w:val="Heading1"/>
        <w:spacing w:before="0"/>
        <w:rPr>
          <w:lang w:val="en-US"/>
        </w:rPr>
      </w:pPr>
      <w:bookmarkStart w:id="1" w:name="_Toc116905842"/>
      <w:r>
        <w:rPr>
          <w:lang w:val="en-US"/>
        </w:rPr>
        <w:lastRenderedPageBreak/>
        <w:t>Guidelines used</w:t>
      </w:r>
      <w:bookmarkEnd w:id="1"/>
    </w:p>
    <w:p w14:paraId="69A76296" w14:textId="16198F3A" w:rsidR="009C2B25" w:rsidRDefault="009C2B25" w:rsidP="009C2B25">
      <w:pPr>
        <w:rPr>
          <w:rFonts w:ascii="Calibri" w:hAnsi="Calibri" w:cs="Calibri"/>
          <w:szCs w:val="20"/>
          <w:lang w:val="en-US"/>
        </w:rPr>
      </w:pPr>
      <w:hyperlink r:id="rId9" w:history="1">
        <w:r w:rsidRPr="00476E0E">
          <w:rPr>
            <w:rStyle w:val="Hyperlink"/>
            <w:rFonts w:ascii="Calibri" w:hAnsi="Calibri" w:cs="Calibri"/>
            <w:szCs w:val="20"/>
          </w:rPr>
          <w:t>ICH M3</w:t>
        </w:r>
      </w:hyperlink>
      <w:r w:rsidRPr="00476E0E">
        <w:rPr>
          <w:rFonts w:ascii="Calibri" w:hAnsi="Calibri" w:cs="Calibri"/>
          <w:szCs w:val="20"/>
          <w:lang w:val="en-US"/>
        </w:rPr>
        <w:t xml:space="preserve"> </w:t>
      </w:r>
      <w:r w:rsidRPr="00476E0E">
        <w:rPr>
          <w:rFonts w:ascii="Calibri" w:hAnsi="Calibri" w:cs="Calibri"/>
          <w:szCs w:val="20"/>
        </w:rPr>
        <w:t xml:space="preserve">Non-clinical safety studies for the conduct of human clinical trials for pharmaceuticals (R2) </w:t>
      </w:r>
      <w:r w:rsidRPr="00476E0E">
        <w:rPr>
          <w:rFonts w:ascii="Calibri" w:hAnsi="Calibri" w:cs="Calibri"/>
          <w:szCs w:val="20"/>
          <w:lang w:val="en-US"/>
        </w:rPr>
        <w:fldChar w:fldCharType="begin"/>
      </w:r>
      <w:r>
        <w:rPr>
          <w:rFonts w:ascii="Calibri" w:hAnsi="Calibri" w:cs="Calibri"/>
          <w:szCs w:val="20"/>
          <w:lang w:val="en-US"/>
        </w:rPr>
        <w:instrText xml:space="preserve"> ADDIN ZOTERO_ITEM CSL_CITATION {"citationID":"qchdnHvK","properties":{"formattedCitation":"[1]","plainCitation":"[1]","noteIndex":0},"citationItems":[{"id":874,"uris":["http://zotero.org/groups/4760334/items/9W63VRGX"],"itemData":{"id":874,"type":"paper-conference","container-title":"International conference on harmonisation of technical requirements for registration of pharmaceuticals for human use","title":"ICH: M3 (R2) Guidance on nonclinical safety studies for the conduct of human clinical trials and marketing authorization for pharmaceuticals. Version step 4 2009.","URL":"https://database.ich.org/sites/default/files/M3_R2__Guideline.pdf","author":[{"family":"Guideline","given":"International Conference Harmonisation"}],"issued":{"date-parts":[["2009"]]}}}],"schema":"https://github.com/citation-style-language/schema/raw/master/csl-citation.json"} </w:instrText>
      </w:r>
      <w:r w:rsidRPr="00476E0E">
        <w:rPr>
          <w:rFonts w:ascii="Calibri" w:hAnsi="Calibri" w:cs="Calibri"/>
          <w:szCs w:val="20"/>
          <w:lang w:val="en-US"/>
        </w:rPr>
        <w:fldChar w:fldCharType="separate"/>
      </w:r>
      <w:r>
        <w:rPr>
          <w:rFonts w:ascii="Calibri" w:hAnsi="Calibri" w:cs="Calibri"/>
          <w:noProof/>
          <w:szCs w:val="20"/>
          <w:lang w:val="en-US"/>
        </w:rPr>
        <w:t>[1]</w:t>
      </w:r>
      <w:r w:rsidRPr="00476E0E">
        <w:rPr>
          <w:rFonts w:ascii="Calibri" w:hAnsi="Calibri" w:cs="Calibri"/>
          <w:szCs w:val="20"/>
          <w:lang w:val="en-US"/>
        </w:rPr>
        <w:fldChar w:fldCharType="end"/>
      </w:r>
    </w:p>
    <w:p w14:paraId="557E0782" w14:textId="77777777" w:rsidR="009C2B25" w:rsidRPr="00BB3396" w:rsidRDefault="009C2B25" w:rsidP="009C2B25">
      <w:pPr>
        <w:rPr>
          <w:rFonts w:ascii="Calibri" w:hAnsi="Calibri" w:cs="Calibri"/>
          <w:szCs w:val="20"/>
          <w:lang w:val="en-US"/>
        </w:rPr>
      </w:pPr>
      <w:hyperlink r:id="rId10" w:history="1">
        <w:r w:rsidRPr="00476E0E">
          <w:rPr>
            <w:rStyle w:val="Hyperlink"/>
            <w:rFonts w:ascii="Calibri" w:hAnsi="Calibri" w:cs="Calibri"/>
            <w:szCs w:val="20"/>
            <w:lang w:val="en-US"/>
          </w:rPr>
          <w:t>ICH E6</w:t>
        </w:r>
      </w:hyperlink>
      <w:r w:rsidRPr="00476E0E">
        <w:rPr>
          <w:rFonts w:ascii="Calibri" w:hAnsi="Calibri" w:cs="Calibri"/>
          <w:szCs w:val="20"/>
          <w:lang w:val="en-US"/>
        </w:rPr>
        <w:t>: Guideline for good clinical practice (R2) [32],</w:t>
      </w:r>
    </w:p>
    <w:p w14:paraId="5EF2D918" w14:textId="0FE74398" w:rsidR="009C2B25" w:rsidRPr="00BB3396" w:rsidRDefault="009C2B25" w:rsidP="009C2B25">
      <w:pPr>
        <w:rPr>
          <w:rFonts w:ascii="Calibri" w:hAnsi="Calibri"/>
          <w:szCs w:val="20"/>
          <w:shd w:val="clear" w:color="auto" w:fill="FFFFFF"/>
          <w:lang w:val="en-US"/>
        </w:rPr>
      </w:pPr>
      <w:hyperlink r:id="rId11" w:history="1"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I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C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H Q8</w:t>
        </w:r>
      </w:hyperlink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 Pharmaceutical development 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begin"/>
      </w:r>
      <w:r>
        <w:rPr>
          <w:rFonts w:ascii="Calibri" w:hAnsi="Calibri"/>
          <w:szCs w:val="20"/>
          <w:shd w:val="clear" w:color="auto" w:fill="FFFFFF"/>
          <w:lang w:val="en-US"/>
        </w:rPr>
        <w:instrText xml:space="preserve"> ADDIN ZOTERO_ITEM CSL_CITATION {"citationID":"khUI8nsj","properties":{"formattedCitation":"[2, p. 8]","plainCitation":"[2, p. 8]","noteIndex":0},"citationItems":[{"id":999,"uris":["http://zotero.org/groups/4760334/items/JJR97LQA"],"itemData":{"id":999,"type":"paper-conference","container-title":"International conference on harmonisation of technical requirements for registration of pharmaceuticals for human use","title":"ICH: Q8 Pharmaceutical development (R2)","URL":"https://database.ich.org/","author":[{"family":"Guideline","given":"International Conference Harmonisation"}],"issued":{"date-parts":[["2009"]]}},"locator":"8"}],"schema":"https://github.com/citation-style-language/schema/raw/master/csl-citation.json"} </w:instrTex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separate"/>
      </w:r>
      <w:r>
        <w:rPr>
          <w:rFonts w:ascii="Calibri" w:hAnsi="Calibri"/>
          <w:noProof/>
          <w:szCs w:val="20"/>
          <w:shd w:val="clear" w:color="auto" w:fill="FFFFFF"/>
          <w:lang w:val="en-US"/>
        </w:rPr>
        <w:t>[2, p. 8]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end"/>
      </w:r>
      <w:r w:rsidRPr="00BB3396">
        <w:rPr>
          <w:rFonts w:ascii="Calibri" w:hAnsi="Calibri"/>
          <w:szCs w:val="20"/>
          <w:shd w:val="clear" w:color="auto" w:fill="FFFFFF"/>
          <w:lang w:val="en-US"/>
        </w:rPr>
        <w:t>.</w:t>
      </w:r>
    </w:p>
    <w:p w14:paraId="257F69E0" w14:textId="3EC917C6" w:rsidR="009C2B25" w:rsidRPr="00BB3396" w:rsidRDefault="009C2B25" w:rsidP="009C2B25">
      <w:pPr>
        <w:rPr>
          <w:rFonts w:ascii="Calibri" w:hAnsi="Calibri"/>
          <w:szCs w:val="20"/>
          <w:shd w:val="clear" w:color="auto" w:fill="FFFFFF"/>
          <w:lang w:val="en-US"/>
        </w:rPr>
      </w:pPr>
      <w:hyperlink r:id="rId12" w:history="1"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IC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H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 xml:space="preserve"> Q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9</w:t>
        </w:r>
      </w:hyperlink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 Quality risk management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begin"/>
      </w:r>
      <w:r>
        <w:rPr>
          <w:rFonts w:ascii="Calibri" w:hAnsi="Calibri"/>
          <w:szCs w:val="20"/>
          <w:shd w:val="clear" w:color="auto" w:fill="FFFFFF"/>
          <w:lang w:val="en-US"/>
        </w:rPr>
        <w:instrText xml:space="preserve"> ADDIN ZOTERO_ITEM CSL_CITATION {"citationID":"WSc00ovW","properties":{"formattedCitation":"[3, p. 9]","plainCitation":"[3, p. 9]","noteIndex":0},"citationItems":[{"id":1000,"uris":["http://zotero.org/groups/4760334/items/35ESA8LQ"],"itemData":{"id":1000,"type":"paper-conference","container-title":"International conference on harmonisation of technical requirements for registration of pharmaceuticals for human use","title":"ICH: Q9 Quality risk management","URL":"https://database.ich.org/","author":[{"family":"Guideline","given":"International Conference Harmonisation"}],"issued":{"date-parts":[["2021"]]}},"locator":"9"}],"schema":"https://github.com/citation-style-language/schema/raw/master/csl-citation.json"} </w:instrTex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separate"/>
      </w:r>
      <w:r>
        <w:rPr>
          <w:rFonts w:ascii="Calibri" w:hAnsi="Calibri"/>
          <w:noProof/>
          <w:szCs w:val="20"/>
          <w:shd w:val="clear" w:color="auto" w:fill="FFFFFF"/>
          <w:lang w:val="en-US"/>
        </w:rPr>
        <w:t>[3, p. 9]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end"/>
      </w:r>
      <w:r w:rsidRPr="00BB3396">
        <w:rPr>
          <w:rFonts w:ascii="Calibri" w:hAnsi="Calibri"/>
          <w:szCs w:val="20"/>
          <w:shd w:val="clear" w:color="auto" w:fill="FFFFFF"/>
          <w:lang w:val="en-US"/>
        </w:rPr>
        <w:t>.</w:t>
      </w:r>
    </w:p>
    <w:p w14:paraId="240D8F64" w14:textId="1ADE56EE" w:rsidR="009C2B25" w:rsidRPr="00BB3396" w:rsidRDefault="009C2B25" w:rsidP="009C2B25">
      <w:pPr>
        <w:rPr>
          <w:rFonts w:ascii="Calibri" w:hAnsi="Calibri"/>
          <w:szCs w:val="20"/>
          <w:shd w:val="clear" w:color="auto" w:fill="FFFFFF"/>
          <w:lang w:val="en-US"/>
        </w:rPr>
      </w:pPr>
      <w:hyperlink r:id="rId13" w:history="1"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ICH Q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6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B</w:t>
        </w:r>
      </w:hyperlink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 Specifications: test procedures and acceptance criteria for biotechnological/biological products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begin"/>
      </w:r>
      <w:r>
        <w:rPr>
          <w:rFonts w:ascii="Calibri" w:hAnsi="Calibri"/>
          <w:szCs w:val="20"/>
          <w:shd w:val="clear" w:color="auto" w:fill="FFFFFF"/>
          <w:lang w:val="en-US"/>
        </w:rPr>
        <w:instrText xml:space="preserve"> ADDIN ZOTERO_ITEM CSL_CITATION {"citationID":"4dqdltWb","properties":{"formattedCitation":"[4]","plainCitation":"[4]","noteIndex":0},"citationItems":[{"id":1002,"uris":["http://zotero.org/groups/4760334/items/HE8WI3GX"],"itemData":{"id":1002,"type":"paper-conference","container-title":"International conference on harmonisation of technical requirements for registration of pharmaceuticals for human use","title":"ICH: Q6B Specifications: test procedures and acceptance criteria for biotechnological/biological products","URL":"https://database.ich.org/","author":[{"family":"Guideline","given":"International Conference Harmonisation"}],"issued":{"date-parts":[["1999"]]}}}],"schema":"https://github.com/citation-style-language/schema/raw/master/csl-citation.json"} </w:instrTex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separate"/>
      </w:r>
      <w:r>
        <w:rPr>
          <w:rFonts w:ascii="Calibri" w:hAnsi="Calibri"/>
          <w:noProof/>
          <w:szCs w:val="20"/>
          <w:shd w:val="clear" w:color="auto" w:fill="FFFFFF"/>
          <w:lang w:val="en-US"/>
        </w:rPr>
        <w:t>[4]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end"/>
      </w:r>
      <w:r w:rsidRPr="00BB3396">
        <w:rPr>
          <w:rFonts w:ascii="Calibri" w:hAnsi="Calibri"/>
          <w:szCs w:val="20"/>
          <w:shd w:val="clear" w:color="auto" w:fill="FFFFFF"/>
          <w:lang w:val="en-US"/>
        </w:rPr>
        <w:t>,</w:t>
      </w:r>
    </w:p>
    <w:p w14:paraId="3742C113" w14:textId="1C0C5B0A" w:rsidR="009C2B25" w:rsidRPr="00BB3396" w:rsidRDefault="009C2B25" w:rsidP="009C2B25">
      <w:pPr>
        <w:rPr>
          <w:rFonts w:ascii="Calibri" w:hAnsi="Calibri"/>
          <w:szCs w:val="20"/>
          <w:lang w:val="en-US"/>
        </w:rPr>
      </w:pPr>
      <w:hyperlink r:id="rId14" w:history="1"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 xml:space="preserve">ICH 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Q</w:t>
        </w:r>
        <w:r w:rsidRPr="00BB3396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10</w:t>
        </w:r>
      </w:hyperlink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 Pharmaceutical quality system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begin"/>
      </w:r>
      <w:r>
        <w:rPr>
          <w:rFonts w:ascii="Calibri" w:hAnsi="Calibri"/>
          <w:szCs w:val="20"/>
          <w:shd w:val="clear" w:color="auto" w:fill="FFFFFF"/>
          <w:lang w:val="en-US"/>
        </w:rPr>
        <w:instrText xml:space="preserve"> ADDIN ZOTERO_ITEM CSL_CITATION {"citationID":"AOLPXKuX","properties":{"formattedCitation":"[5, p. 10]","plainCitation":"[5, p. 10]","noteIndex":0},"citationItems":[{"id":1003,"uris":["http://zotero.org/groups/4760334/items/TQT4YM4R"],"itemData":{"id":1003,"type":"paper-conference","container-title":"International conference on harmonisation of technical requirements for registration of pharmaceuticals for human use","title":"ICH: Q10 Pharmaceutical quality system","URL":"https://database.ich.org/","author":[{"family":"Guideline","given":"International Conference Harmonisation"}],"issued":{"date-parts":[["2008"]]}},"locator":"10"}],"schema":"https://github.com/citation-style-language/schema/raw/master/csl-citation.json"} </w:instrTex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separate"/>
      </w:r>
      <w:r>
        <w:rPr>
          <w:rFonts w:ascii="Calibri" w:hAnsi="Calibri"/>
          <w:noProof/>
          <w:szCs w:val="20"/>
          <w:shd w:val="clear" w:color="auto" w:fill="FFFFFF"/>
          <w:lang w:val="en-US"/>
        </w:rPr>
        <w:t>[5, p. 10]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end"/>
      </w:r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, </w:t>
      </w:r>
      <w:r w:rsidRPr="00BB3396">
        <w:rPr>
          <w:rFonts w:ascii="Calibri" w:hAnsi="Calibri"/>
          <w:szCs w:val="20"/>
          <w:lang w:val="en-US"/>
        </w:rPr>
        <w:t>the</w:t>
      </w:r>
    </w:p>
    <w:p w14:paraId="05E3EB8C" w14:textId="58817541" w:rsidR="009C2B25" w:rsidRPr="009C2B25" w:rsidRDefault="009C2B25" w:rsidP="009C2B25">
      <w:pPr>
        <w:rPr>
          <w:rFonts w:ascii="Calibri" w:hAnsi="Calibri"/>
          <w:szCs w:val="20"/>
          <w:lang w:val="en-US"/>
        </w:rPr>
      </w:pPr>
      <w:hyperlink r:id="rId15" w:history="1">
        <w:r w:rsidRPr="00476E0E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ICH M</w:t>
        </w:r>
        <w:r w:rsidRPr="00476E0E">
          <w:rPr>
            <w:rStyle w:val="Hyperlink"/>
            <w:rFonts w:ascii="Calibri" w:hAnsi="Calibri"/>
            <w:szCs w:val="20"/>
            <w:shd w:val="clear" w:color="auto" w:fill="FFFFFF"/>
            <w:lang w:val="en-US"/>
          </w:rPr>
          <w:t>4</w:t>
        </w:r>
      </w:hyperlink>
      <w:r w:rsidRPr="00476E0E">
        <w:rPr>
          <w:rFonts w:ascii="Calibri" w:hAnsi="Calibri"/>
          <w:szCs w:val="20"/>
          <w:shd w:val="clear" w:color="auto" w:fill="FFFFFF"/>
          <w:lang w:val="en-US"/>
        </w:rPr>
        <w:t xml:space="preserve"> </w:t>
      </w:r>
      <w:r w:rsidRPr="00BB3396">
        <w:rPr>
          <w:rFonts w:ascii="Calibri" w:hAnsi="Calibri"/>
          <w:szCs w:val="20"/>
          <w:shd w:val="clear" w:color="auto" w:fill="FFFFFF"/>
          <w:lang w:val="en-US"/>
        </w:rPr>
        <w:t>Common technical document (CTD) for the registration of pharmaceuticals for human use</w:t>
      </w:r>
      <w:r>
        <w:rPr>
          <w:rFonts w:ascii="Calibri" w:hAnsi="Calibri"/>
          <w:szCs w:val="20"/>
          <w:shd w:val="clear" w:color="auto" w:fill="FFFFFF"/>
          <w:lang w:val="en-US"/>
        </w:rPr>
        <w:t xml:space="preserve"> -</w:t>
      </w:r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 </w:t>
      </w:r>
      <w:proofErr w:type="spellStart"/>
      <w:r w:rsidRPr="00BB3396">
        <w:rPr>
          <w:rFonts w:ascii="Calibri" w:hAnsi="Calibri"/>
          <w:szCs w:val="20"/>
          <w:shd w:val="clear" w:color="auto" w:fill="FFFFFF"/>
          <w:lang w:val="en-US"/>
        </w:rPr>
        <w:t>organisation</w:t>
      </w:r>
      <w:proofErr w:type="spellEnd"/>
      <w:r w:rsidRPr="00BB3396">
        <w:rPr>
          <w:rFonts w:ascii="Calibri" w:hAnsi="Calibri"/>
          <w:szCs w:val="20"/>
          <w:shd w:val="clear" w:color="auto" w:fill="FFFFFF"/>
          <w:lang w:val="en-US"/>
        </w:rPr>
        <w:t xml:space="preserve"> of CTD</w:t>
      </w:r>
      <w:r>
        <w:rPr>
          <w:rFonts w:ascii="Calibri" w:hAnsi="Calibri"/>
          <w:szCs w:val="20"/>
          <w:shd w:val="clear" w:color="auto" w:fill="FFFFFF"/>
          <w:lang w:val="en-US"/>
        </w:rPr>
        <w:t xml:space="preserve"> 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t xml:space="preserve">(R4) </w:t>
      </w:r>
      <w:r>
        <w:rPr>
          <w:rFonts w:ascii="Calibri" w:hAnsi="Calibri"/>
          <w:szCs w:val="20"/>
          <w:shd w:val="clear" w:color="auto" w:fill="FFFFFF"/>
          <w:lang w:val="en-US"/>
        </w:rPr>
        <w:t xml:space="preserve"> 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begin"/>
      </w:r>
      <w:r>
        <w:rPr>
          <w:rFonts w:ascii="Calibri" w:hAnsi="Calibri"/>
          <w:szCs w:val="20"/>
          <w:shd w:val="clear" w:color="auto" w:fill="FFFFFF"/>
          <w:lang w:val="en-US"/>
        </w:rPr>
        <w:instrText xml:space="preserve"> ADDIN ZOTERO_ITEM CSL_CITATION {"citationID":"4nK59JBv","properties":{"formattedCitation":"[6, p. 4]","plainCitation":"[6, p. 4]","noteIndex":0},"citationItems":[{"id":1004,"uris":["http://zotero.org/groups/4760334/items/96J4HNJD"],"itemData":{"id":1004,"type":"paper-conference","container-title":"International conference on harmonisation of technical requirements for registration of pharmaceuticals for human use","title":"ICH: M4 Common technical document (CTD) for the registration of pharmaceuticals for human use - organisation of CTD (R4)","URL":"https://database.ich.org/","author":[{"family":"Guideline","given":"International Conference Harmonisation"}],"issued":{"date-parts":[["2004"]]}},"locator":"4"}],"schema":"https://github.com/citation-style-language/schema/raw/master/csl-citation.json"} </w:instrTex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separate"/>
      </w:r>
      <w:r>
        <w:rPr>
          <w:rFonts w:ascii="Calibri" w:hAnsi="Calibri"/>
          <w:noProof/>
          <w:szCs w:val="20"/>
          <w:shd w:val="clear" w:color="auto" w:fill="FFFFFF"/>
          <w:lang w:val="en-US"/>
        </w:rPr>
        <w:t>[6, p. 4]</w:t>
      </w:r>
      <w:r w:rsidRPr="00476E0E">
        <w:rPr>
          <w:rFonts w:ascii="Calibri" w:hAnsi="Calibri"/>
          <w:szCs w:val="20"/>
          <w:shd w:val="clear" w:color="auto" w:fill="FFFFFF"/>
          <w:lang w:val="en-US"/>
        </w:rPr>
        <w:fldChar w:fldCharType="end"/>
      </w:r>
    </w:p>
    <w:p w14:paraId="13CFFBF4" w14:textId="1EFF2DB5" w:rsidR="009C2B25" w:rsidRDefault="009C2B25" w:rsidP="009C2B25">
      <w:pPr>
        <w:rPr>
          <w:rFonts w:ascii="Calibri" w:hAnsi="Calibri" w:cs="Calibri"/>
          <w:szCs w:val="20"/>
          <w:lang w:val="en-US"/>
        </w:rPr>
      </w:pPr>
      <w:hyperlink r:id="rId16" w:history="1">
        <w:r w:rsidRPr="00476E0E">
          <w:rPr>
            <w:rStyle w:val="Hyperlink"/>
            <w:rFonts w:ascii="Calibri" w:hAnsi="Calibri" w:cs="Calibri"/>
            <w:szCs w:val="20"/>
          </w:rPr>
          <w:t>EudraLex Volume 10 clinical trials guidelines</w:t>
        </w:r>
      </w:hyperlink>
      <w:r w:rsidRPr="00476E0E">
        <w:rPr>
          <w:rFonts w:ascii="Calibri" w:hAnsi="Calibri" w:cs="Calibri"/>
          <w:szCs w:val="20"/>
        </w:rPr>
        <w:t xml:space="preserve"> </w:t>
      </w:r>
      <w:r w:rsidRPr="00476E0E">
        <w:rPr>
          <w:rFonts w:ascii="Calibri" w:hAnsi="Calibri" w:cs="Calibri"/>
          <w:szCs w:val="20"/>
        </w:rPr>
        <w:fldChar w:fldCharType="begin"/>
      </w:r>
      <w:r>
        <w:rPr>
          <w:rFonts w:ascii="Calibri" w:hAnsi="Calibri" w:cs="Calibri"/>
          <w:szCs w:val="20"/>
        </w:rPr>
        <w:instrText xml:space="preserve"> ADDIN ZOTERO_ITEM CSL_CITATION {"citationID":"71XpCmgX","properties":{"formattedCitation":"[7]","plainCitation":"[7]","noteIndex":0},"citationItems":[{"id":870,"uris":["http://zotero.org/groups/4760334/items/NQR5PXJZ"],"itemData":{"id":870,"type":"document","title":"EudraLex Volume 10 Clinical trials guidelines.","URL":"https://health.ec.europa.eu/medicinal-products/eudralex/eudralex-volume-10_en","issued":{"date-parts":[["2014"]]}}}],"schema":"https://github.com/citation-style-language/schema/raw/master/csl-citation.json"} </w:instrText>
      </w:r>
      <w:r w:rsidRPr="00476E0E">
        <w:rPr>
          <w:rFonts w:ascii="Calibri" w:hAnsi="Calibri" w:cs="Calibri"/>
          <w:szCs w:val="20"/>
        </w:rPr>
        <w:fldChar w:fldCharType="separate"/>
      </w:r>
      <w:r>
        <w:rPr>
          <w:rFonts w:ascii="Calibri" w:hAnsi="Calibri" w:cs="Calibri"/>
          <w:noProof/>
          <w:szCs w:val="20"/>
        </w:rPr>
        <w:t>[7]</w:t>
      </w:r>
      <w:r w:rsidRPr="00476E0E">
        <w:rPr>
          <w:rFonts w:ascii="Calibri" w:hAnsi="Calibri" w:cs="Calibri"/>
          <w:szCs w:val="20"/>
        </w:rPr>
        <w:fldChar w:fldCharType="end"/>
      </w:r>
      <w:r w:rsidRPr="00476E0E">
        <w:rPr>
          <w:rFonts w:ascii="Calibri" w:hAnsi="Calibri" w:cs="Calibri"/>
          <w:szCs w:val="20"/>
        </w:rPr>
        <w:t>.</w:t>
      </w:r>
      <w:r w:rsidRPr="00476E0E">
        <w:rPr>
          <w:rFonts w:ascii="Calibri" w:hAnsi="Calibri" w:cs="Calibri"/>
          <w:szCs w:val="20"/>
          <w:lang w:val="en-US"/>
        </w:rPr>
        <w:t xml:space="preserve"> </w:t>
      </w:r>
    </w:p>
    <w:p w14:paraId="2D018BEB" w14:textId="12E61345" w:rsidR="009C2B25" w:rsidRDefault="009C2B25" w:rsidP="009C2B25">
      <w:pPr>
        <w:rPr>
          <w:rFonts w:ascii="Calibri" w:hAnsi="Calibri" w:cs="Calibri"/>
          <w:szCs w:val="20"/>
          <w:lang w:val="en-US"/>
        </w:rPr>
      </w:pPr>
      <w:r w:rsidRPr="006E1AC5">
        <w:rPr>
          <w:rFonts w:ascii="Calibri" w:hAnsi="Calibri" w:cs="Calibri"/>
          <w:szCs w:val="20"/>
          <w:lang w:val="en-US"/>
        </w:rPr>
        <w:t>Good manufacturing practice</w:t>
      </w:r>
      <w:r>
        <w:rPr>
          <w:rFonts w:ascii="Calibri" w:hAnsi="Calibri" w:cs="Calibri"/>
          <w:szCs w:val="20"/>
          <w:lang w:val="en-US"/>
        </w:rPr>
        <w:t xml:space="preserve">: </w:t>
      </w:r>
      <w:hyperlink r:id="rId17" w:tgtFrame="_blank" w:history="1">
        <w:r w:rsidRPr="006E1AC5">
          <w:rPr>
            <w:rFonts w:ascii="Calibri" w:hAnsi="Calibri"/>
            <w:color w:val="75197C"/>
            <w:u w:val="single"/>
          </w:rPr>
          <w:t>(</w:t>
        </w:r>
        <w:r>
          <w:rPr>
            <w:rFonts w:ascii="Calibri" w:hAnsi="Calibri"/>
            <w:color w:val="75197C"/>
            <w:u w:val="single"/>
            <w:lang w:val="en-US"/>
          </w:rPr>
          <w:t>EMA</w:t>
        </w:r>
        <w:r w:rsidRPr="006E1AC5">
          <w:rPr>
            <w:rFonts w:ascii="Calibri" w:hAnsi="Calibri"/>
            <w:color w:val="75197C"/>
            <w:u w:val="single"/>
          </w:rPr>
          <w:t xml:space="preserve"> GMP)</w:t>
        </w:r>
      </w:hyperlink>
    </w:p>
    <w:p w14:paraId="25AFAACF" w14:textId="071B5504" w:rsidR="00FB3562" w:rsidRDefault="009C2B25" w:rsidP="009C2B25">
      <w:pPr>
        <w:rPr>
          <w:rFonts w:ascii="Calibri" w:hAnsi="Calibri" w:cs="Calibri"/>
          <w:szCs w:val="20"/>
          <w:lang w:val="en-US"/>
        </w:rPr>
      </w:pPr>
      <w:r w:rsidRPr="009C2B25">
        <w:t>Good laboratory practice compliance</w:t>
      </w:r>
      <w:r>
        <w:rPr>
          <w:lang w:val="en-US"/>
        </w:rPr>
        <w:t xml:space="preserve"> (</w:t>
      </w:r>
      <w:r>
        <w:fldChar w:fldCharType="begin"/>
      </w:r>
      <w:r>
        <w:instrText xml:space="preserve"> HYPERLINK "https://www.ema.europa.eu/en/human-regulatory/research-development/compliance/good-laboratory-practice-compliance" </w:instrText>
      </w:r>
      <w:r>
        <w:fldChar w:fldCharType="separate"/>
      </w:r>
      <w:r>
        <w:rPr>
          <w:rStyle w:val="Hyperlink"/>
          <w:rFonts w:ascii="Calibri" w:hAnsi="Calibri" w:cs="Calibri"/>
          <w:szCs w:val="20"/>
          <w:lang w:val="en-US"/>
        </w:rPr>
        <w:t>EMA</w:t>
      </w:r>
      <w:r w:rsidRPr="00BD0479">
        <w:rPr>
          <w:rStyle w:val="Hyperlink"/>
          <w:rFonts w:ascii="Calibri" w:hAnsi="Calibri" w:cs="Calibri"/>
          <w:szCs w:val="20"/>
          <w:lang w:val="en-US"/>
        </w:rPr>
        <w:t xml:space="preserve"> </w:t>
      </w:r>
      <w:r w:rsidRPr="00BD0479">
        <w:rPr>
          <w:rStyle w:val="Hyperlink"/>
          <w:rFonts w:ascii="Calibri" w:hAnsi="Calibri" w:cs="Calibri"/>
          <w:szCs w:val="20"/>
          <w:lang w:val="en-US"/>
        </w:rPr>
        <w:t>G</w:t>
      </w:r>
      <w:r w:rsidRPr="00BD0479">
        <w:rPr>
          <w:rStyle w:val="Hyperlink"/>
          <w:rFonts w:ascii="Calibri" w:hAnsi="Calibri" w:cs="Calibri"/>
          <w:szCs w:val="20"/>
          <w:lang w:val="en-US"/>
        </w:rPr>
        <w:t>LP</w:t>
      </w:r>
      <w:r>
        <w:rPr>
          <w:rStyle w:val="Hyperlink"/>
          <w:rFonts w:ascii="Calibri" w:hAnsi="Calibri" w:cs="Calibri"/>
          <w:szCs w:val="20"/>
          <w:lang w:val="en-US"/>
        </w:rPr>
        <w:fldChar w:fldCharType="end"/>
      </w:r>
      <w:r>
        <w:rPr>
          <w:rFonts w:ascii="Calibri" w:hAnsi="Calibri" w:cs="Calibri"/>
          <w:szCs w:val="20"/>
          <w:lang w:val="en-US"/>
        </w:rPr>
        <w:t>)</w:t>
      </w:r>
    </w:p>
    <w:p w14:paraId="79BB25C9" w14:textId="2525732E" w:rsidR="009C2B25" w:rsidRDefault="009C2B25" w:rsidP="009C2B25">
      <w:pPr>
        <w:rPr>
          <w:rFonts w:ascii="Calibri" w:hAnsi="Calibri" w:cs="Calibri"/>
          <w:szCs w:val="20"/>
          <w:lang w:val="en-US"/>
        </w:rPr>
      </w:pPr>
      <w:r w:rsidRPr="009C2B25">
        <w:rPr>
          <w:rFonts w:ascii="Calibri" w:hAnsi="Calibri" w:cs="Calibri"/>
          <w:szCs w:val="20"/>
          <w:lang w:val="en-US"/>
        </w:rPr>
        <w:t>Good clinical practice</w:t>
      </w:r>
      <w:r>
        <w:rPr>
          <w:rFonts w:ascii="Calibri" w:hAnsi="Calibri" w:cs="Calibri"/>
          <w:szCs w:val="20"/>
          <w:lang w:val="en-US"/>
        </w:rPr>
        <w:t xml:space="preserve"> (</w:t>
      </w:r>
      <w:hyperlink r:id="rId18" w:history="1">
        <w:r w:rsidRPr="009C2B25">
          <w:rPr>
            <w:rStyle w:val="Hyperlink"/>
            <w:rFonts w:ascii="Calibri" w:hAnsi="Calibri" w:cs="Calibri"/>
            <w:szCs w:val="20"/>
            <w:lang w:val="en-US"/>
          </w:rPr>
          <w:t>EMA GCP</w:t>
        </w:r>
      </w:hyperlink>
      <w:r>
        <w:rPr>
          <w:rFonts w:ascii="Calibri" w:hAnsi="Calibri" w:cs="Calibri"/>
          <w:szCs w:val="20"/>
          <w:lang w:val="en-US"/>
        </w:rPr>
        <w:t xml:space="preserve">) </w:t>
      </w:r>
    </w:p>
    <w:p w14:paraId="28C06974" w14:textId="77777777" w:rsidR="009C2B25" w:rsidRDefault="009C2B25" w:rsidP="009C2B25">
      <w:pPr>
        <w:rPr>
          <w:rFonts w:ascii="Calibri" w:hAnsi="Calibri" w:cs="Calibri"/>
          <w:szCs w:val="20"/>
          <w:lang w:val="en-US"/>
        </w:rPr>
      </w:pPr>
    </w:p>
    <w:p w14:paraId="19E03E2D" w14:textId="77777777" w:rsidR="009C2B25" w:rsidRPr="00476E0E" w:rsidRDefault="009C2B25" w:rsidP="009C2B25">
      <w:pPr>
        <w:pStyle w:val="Heading1"/>
        <w:spacing w:before="0"/>
        <w:rPr>
          <w:lang w:val="en-US"/>
        </w:rPr>
      </w:pPr>
      <w:bookmarkStart w:id="2" w:name="_Toc116905843"/>
      <w:r w:rsidRPr="00476E0E">
        <w:rPr>
          <w:lang w:val="en-US"/>
        </w:rPr>
        <w:t xml:space="preserve">Product </w:t>
      </w:r>
      <w:r w:rsidRPr="00476E0E">
        <w:t>Overview</w:t>
      </w:r>
      <w:bookmarkEnd w:id="2"/>
    </w:p>
    <w:p w14:paraId="4ABE017D" w14:textId="77777777" w:rsidR="009C2B25" w:rsidRDefault="009C2B25" w:rsidP="009C2B25">
      <w:pPr>
        <w:rPr>
          <w:rFonts w:ascii="Calibri" w:hAnsi="Calibri" w:cs="Calibri"/>
          <w:szCs w:val="20"/>
          <w:lang w:val="en-US"/>
        </w:rPr>
      </w:pPr>
      <w:r w:rsidRPr="009C2B25">
        <w:rPr>
          <w:rFonts w:ascii="Calibri" w:hAnsi="Calibri" w:cs="Calibri"/>
          <w:szCs w:val="20"/>
        </w:rPr>
        <w:t>Product Profile</w:t>
      </w:r>
      <w:r w:rsidRPr="009C2B25">
        <w:rPr>
          <w:rFonts w:ascii="Calibri" w:hAnsi="Calibri" w:cs="Calibri"/>
          <w:szCs w:val="20"/>
          <w:lang w:val="en-US"/>
        </w:rPr>
        <w:t xml:space="preserve">: Name, </w:t>
      </w:r>
      <w:r w:rsidRPr="009C2B25">
        <w:rPr>
          <w:rFonts w:ascii="Calibri" w:hAnsi="Calibri" w:cs="Calibri"/>
          <w:szCs w:val="20"/>
        </w:rPr>
        <w:t>Treatment</w:t>
      </w:r>
      <w:r w:rsidRPr="009C2B25">
        <w:rPr>
          <w:rFonts w:ascii="Calibri" w:hAnsi="Calibri" w:cs="Calibri"/>
          <w:szCs w:val="20"/>
          <w:lang w:val="en-US"/>
        </w:rPr>
        <w:t>, Delivery, m</w:t>
      </w:r>
      <w:r w:rsidRPr="009C2B25">
        <w:rPr>
          <w:rFonts w:ascii="Calibri" w:hAnsi="Calibri" w:cs="Calibri"/>
          <w:szCs w:val="20"/>
        </w:rPr>
        <w:t>echanism/target</w:t>
      </w:r>
      <w:r w:rsidRPr="009C2B25">
        <w:rPr>
          <w:rFonts w:ascii="Calibri" w:hAnsi="Calibri" w:cs="Calibri"/>
          <w:szCs w:val="20"/>
          <w:lang w:val="en-US"/>
        </w:rPr>
        <w:t>, d</w:t>
      </w:r>
      <w:r w:rsidRPr="009C2B25">
        <w:rPr>
          <w:rFonts w:ascii="Calibri" w:hAnsi="Calibri" w:cs="Calibri"/>
          <w:szCs w:val="20"/>
        </w:rPr>
        <w:t>iscussion</w:t>
      </w:r>
      <w:r w:rsidRPr="009C2B25">
        <w:rPr>
          <w:rFonts w:ascii="Calibri" w:hAnsi="Calibri" w:cs="Calibri"/>
          <w:szCs w:val="20"/>
          <w:lang w:val="en-US"/>
        </w:rPr>
        <w:t>.</w:t>
      </w:r>
    </w:p>
    <w:p w14:paraId="764BFAA3" w14:textId="77777777" w:rsidR="009C2B25" w:rsidRPr="009C2B25" w:rsidRDefault="009C2B25" w:rsidP="009C2B25">
      <w:pPr>
        <w:rPr>
          <w:rFonts w:ascii="Courier" w:hAnsi="Courier" w:cs="Calibri"/>
          <w:szCs w:val="20"/>
          <w:lang w:val="en-US"/>
        </w:rPr>
      </w:pPr>
      <w:r w:rsidRPr="009C2B25">
        <w:rPr>
          <w:rFonts w:ascii="Calibri" w:hAnsi="Calibri" w:cs="Calibri"/>
          <w:szCs w:val="20"/>
          <w:lang w:val="en-US"/>
        </w:rPr>
        <w:t xml:space="preserve">Dylan: Product details - Chemical Name, </w:t>
      </w:r>
      <w:r w:rsidRPr="009C2B25">
        <w:rPr>
          <w:rFonts w:ascii="Calibri" w:hAnsi="Calibri" w:cs="Calibri"/>
          <w:szCs w:val="20"/>
        </w:rPr>
        <w:t>Composition</w:t>
      </w:r>
      <w:r w:rsidRPr="009C2B25">
        <w:rPr>
          <w:rFonts w:ascii="Calibri" w:hAnsi="Calibri" w:cs="Calibri"/>
          <w:szCs w:val="20"/>
          <w:lang w:val="en-US"/>
        </w:rPr>
        <w:t xml:space="preserve">, </w:t>
      </w:r>
      <w:r w:rsidRPr="009C2B25">
        <w:rPr>
          <w:rFonts w:ascii="Calibri" w:hAnsi="Calibri" w:cs="Calibri"/>
          <w:szCs w:val="20"/>
        </w:rPr>
        <w:t>Availability</w:t>
      </w:r>
      <w:r w:rsidRPr="009C2B25">
        <w:rPr>
          <w:rFonts w:ascii="Calibri" w:hAnsi="Calibri" w:cs="Calibri"/>
          <w:szCs w:val="20"/>
          <w:lang w:val="en-US"/>
        </w:rPr>
        <w:t xml:space="preserve">, Structure, </w:t>
      </w:r>
      <w:proofErr w:type="spellStart"/>
      <w:r w:rsidRPr="009C2B25">
        <w:rPr>
          <w:rFonts w:ascii="Calibri" w:hAnsi="Calibri" w:cs="Calibri"/>
          <w:szCs w:val="20"/>
          <w:lang w:val="en-US"/>
        </w:rPr>
        <w:t>MoA</w:t>
      </w:r>
      <w:proofErr w:type="spellEnd"/>
      <w:r w:rsidRPr="009C2B25">
        <w:rPr>
          <w:rFonts w:ascii="Calibri" w:hAnsi="Calibri" w:cs="Calibri"/>
          <w:szCs w:val="20"/>
          <w:lang w:val="en-US"/>
        </w:rPr>
        <w:t>.</w:t>
      </w:r>
    </w:p>
    <w:p w14:paraId="5BDB4470" w14:textId="77777777" w:rsidR="009C2B25" w:rsidRPr="009C2B25" w:rsidRDefault="009C2B25" w:rsidP="009C2B25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Dylan: </w:t>
      </w:r>
      <w:r w:rsidRPr="00476E0E">
        <w:rPr>
          <w:rFonts w:eastAsia="Calibri"/>
          <w:lang w:val="en-US"/>
        </w:rPr>
        <w:t>Preclinical and clinical trials overview</w:t>
      </w:r>
      <w:r>
        <w:rPr>
          <w:rFonts w:eastAsia="Calibri"/>
          <w:lang w:val="en-US"/>
        </w:rPr>
        <w:t xml:space="preserve"> – from successes in nonclinical to planned phase 1-3 trials. </w:t>
      </w:r>
    </w:p>
    <w:p w14:paraId="1E7B4DEA" w14:textId="77777777" w:rsidR="00BB3396" w:rsidRPr="00476E0E" w:rsidRDefault="00BB3396" w:rsidP="009C2B25">
      <w:pPr>
        <w:rPr>
          <w:rFonts w:ascii="Calibri" w:hAnsi="Calibri" w:cs="Calibri"/>
          <w:szCs w:val="20"/>
          <w:lang w:val="en-US"/>
        </w:rPr>
      </w:pPr>
    </w:p>
    <w:p w14:paraId="75B43479" w14:textId="189ABEB5" w:rsidR="000B5A95" w:rsidRPr="00476E0E" w:rsidRDefault="00FB3562" w:rsidP="009C2B25">
      <w:pPr>
        <w:pStyle w:val="Heading1"/>
        <w:spacing w:before="0"/>
      </w:pPr>
      <w:bookmarkStart w:id="3" w:name="_Toc116905844"/>
      <w:r w:rsidRPr="00476E0E">
        <w:t>Part A: Preclinical Plan</w:t>
      </w:r>
      <w:bookmarkEnd w:id="3"/>
    </w:p>
    <w:p w14:paraId="117E1D9E" w14:textId="78A932ED" w:rsidR="0017722C" w:rsidRPr="00BB3396" w:rsidRDefault="00BB3396" w:rsidP="009C2B25">
      <w:pPr>
        <w:rPr>
          <w:lang w:val="en-US"/>
        </w:rPr>
      </w:pPr>
      <w:r>
        <w:rPr>
          <w:lang w:val="en-US"/>
        </w:rPr>
        <w:t>Dylan</w:t>
      </w:r>
      <w:r w:rsidR="00D942A1" w:rsidRPr="00476E0E">
        <w:rPr>
          <w:lang w:val="en-US"/>
        </w:rPr>
        <w:t xml:space="preserve">: </w:t>
      </w:r>
      <w:r w:rsidR="00340E11" w:rsidRPr="00476E0E">
        <w:rPr>
          <w:lang w:val="en-US"/>
        </w:rPr>
        <w:t xml:space="preserve">Acute </w:t>
      </w:r>
      <w:r w:rsidR="00340E11" w:rsidRPr="00476E0E">
        <w:t>toxicity</w:t>
      </w:r>
      <w:r>
        <w:rPr>
          <w:lang w:val="en-US"/>
        </w:rPr>
        <w:t xml:space="preserve"> </w:t>
      </w:r>
    </w:p>
    <w:p w14:paraId="4FD8A30C" w14:textId="2F826F4E" w:rsidR="00BB3396" w:rsidRPr="00476E0E" w:rsidRDefault="00BB3396" w:rsidP="009C2B25">
      <w:pPr>
        <w:rPr>
          <w:lang w:val="en-US"/>
        </w:rPr>
      </w:pPr>
      <w:r>
        <w:rPr>
          <w:lang w:val="en-US"/>
        </w:rPr>
        <w:t>Dylan</w:t>
      </w:r>
      <w:r w:rsidRPr="00476E0E">
        <w:rPr>
          <w:lang w:val="en-US"/>
        </w:rPr>
        <w:t>: Dosage</w:t>
      </w:r>
      <w:r>
        <w:rPr>
          <w:lang w:val="en-US"/>
        </w:rPr>
        <w:t xml:space="preserve"> </w:t>
      </w:r>
    </w:p>
    <w:p w14:paraId="7EAE1D5B" w14:textId="77777777" w:rsidR="00BB3396" w:rsidRPr="00476E0E" w:rsidRDefault="00BB3396" w:rsidP="009C2B25">
      <w:pPr>
        <w:rPr>
          <w:rFonts w:ascii="Calibri" w:hAnsi="Calibri" w:cs="Calibri"/>
          <w:szCs w:val="20"/>
        </w:rPr>
      </w:pPr>
    </w:p>
    <w:p w14:paraId="33ADC3AB" w14:textId="02870743" w:rsidR="001714AF" w:rsidRPr="009C2B25" w:rsidRDefault="00942519" w:rsidP="009C2B25">
      <w:pPr>
        <w:pStyle w:val="Caption"/>
        <w:keepNext/>
        <w:spacing w:after="0"/>
        <w:rPr>
          <w:rFonts w:ascii="Calibri" w:hAnsi="Calibri" w:cs="Calibri"/>
          <w:sz w:val="20"/>
          <w:szCs w:val="20"/>
        </w:rPr>
      </w:pPr>
      <w:bookmarkStart w:id="4" w:name="_Toc116750520"/>
      <w:r w:rsidRPr="00476E0E">
        <w:rPr>
          <w:rFonts w:ascii="Calibri" w:hAnsi="Calibri" w:cs="Calibri"/>
          <w:sz w:val="20"/>
          <w:szCs w:val="20"/>
        </w:rPr>
        <w:t xml:space="preserve">Table </w:t>
      </w:r>
      <w:r w:rsidRPr="00476E0E">
        <w:rPr>
          <w:rFonts w:ascii="Calibri" w:hAnsi="Calibri" w:cs="Calibri"/>
          <w:sz w:val="20"/>
          <w:szCs w:val="20"/>
        </w:rPr>
        <w:fldChar w:fldCharType="begin"/>
      </w:r>
      <w:r w:rsidRPr="00476E0E">
        <w:rPr>
          <w:rFonts w:ascii="Calibri" w:hAnsi="Calibri" w:cs="Calibri"/>
          <w:sz w:val="20"/>
          <w:szCs w:val="20"/>
        </w:rPr>
        <w:instrText xml:space="preserve"> SEQ Table \* ARABIC </w:instrText>
      </w:r>
      <w:r w:rsidRPr="00476E0E">
        <w:rPr>
          <w:rFonts w:ascii="Calibri" w:hAnsi="Calibri" w:cs="Calibri"/>
          <w:sz w:val="20"/>
          <w:szCs w:val="20"/>
        </w:rPr>
        <w:fldChar w:fldCharType="separate"/>
      </w:r>
      <w:r w:rsidR="008B56FC" w:rsidRPr="00476E0E">
        <w:rPr>
          <w:rFonts w:ascii="Calibri" w:hAnsi="Calibri" w:cs="Calibri"/>
          <w:noProof/>
          <w:sz w:val="20"/>
          <w:szCs w:val="20"/>
        </w:rPr>
        <w:t>1</w:t>
      </w:r>
      <w:r w:rsidRPr="00476E0E">
        <w:rPr>
          <w:rFonts w:ascii="Calibri" w:hAnsi="Calibri" w:cs="Calibri"/>
          <w:sz w:val="20"/>
          <w:szCs w:val="20"/>
        </w:rPr>
        <w:fldChar w:fldCharType="end"/>
      </w:r>
      <w:r w:rsidRPr="00476E0E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4569CF" w:rsidRPr="00476E0E">
        <w:rPr>
          <w:rFonts w:ascii="Calibri" w:hAnsi="Calibri" w:cs="Calibri"/>
          <w:sz w:val="20"/>
          <w:szCs w:val="20"/>
        </w:rPr>
        <w:t>Overall Summary of Nonclinical Acute Toxicity Studies with Hertumig</w:t>
      </w:r>
      <w:bookmarkEnd w:id="4"/>
    </w:p>
    <w:p w14:paraId="794CC049" w14:textId="7B98519C" w:rsidR="001B42EE" w:rsidRPr="00476E0E" w:rsidRDefault="004569CF" w:rsidP="009C2B25">
      <w:pPr>
        <w:rPr>
          <w:rFonts w:ascii="Calibri" w:hAnsi="Calibri" w:cs="Calibri"/>
          <w:color w:val="000000"/>
          <w:szCs w:val="20"/>
        </w:rPr>
      </w:pPr>
      <w:r w:rsidRPr="00476E0E">
        <w:rPr>
          <w:rFonts w:ascii="Calibri" w:hAnsi="Calibri" w:cs="Calibri"/>
          <w:noProof/>
          <w:color w:val="000000"/>
          <w:szCs w:val="20"/>
        </w:rPr>
        <w:drawing>
          <wp:inline distT="0" distB="0" distL="0" distR="0" wp14:anchorId="02E6CB5D" wp14:editId="7DFD893E">
            <wp:extent cx="3315855" cy="80563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49" cy="8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F9FF" w14:textId="1A068568" w:rsidR="00A74EAF" w:rsidRPr="00476E0E" w:rsidRDefault="00A74EAF" w:rsidP="009C2B25">
      <w:pPr>
        <w:rPr>
          <w:rFonts w:ascii="Calibri" w:hAnsi="Calibri" w:cs="Calibri"/>
          <w:color w:val="000000"/>
          <w:szCs w:val="20"/>
        </w:rPr>
      </w:pPr>
    </w:p>
    <w:p w14:paraId="06DD177A" w14:textId="3D41D085" w:rsidR="008110E1" w:rsidRDefault="005836BF" w:rsidP="009C2B25">
      <w:pPr>
        <w:pStyle w:val="Heading1"/>
        <w:spacing w:before="0"/>
      </w:pPr>
      <w:bookmarkStart w:id="5" w:name="_Toc116905845"/>
      <w:r w:rsidRPr="00476E0E">
        <w:t>Part B: Clinical Plan</w:t>
      </w:r>
      <w:bookmarkEnd w:id="5"/>
    </w:p>
    <w:p w14:paraId="56CF0A0F" w14:textId="77777777" w:rsidR="00BB3396" w:rsidRDefault="00BB3396" w:rsidP="009C2B25">
      <w:pPr>
        <w:rPr>
          <w:lang w:val="en-US"/>
        </w:rPr>
      </w:pPr>
      <w:r w:rsidRPr="00BB3396">
        <w:rPr>
          <w:lang w:val="en-US"/>
        </w:rPr>
        <w:t>Dylan</w:t>
      </w:r>
      <w:r>
        <w:rPr>
          <w:lang w:val="en-US"/>
        </w:rPr>
        <w:t>:</w:t>
      </w:r>
      <w:r w:rsidRPr="00BB3396">
        <w:rPr>
          <w:lang w:val="en-US"/>
        </w:rPr>
        <w:t xml:space="preserve"> Trial design</w:t>
      </w:r>
    </w:p>
    <w:p w14:paraId="20D332D4" w14:textId="5FC1D01E" w:rsidR="00BB3396" w:rsidRPr="00BB3396" w:rsidRDefault="00BB3396" w:rsidP="009C2B25">
      <w:pPr>
        <w:rPr>
          <w:lang w:val="en-US"/>
        </w:rPr>
      </w:pPr>
      <w:r w:rsidRPr="00BB3396">
        <w:rPr>
          <w:lang w:val="en-US"/>
        </w:rPr>
        <w:t>Dylan: Dosage</w:t>
      </w:r>
    </w:p>
    <w:p w14:paraId="5CE661D8" w14:textId="77777777" w:rsidR="00BB3396" w:rsidRPr="00BB3396" w:rsidRDefault="00BB3396" w:rsidP="009C2B25">
      <w:pPr>
        <w:rPr>
          <w:lang w:val="en-US"/>
        </w:rPr>
      </w:pPr>
    </w:p>
    <w:p w14:paraId="75A86816" w14:textId="566E09D5" w:rsidR="00A52954" w:rsidRPr="00476E0E" w:rsidRDefault="008544B8" w:rsidP="009C2B25">
      <w:pPr>
        <w:pStyle w:val="Caption"/>
        <w:spacing w:after="0"/>
        <w:rPr>
          <w:rFonts w:ascii="Calibri" w:hAnsi="Calibri"/>
          <w:sz w:val="20"/>
          <w:szCs w:val="20"/>
        </w:rPr>
      </w:pPr>
      <w:bookmarkStart w:id="6" w:name="_Toc116750521"/>
      <w:r w:rsidRPr="00476E0E">
        <w:rPr>
          <w:rFonts w:ascii="Calibri" w:hAnsi="Calibri"/>
          <w:sz w:val="20"/>
          <w:szCs w:val="20"/>
        </w:rPr>
        <w:t xml:space="preserve">Table </w:t>
      </w:r>
      <w:r w:rsidRPr="00476E0E">
        <w:rPr>
          <w:rFonts w:ascii="Calibri" w:hAnsi="Calibri"/>
          <w:sz w:val="20"/>
          <w:szCs w:val="20"/>
        </w:rPr>
        <w:fldChar w:fldCharType="begin"/>
      </w:r>
      <w:r w:rsidRPr="00476E0E">
        <w:rPr>
          <w:rFonts w:ascii="Calibri" w:hAnsi="Calibri"/>
          <w:sz w:val="20"/>
          <w:szCs w:val="20"/>
        </w:rPr>
        <w:instrText xml:space="preserve"> SEQ Table \* ARABIC </w:instrText>
      </w:r>
      <w:r w:rsidRPr="00476E0E">
        <w:rPr>
          <w:rFonts w:ascii="Calibri" w:hAnsi="Calibri"/>
          <w:sz w:val="20"/>
          <w:szCs w:val="20"/>
        </w:rPr>
        <w:fldChar w:fldCharType="separate"/>
      </w:r>
      <w:r w:rsidR="008B56FC" w:rsidRPr="00476E0E">
        <w:rPr>
          <w:rFonts w:ascii="Calibri" w:hAnsi="Calibri"/>
          <w:noProof/>
          <w:sz w:val="20"/>
          <w:szCs w:val="20"/>
        </w:rPr>
        <w:t>2</w:t>
      </w:r>
      <w:r w:rsidRPr="00476E0E">
        <w:rPr>
          <w:rFonts w:ascii="Calibri" w:hAnsi="Calibri"/>
          <w:sz w:val="20"/>
          <w:szCs w:val="20"/>
        </w:rPr>
        <w:fldChar w:fldCharType="end"/>
      </w:r>
      <w:r w:rsidRPr="00476E0E">
        <w:rPr>
          <w:rFonts w:ascii="Calibri" w:hAnsi="Calibri"/>
          <w:sz w:val="20"/>
          <w:szCs w:val="20"/>
          <w:lang w:val="en-US"/>
        </w:rPr>
        <w:t xml:space="preserve"> Overall Summary of Planned Clinical Studies with </w:t>
      </w:r>
      <w:proofErr w:type="spellStart"/>
      <w:r w:rsidRPr="00476E0E">
        <w:rPr>
          <w:rFonts w:ascii="Calibri" w:hAnsi="Calibri"/>
          <w:sz w:val="20"/>
          <w:szCs w:val="20"/>
          <w:lang w:val="en-US"/>
        </w:rPr>
        <w:t>Hertumig</w:t>
      </w:r>
      <w:bookmarkEnd w:id="6"/>
      <w:proofErr w:type="spellEnd"/>
    </w:p>
    <w:p w14:paraId="549B1676" w14:textId="112E5302" w:rsidR="001F04BE" w:rsidRDefault="0067720C" w:rsidP="009C2B25">
      <w:pPr>
        <w:rPr>
          <w:rFonts w:ascii="Calibri" w:hAnsi="Calibri"/>
          <w:szCs w:val="20"/>
        </w:rPr>
      </w:pPr>
      <w:r w:rsidRPr="00476E0E">
        <w:rPr>
          <w:rFonts w:ascii="Calibri" w:hAnsi="Calibri"/>
          <w:noProof/>
          <w:szCs w:val="20"/>
        </w:rPr>
        <w:drawing>
          <wp:inline distT="0" distB="0" distL="0" distR="0" wp14:anchorId="7BAB8933" wp14:editId="5AD5990E">
            <wp:extent cx="3657600" cy="1107087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28" cy="11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3A03" w14:textId="77777777" w:rsidR="009C2B25" w:rsidRPr="00476E0E" w:rsidRDefault="009C2B25" w:rsidP="009C2B25">
      <w:pPr>
        <w:rPr>
          <w:rFonts w:ascii="Calibri" w:hAnsi="Calibri"/>
          <w:szCs w:val="20"/>
        </w:rPr>
      </w:pPr>
    </w:p>
    <w:p w14:paraId="7C236CDB" w14:textId="301A7404" w:rsidR="005836BF" w:rsidRDefault="005836BF" w:rsidP="009C2B25">
      <w:pPr>
        <w:pStyle w:val="Heading1"/>
        <w:spacing w:before="0"/>
      </w:pPr>
      <w:bookmarkStart w:id="7" w:name="_Toc116905846"/>
      <w:r w:rsidRPr="00476E0E">
        <w:t>Part C: Chemistry, Manufacturing and Controls, CMC</w:t>
      </w:r>
      <w:bookmarkEnd w:id="7"/>
    </w:p>
    <w:p w14:paraId="6854D8A7" w14:textId="77777777" w:rsidR="00BB3396" w:rsidRPr="006E1AC5" w:rsidRDefault="00BB3396" w:rsidP="009C2B25">
      <w:pPr>
        <w:rPr>
          <w:rFonts w:ascii="Calibri" w:hAnsi="Calibri" w:cs="Calibri"/>
          <w:szCs w:val="20"/>
          <w:lang w:val="en-US"/>
        </w:rPr>
      </w:pPr>
    </w:p>
    <w:p w14:paraId="212FEEB4" w14:textId="64590445" w:rsidR="00E40A94" w:rsidRPr="00476E0E" w:rsidRDefault="00E40A94" w:rsidP="009C2B25">
      <w:r w:rsidRPr="00476E0E">
        <w:t>Description of Manufacturing Process and Process Controls</w:t>
      </w:r>
    </w:p>
    <w:p w14:paraId="4764D70B" w14:textId="75B0B6A3" w:rsidR="0091249F" w:rsidRPr="00BB3396" w:rsidRDefault="00BB3396" w:rsidP="009C2B25">
      <w:pPr>
        <w:jc w:val="both"/>
        <w:rPr>
          <w:rFonts w:ascii="Calibri" w:hAnsi="Calibri"/>
          <w:szCs w:val="20"/>
          <w:lang w:val="en-US"/>
        </w:rPr>
      </w:pPr>
      <w:r w:rsidRPr="00476E0E">
        <w:rPr>
          <w:rFonts w:ascii="Calibri" w:hAnsi="Calibri"/>
          <w:szCs w:val="20"/>
          <w:lang w:val="en-US"/>
        </w:rPr>
        <w:t>Quality attributes and methods</w:t>
      </w:r>
    </w:p>
    <w:p w14:paraId="5D905F0A" w14:textId="0FDB935B" w:rsidR="0091249F" w:rsidRPr="00BB3396" w:rsidRDefault="006A6DD3" w:rsidP="009C2B25">
      <w:pPr>
        <w:rPr>
          <w:rFonts w:asciiTheme="majorHAnsi" w:hAnsiTheme="majorHAnsi"/>
          <w:szCs w:val="36"/>
          <w:shd w:val="clear" w:color="auto" w:fill="FFFFFF"/>
          <w:lang w:val="en-US"/>
        </w:rPr>
      </w:pPr>
      <w:r w:rsidRPr="00476E0E">
        <w:rPr>
          <w:shd w:val="clear" w:color="auto" w:fill="FFFFFF"/>
          <w:lang w:val="en-US"/>
        </w:rPr>
        <w:t>Des</w:t>
      </w:r>
      <w:r w:rsidR="00BB3396">
        <w:rPr>
          <w:shd w:val="clear" w:color="auto" w:fill="FFFFFF"/>
          <w:lang w:val="en-US"/>
        </w:rPr>
        <w:t>i</w:t>
      </w:r>
      <w:r w:rsidRPr="00476E0E">
        <w:rPr>
          <w:shd w:val="clear" w:color="auto" w:fill="FFFFFF"/>
          <w:lang w:val="en-US"/>
        </w:rPr>
        <w:t xml:space="preserve">gn spaces </w:t>
      </w:r>
    </w:p>
    <w:p w14:paraId="101C4B05" w14:textId="20642AC4" w:rsidR="007B6BAF" w:rsidRPr="00476E0E" w:rsidRDefault="007B6BAF" w:rsidP="009C2B25">
      <w:r w:rsidRPr="00476E0E">
        <w:t>Process Risk Assessment</w:t>
      </w:r>
      <w:r w:rsidR="00BB3396">
        <w:rPr>
          <w:lang w:val="en-US"/>
        </w:rPr>
        <w:t xml:space="preserve"> </w:t>
      </w:r>
      <w:r w:rsidRPr="00476E0E">
        <w:t>Specifications</w:t>
      </w:r>
    </w:p>
    <w:p w14:paraId="78690ABE" w14:textId="2BB8C423" w:rsidR="00D5436E" w:rsidRPr="00476E0E" w:rsidRDefault="00BB3396" w:rsidP="009C2B25">
      <w:pPr>
        <w:rPr>
          <w:shd w:val="clear" w:color="auto" w:fill="FFFFFF"/>
        </w:rPr>
      </w:pPr>
      <w:r w:rsidRPr="00476E0E">
        <w:t>Process Risk Assessment</w:t>
      </w:r>
      <w:r>
        <w:rPr>
          <w:lang w:val="en-US"/>
        </w:rPr>
        <w:t xml:space="preserve"> </w:t>
      </w:r>
      <w:r w:rsidR="00D5436E" w:rsidRPr="00476E0E">
        <w:rPr>
          <w:shd w:val="clear" w:color="auto" w:fill="FFFFFF"/>
          <w:lang w:val="en-US"/>
        </w:rPr>
        <w:t>C</w:t>
      </w:r>
      <w:r w:rsidR="00D5436E" w:rsidRPr="00476E0E">
        <w:rPr>
          <w:shd w:val="clear" w:color="auto" w:fill="FFFFFF"/>
        </w:rPr>
        <w:t xml:space="preserve">ontrol </w:t>
      </w:r>
      <w:r w:rsidR="00D5436E" w:rsidRPr="00476E0E">
        <w:t>strategy</w:t>
      </w:r>
      <w:r w:rsidR="00D5436E" w:rsidRPr="00476E0E">
        <w:rPr>
          <w:shd w:val="clear" w:color="auto" w:fill="FFFFFF"/>
        </w:rPr>
        <w:t xml:space="preserve"> </w:t>
      </w:r>
    </w:p>
    <w:p w14:paraId="7CABF9D1" w14:textId="6E881C9B" w:rsidR="007B6BAF" w:rsidRPr="00476E0E" w:rsidRDefault="007B6BAF" w:rsidP="009C2B25">
      <w:r w:rsidRPr="00476E0E">
        <w:rPr>
          <w:shd w:val="clear" w:color="auto" w:fill="FFFFFF"/>
          <w:lang w:val="en-US"/>
        </w:rPr>
        <w:t>Regulatory Filing and Process Monitoring</w:t>
      </w:r>
    </w:p>
    <w:p w14:paraId="69D0634C" w14:textId="6E6DBDF1" w:rsidR="00F46B4C" w:rsidRPr="00476E0E" w:rsidRDefault="005836BF" w:rsidP="009C2B25">
      <w:pPr>
        <w:pStyle w:val="Heading1"/>
        <w:spacing w:before="0"/>
      </w:pPr>
      <w:bookmarkStart w:id="8" w:name="_Toc116905847"/>
      <w:r w:rsidRPr="00476E0E">
        <w:lastRenderedPageBreak/>
        <w:t>Part D: Scientific Advice</w:t>
      </w:r>
      <w:bookmarkEnd w:id="8"/>
    </w:p>
    <w:p w14:paraId="079C718D" w14:textId="20BBD6A8" w:rsidR="00664655" w:rsidRPr="00476E0E" w:rsidRDefault="00BB3396" w:rsidP="009C2B25">
      <w:pPr>
        <w:rPr>
          <w:iCs/>
          <w:lang w:val="en-US"/>
        </w:rPr>
      </w:pPr>
      <w:r>
        <w:rPr>
          <w:lang w:val="en-US"/>
        </w:rPr>
        <w:t>Dylan</w:t>
      </w:r>
      <w:r>
        <w:rPr>
          <w:iCs/>
          <w:lang w:val="en-US"/>
        </w:rPr>
        <w:t xml:space="preserve">: </w:t>
      </w:r>
      <w:r w:rsidR="00F46B4C" w:rsidRPr="00476E0E">
        <w:rPr>
          <w:iCs/>
          <w:lang w:val="en-US"/>
        </w:rPr>
        <w:t>EMA</w:t>
      </w:r>
      <w:r w:rsidR="00664655" w:rsidRPr="00476E0E">
        <w:rPr>
          <w:iCs/>
          <w:lang w:val="en-US"/>
        </w:rPr>
        <w:t xml:space="preserve"> </w:t>
      </w:r>
      <w:r w:rsidR="00664655" w:rsidRPr="00476E0E">
        <w:t>Scientific Advice</w:t>
      </w:r>
      <w:r w:rsidR="00664655" w:rsidRPr="00476E0E">
        <w:rPr>
          <w:lang w:val="en-US"/>
        </w:rPr>
        <w:t xml:space="preserve"> overview</w:t>
      </w:r>
    </w:p>
    <w:p w14:paraId="22F61226" w14:textId="60084632" w:rsidR="00982CFD" w:rsidRPr="00476E0E" w:rsidRDefault="00BB3396" w:rsidP="009C2B25">
      <w:r>
        <w:rPr>
          <w:lang w:val="en-US"/>
        </w:rPr>
        <w:t xml:space="preserve">Dylan: </w:t>
      </w:r>
      <w:r w:rsidR="00982CFD" w:rsidRPr="00476E0E">
        <w:rPr>
          <w:lang w:val="en-US"/>
        </w:rPr>
        <w:t>P</w:t>
      </w:r>
      <w:r w:rsidR="00982CFD" w:rsidRPr="00476E0E">
        <w:t>arallel scientific advice</w:t>
      </w:r>
    </w:p>
    <w:p w14:paraId="2EE5C9E3" w14:textId="6B0FFBC5" w:rsidR="00D73BB6" w:rsidRPr="00476E0E" w:rsidRDefault="00BB3396" w:rsidP="009C2B25">
      <w:pPr>
        <w:rPr>
          <w:lang w:val="en-US"/>
        </w:rPr>
      </w:pPr>
      <w:r>
        <w:rPr>
          <w:lang w:val="en-US"/>
        </w:rPr>
        <w:t xml:space="preserve">Dylan: </w:t>
      </w:r>
      <w:r w:rsidR="001F21BB" w:rsidRPr="00476E0E">
        <w:t>Application</w:t>
      </w:r>
      <w:r w:rsidR="001F21BB" w:rsidRPr="00476E0E">
        <w:rPr>
          <w:lang w:val="en-US"/>
        </w:rPr>
        <w:t xml:space="preserve"> timetable</w:t>
      </w:r>
    </w:p>
    <w:p w14:paraId="42857A7E" w14:textId="29D6B553" w:rsidR="00BB3396" w:rsidRPr="00476E0E" w:rsidRDefault="00BB3396" w:rsidP="009C2B25">
      <w:pPr>
        <w:rPr>
          <w:rFonts w:eastAsia="Calibri"/>
          <w:lang w:val="en-US"/>
        </w:rPr>
      </w:pPr>
      <w:r>
        <w:rPr>
          <w:lang w:val="en-US"/>
        </w:rPr>
        <w:t>Dylan</w:t>
      </w:r>
      <w:r w:rsidRPr="00476E0E">
        <w:rPr>
          <w:lang w:val="en-US"/>
        </w:rPr>
        <w:t xml:space="preserve">: </w:t>
      </w:r>
      <w:r>
        <w:rPr>
          <w:lang w:val="en-US"/>
        </w:rPr>
        <w:t xml:space="preserve">Qs on </w:t>
      </w:r>
      <w:r w:rsidRPr="00476E0E">
        <w:rPr>
          <w:rFonts w:eastAsia="Calibri"/>
          <w:lang w:val="en-US"/>
        </w:rPr>
        <w:t>Dose response studies</w:t>
      </w:r>
    </w:p>
    <w:p w14:paraId="15B916AF" w14:textId="46ADC12F" w:rsidR="00BB3396" w:rsidRPr="00476E0E" w:rsidRDefault="00BB3396" w:rsidP="009C2B25">
      <w:pPr>
        <w:rPr>
          <w:lang w:val="en-US"/>
        </w:rPr>
      </w:pPr>
      <w:r>
        <w:rPr>
          <w:lang w:val="en-US"/>
        </w:rPr>
        <w:t>Dylan</w:t>
      </w:r>
      <w:r w:rsidRPr="00476E0E">
        <w:rPr>
          <w:lang w:val="en-US"/>
        </w:rPr>
        <w:t xml:space="preserve">: </w:t>
      </w:r>
      <w:r>
        <w:rPr>
          <w:lang w:val="en-US"/>
        </w:rPr>
        <w:t xml:space="preserve">Qs on </w:t>
      </w:r>
      <w:r w:rsidRPr="00476E0E">
        <w:rPr>
          <w:lang w:val="en-US"/>
        </w:rPr>
        <w:t>Non-clinical aspects</w:t>
      </w:r>
    </w:p>
    <w:p w14:paraId="5B9832EA" w14:textId="77777777" w:rsidR="00BB3396" w:rsidRPr="00476E0E" w:rsidRDefault="00BB3396" w:rsidP="009C2B25">
      <w:pPr>
        <w:rPr>
          <w:rFonts w:ascii="Calibri" w:hAnsi="Calibri"/>
          <w:szCs w:val="20"/>
          <w:lang w:val="en-US"/>
        </w:rPr>
      </w:pPr>
    </w:p>
    <w:p w14:paraId="1C414C85" w14:textId="74C73B2B" w:rsidR="00D73BB6" w:rsidRPr="00476E0E" w:rsidRDefault="00D73BB6" w:rsidP="009C2B25">
      <w:pPr>
        <w:pStyle w:val="Caption"/>
        <w:spacing w:after="0"/>
        <w:rPr>
          <w:rFonts w:ascii="Calibri" w:hAnsi="Calibri"/>
          <w:sz w:val="20"/>
          <w:szCs w:val="20"/>
          <w:lang w:val="en-US"/>
        </w:rPr>
      </w:pPr>
      <w:bookmarkStart w:id="9" w:name="_Ref116728279"/>
      <w:bookmarkStart w:id="10" w:name="_Toc116750523"/>
      <w:r w:rsidRPr="00476E0E">
        <w:rPr>
          <w:rFonts w:ascii="Calibri" w:hAnsi="Calibri"/>
          <w:sz w:val="20"/>
          <w:szCs w:val="20"/>
        </w:rPr>
        <w:t xml:space="preserve">Table </w:t>
      </w:r>
      <w:r w:rsidRPr="00476E0E">
        <w:rPr>
          <w:rFonts w:ascii="Calibri" w:hAnsi="Calibri"/>
          <w:sz w:val="20"/>
          <w:szCs w:val="20"/>
        </w:rPr>
        <w:fldChar w:fldCharType="begin"/>
      </w:r>
      <w:r w:rsidRPr="00476E0E">
        <w:rPr>
          <w:rFonts w:ascii="Calibri" w:hAnsi="Calibri"/>
          <w:sz w:val="20"/>
          <w:szCs w:val="20"/>
        </w:rPr>
        <w:instrText xml:space="preserve"> SEQ Table \* ARABIC </w:instrText>
      </w:r>
      <w:r w:rsidRPr="00476E0E">
        <w:rPr>
          <w:rFonts w:ascii="Calibri" w:hAnsi="Calibri"/>
          <w:sz w:val="20"/>
          <w:szCs w:val="20"/>
        </w:rPr>
        <w:fldChar w:fldCharType="separate"/>
      </w:r>
      <w:r w:rsidR="008B56FC" w:rsidRPr="00476E0E">
        <w:rPr>
          <w:rFonts w:ascii="Calibri" w:hAnsi="Calibri"/>
          <w:noProof/>
          <w:sz w:val="20"/>
          <w:szCs w:val="20"/>
        </w:rPr>
        <w:t>4</w:t>
      </w:r>
      <w:r w:rsidRPr="00476E0E">
        <w:rPr>
          <w:rFonts w:ascii="Calibri" w:hAnsi="Calibri"/>
          <w:sz w:val="20"/>
          <w:szCs w:val="20"/>
        </w:rPr>
        <w:fldChar w:fldCharType="end"/>
      </w:r>
      <w:bookmarkEnd w:id="9"/>
      <w:r w:rsidRPr="00476E0E">
        <w:rPr>
          <w:rFonts w:ascii="Calibri" w:hAnsi="Calibri"/>
          <w:sz w:val="20"/>
          <w:szCs w:val="20"/>
          <w:lang w:val="en-US"/>
        </w:rPr>
        <w:t xml:space="preserve"> 2023 Submission deadlines - Scientific advice, protocol assistance, qualification of biomarkers</w:t>
      </w:r>
      <w:bookmarkEnd w:id="10"/>
    </w:p>
    <w:p w14:paraId="0E91EF43" w14:textId="2E7074A7" w:rsidR="004B0786" w:rsidRPr="00476E0E" w:rsidRDefault="00D73BB6" w:rsidP="009C2B25">
      <w:pPr>
        <w:rPr>
          <w:rFonts w:ascii="Calibri" w:hAnsi="Calibri"/>
          <w:szCs w:val="20"/>
          <w:lang w:val="en-US"/>
        </w:rPr>
      </w:pPr>
      <w:r w:rsidRPr="00476E0E">
        <w:rPr>
          <w:rFonts w:ascii="Calibri" w:hAnsi="Calibri"/>
          <w:noProof/>
          <w:szCs w:val="20"/>
          <w:lang w:val="en-US"/>
        </w:rPr>
        <w:drawing>
          <wp:inline distT="0" distB="0" distL="0" distR="0" wp14:anchorId="5EC165FF" wp14:editId="372B9A30">
            <wp:extent cx="2262909" cy="1124685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47" cy="11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778B" w14:textId="77777777" w:rsidR="00772C76" w:rsidRPr="00476E0E" w:rsidRDefault="00772C76" w:rsidP="009C2B25">
      <w:pPr>
        <w:rPr>
          <w:rFonts w:ascii="Calibri" w:eastAsia="Calibri" w:hAnsi="Calibri" w:cs="Verdana"/>
          <w:color w:val="000000"/>
          <w:szCs w:val="20"/>
          <w:lang w:val="en-US"/>
        </w:rPr>
      </w:pPr>
    </w:p>
    <w:p w14:paraId="3E7E9ED7" w14:textId="77777777" w:rsidR="005836BF" w:rsidRPr="00476E0E" w:rsidRDefault="005836BF" w:rsidP="009C2B25">
      <w:pPr>
        <w:pStyle w:val="Heading1"/>
        <w:spacing w:before="0"/>
        <w:rPr>
          <w:iCs/>
          <w:lang w:val="en-US"/>
        </w:rPr>
      </w:pPr>
      <w:bookmarkStart w:id="11" w:name="_Toc116905848"/>
      <w:r w:rsidRPr="00476E0E">
        <w:t>Part E: Inspection Readiness</w:t>
      </w:r>
      <w:bookmarkEnd w:id="11"/>
    </w:p>
    <w:p w14:paraId="1598133E" w14:textId="55F850DB" w:rsidR="00A706A6" w:rsidRDefault="00A706A6" w:rsidP="009C2B25">
      <w:pPr>
        <w:rPr>
          <w:rFonts w:ascii="Calibri" w:hAnsi="Calibri" w:cs="Calibri"/>
          <w:szCs w:val="20"/>
          <w:lang w:val="en-US"/>
        </w:rPr>
      </w:pPr>
      <w:r>
        <w:rPr>
          <w:rFonts w:ascii="Calibri" w:hAnsi="Calibri" w:cs="Calibri"/>
          <w:szCs w:val="20"/>
          <w:lang w:val="en-US"/>
        </w:rPr>
        <w:t>Dylan: Reasons</w:t>
      </w:r>
    </w:p>
    <w:p w14:paraId="70067E52" w14:textId="1EC6FACE" w:rsidR="00A706A6" w:rsidRDefault="00A706A6" w:rsidP="009C2B25">
      <w:pPr>
        <w:rPr>
          <w:rFonts w:ascii="Calibri" w:hAnsi="Calibri" w:cs="Calibri"/>
          <w:szCs w:val="20"/>
          <w:lang w:val="en-US"/>
        </w:rPr>
      </w:pPr>
      <w:r>
        <w:rPr>
          <w:rFonts w:ascii="Calibri" w:hAnsi="Calibri" w:cs="Calibri"/>
          <w:szCs w:val="20"/>
          <w:lang w:val="en-US"/>
        </w:rPr>
        <w:t xml:space="preserve">Dylan </w:t>
      </w:r>
      <w:r w:rsidR="002675EB" w:rsidRPr="00EF42DC">
        <w:rPr>
          <w:rFonts w:ascii="Calibri" w:hAnsi="Calibri" w:cs="Calibri"/>
          <w:szCs w:val="20"/>
          <w:lang w:val="en-US"/>
        </w:rPr>
        <w:t xml:space="preserve">Readiness </w:t>
      </w:r>
      <w:r>
        <w:rPr>
          <w:rFonts w:ascii="Calibri" w:hAnsi="Calibri" w:cs="Calibri"/>
          <w:szCs w:val="20"/>
          <w:lang w:val="en-US"/>
        </w:rPr>
        <w:t>key points.</w:t>
      </w:r>
    </w:p>
    <w:p w14:paraId="529082BB" w14:textId="77777777" w:rsidR="009C2B25" w:rsidRDefault="009C2B25" w:rsidP="009C2B25">
      <w:pPr>
        <w:rPr>
          <w:rFonts w:ascii="Calibri" w:hAnsi="Calibri" w:cs="Calibri"/>
          <w:szCs w:val="20"/>
          <w:lang w:val="en-US"/>
        </w:rPr>
      </w:pPr>
    </w:p>
    <w:p w14:paraId="3C0335F0" w14:textId="0123F0F5" w:rsidR="005C1B7D" w:rsidRPr="00476E0E" w:rsidRDefault="005C1B7D" w:rsidP="009C2B25">
      <w:pPr>
        <w:pStyle w:val="Heading1"/>
        <w:spacing w:before="0"/>
      </w:pPr>
      <w:bookmarkStart w:id="12" w:name="_Toc116905849"/>
      <w:r w:rsidRPr="00476E0E">
        <w:t>Overall strategy</w:t>
      </w:r>
      <w:bookmarkEnd w:id="12"/>
    </w:p>
    <w:p w14:paraId="3FFD04AB" w14:textId="319956C0" w:rsidR="005C1B7D" w:rsidRDefault="00E51E7E" w:rsidP="009C2B25">
      <w:pPr>
        <w:pStyle w:val="NormalWeb"/>
        <w:spacing w:before="0" w:beforeAutospacing="0" w:after="0" w:afterAutospacing="0"/>
        <w:rPr>
          <w:rFonts w:ascii="Calibri" w:hAnsi="Calibri" w:cs="Calibri"/>
          <w:szCs w:val="20"/>
          <w:lang w:val="en-US"/>
        </w:rPr>
      </w:pPr>
      <w:r>
        <w:rPr>
          <w:rFonts w:ascii="Calibri" w:hAnsi="Calibri" w:cs="Calibri"/>
          <w:szCs w:val="20"/>
          <w:lang w:val="en-US"/>
        </w:rPr>
        <w:t>Dylan: List of key po</w:t>
      </w:r>
      <w:r w:rsidR="009C2B25">
        <w:rPr>
          <w:rFonts w:ascii="Calibri" w:hAnsi="Calibri" w:cs="Calibri"/>
          <w:szCs w:val="20"/>
          <w:lang w:val="en-US"/>
        </w:rPr>
        <w:t>i</w:t>
      </w:r>
      <w:r>
        <w:rPr>
          <w:rFonts w:ascii="Calibri" w:hAnsi="Calibri" w:cs="Calibri"/>
          <w:szCs w:val="20"/>
          <w:lang w:val="en-US"/>
        </w:rPr>
        <w:t>nts</w:t>
      </w:r>
    </w:p>
    <w:p w14:paraId="55A7F3D2" w14:textId="77777777" w:rsidR="009C2B25" w:rsidRPr="00476E0E" w:rsidRDefault="009C2B25" w:rsidP="009C2B25">
      <w:pPr>
        <w:pStyle w:val="NormalWeb"/>
        <w:spacing w:before="0" w:beforeAutospacing="0" w:after="0" w:afterAutospacing="0"/>
        <w:rPr>
          <w:rFonts w:ascii="Calibri" w:hAnsi="Calibri" w:cs="Calibri"/>
          <w:szCs w:val="20"/>
        </w:rPr>
      </w:pPr>
    </w:p>
    <w:p w14:paraId="68A8DF6C" w14:textId="26364165" w:rsidR="005C1B7D" w:rsidRPr="00476E0E" w:rsidRDefault="005C1B7D" w:rsidP="009C2B25">
      <w:pPr>
        <w:pStyle w:val="Heading1"/>
        <w:spacing w:before="0"/>
      </w:pPr>
      <w:bookmarkStart w:id="13" w:name="_Toc116905850"/>
      <w:r w:rsidRPr="00B02C98">
        <w:t>Advice</w:t>
      </w:r>
      <w:r w:rsidRPr="00476E0E">
        <w:t xml:space="preserve"> to Management</w:t>
      </w:r>
      <w:bookmarkEnd w:id="13"/>
    </w:p>
    <w:p w14:paraId="3F927E2B" w14:textId="62A1CCA7" w:rsidR="00C32691" w:rsidRDefault="00E51E7E" w:rsidP="009C2B25">
      <w:pPr>
        <w:pStyle w:val="NormalWeb"/>
        <w:spacing w:before="0" w:beforeAutospacing="0" w:after="0" w:afterAutospacing="0"/>
        <w:rPr>
          <w:rFonts w:ascii="Calibri" w:hAnsi="Calibri" w:cs="Calibri"/>
          <w:szCs w:val="20"/>
          <w:lang w:val="en-US"/>
        </w:rPr>
      </w:pPr>
      <w:r>
        <w:rPr>
          <w:rFonts w:ascii="Calibri" w:hAnsi="Calibri" w:cs="Calibri"/>
          <w:szCs w:val="20"/>
          <w:lang w:val="en-US"/>
        </w:rPr>
        <w:t xml:space="preserve">Dylan: List of key achievements and list of next steps and outcome reasoning. </w:t>
      </w:r>
    </w:p>
    <w:p w14:paraId="743518C1" w14:textId="77777777" w:rsidR="009C2B25" w:rsidRPr="008577E6" w:rsidRDefault="009C2B25" w:rsidP="009C2B25">
      <w:pPr>
        <w:pStyle w:val="NormalWeb"/>
        <w:spacing w:before="0" w:beforeAutospacing="0" w:after="0" w:afterAutospacing="0"/>
        <w:rPr>
          <w:rFonts w:ascii="Calibri" w:hAnsi="Calibri" w:cs="Calibri"/>
          <w:szCs w:val="20"/>
          <w:lang w:val="en-US"/>
        </w:rPr>
      </w:pPr>
    </w:p>
    <w:p w14:paraId="0153C23D" w14:textId="0A77957D" w:rsidR="005C1B7D" w:rsidRPr="00476E0E" w:rsidRDefault="005C1B7D" w:rsidP="009C2B25">
      <w:pPr>
        <w:pStyle w:val="Heading1"/>
        <w:spacing w:before="0"/>
      </w:pPr>
      <w:bookmarkStart w:id="14" w:name="_Toc116905851"/>
      <w:r w:rsidRPr="00B02C98">
        <w:t>Conclusion</w:t>
      </w:r>
      <w:bookmarkEnd w:id="14"/>
    </w:p>
    <w:p w14:paraId="35C39ECA" w14:textId="79B547BA" w:rsidR="00820322" w:rsidRPr="00E51E7E" w:rsidRDefault="00E51E7E" w:rsidP="009C2B25">
      <w:pPr>
        <w:pStyle w:val="NormalWeb"/>
        <w:spacing w:before="0" w:beforeAutospacing="0" w:after="0" w:afterAutospacing="0"/>
        <w:rPr>
          <w:rFonts w:ascii="Calibri" w:hAnsi="Calibri" w:cs="Calibri"/>
          <w:szCs w:val="20"/>
          <w:lang w:val="en-US"/>
        </w:rPr>
      </w:pPr>
      <w:r>
        <w:rPr>
          <w:rFonts w:ascii="Calibri" w:hAnsi="Calibri" w:cs="Calibri"/>
          <w:szCs w:val="20"/>
          <w:lang w:val="en-US"/>
        </w:rPr>
        <w:t>Dylan: Summary</w:t>
      </w:r>
    </w:p>
    <w:p w14:paraId="039256D6" w14:textId="77777777" w:rsidR="009C2B25" w:rsidRDefault="009C2B25" w:rsidP="009C2B25">
      <w:pPr>
        <w:pStyle w:val="Heading1"/>
        <w:spacing w:before="0"/>
      </w:pPr>
    </w:p>
    <w:p w14:paraId="650EA002" w14:textId="1306B675" w:rsidR="00E51E7E" w:rsidRDefault="00820322" w:rsidP="009C2B25">
      <w:pPr>
        <w:pStyle w:val="Heading1"/>
        <w:spacing w:before="0"/>
        <w:rPr>
          <w:lang w:val="en-US"/>
        </w:rPr>
      </w:pPr>
      <w:bookmarkStart w:id="15" w:name="_Toc116905852"/>
      <w:r w:rsidRPr="00476E0E">
        <w:t>Supplemental</w:t>
      </w:r>
      <w:bookmarkEnd w:id="15"/>
      <w:r w:rsidR="00476E0E" w:rsidRPr="00476E0E">
        <w:rPr>
          <w:lang w:val="en-US"/>
        </w:rPr>
        <w:t xml:space="preserve"> </w:t>
      </w:r>
    </w:p>
    <w:p w14:paraId="12EB1834" w14:textId="1AB14A31" w:rsidR="00820322" w:rsidRDefault="00E51E7E" w:rsidP="009C2B25">
      <w:pPr>
        <w:rPr>
          <w:lang w:val="en-US"/>
        </w:rPr>
      </w:pPr>
      <w:r>
        <w:rPr>
          <w:lang w:val="en-US"/>
        </w:rPr>
        <w:t xml:space="preserve">Dylan: </w:t>
      </w:r>
      <w:r w:rsidR="00476E0E" w:rsidRPr="00476E0E">
        <w:rPr>
          <w:lang w:val="en-US"/>
        </w:rPr>
        <w:t>i</w:t>
      </w:r>
      <w:r w:rsidR="00820322" w:rsidRPr="00476E0E">
        <w:rPr>
          <w:lang w:val="en-US"/>
        </w:rPr>
        <w:t>ntroduction</w:t>
      </w:r>
      <w:r w:rsidR="00660E67" w:rsidRPr="00476E0E">
        <w:rPr>
          <w:lang w:val="en-US"/>
        </w:rPr>
        <w:t xml:space="preserve"> on therapeutic </w:t>
      </w:r>
      <w:proofErr w:type="spellStart"/>
      <w:r w:rsidR="00660E67" w:rsidRPr="00476E0E">
        <w:rPr>
          <w:lang w:val="en-US"/>
        </w:rPr>
        <w:t>mAb</w:t>
      </w:r>
      <w:proofErr w:type="spellEnd"/>
      <w:r>
        <w:rPr>
          <w:lang w:val="en-US"/>
        </w:rPr>
        <w:t>.</w:t>
      </w:r>
    </w:p>
    <w:p w14:paraId="1E77E6EA" w14:textId="77777777" w:rsidR="00E51E7E" w:rsidRPr="00476E0E" w:rsidRDefault="00E51E7E" w:rsidP="009C2B25">
      <w:pPr>
        <w:rPr>
          <w:lang w:val="en-US"/>
        </w:rPr>
      </w:pPr>
    </w:p>
    <w:p w14:paraId="14F42F25" w14:textId="1A035AB1" w:rsidR="00D537E4" w:rsidRPr="00476E0E" w:rsidRDefault="000A7E06" w:rsidP="009C2B25">
      <w:pPr>
        <w:rPr>
          <w:rFonts w:ascii="Calibri" w:hAnsi="Calibri" w:cs="Calibri"/>
          <w:szCs w:val="20"/>
        </w:rPr>
      </w:pPr>
      <w:r w:rsidRPr="00476E0E">
        <w:rPr>
          <w:rFonts w:ascii="Calibri" w:hAnsi="Calibri" w:cs="Calibri"/>
          <w:szCs w:val="20"/>
        </w:rPr>
        <w:br w:type="page"/>
      </w:r>
    </w:p>
    <w:p w14:paraId="5562228C" w14:textId="30E6D107" w:rsidR="005836BF" w:rsidRPr="00B02C98" w:rsidRDefault="00822AF5" w:rsidP="009C2B25">
      <w:pPr>
        <w:pStyle w:val="Heading1"/>
        <w:spacing w:before="0"/>
        <w:rPr>
          <w:rFonts w:ascii="Calibri" w:eastAsia="Times New Roman" w:hAnsi="Calibri" w:cs="Calibri"/>
          <w:sz w:val="20"/>
          <w:szCs w:val="20"/>
          <w:lang w:val="en-US"/>
        </w:rPr>
      </w:pPr>
      <w:bookmarkStart w:id="16" w:name="_Toc116905853"/>
      <w:r w:rsidRPr="00476E0E">
        <w:rPr>
          <w:rFonts w:ascii="Calibri" w:hAnsi="Calibri" w:cs="Calibri"/>
          <w:sz w:val="20"/>
          <w:szCs w:val="20"/>
        </w:rPr>
        <w:lastRenderedPageBreak/>
        <w:t>References</w:t>
      </w:r>
      <w:bookmarkEnd w:id="16"/>
    </w:p>
    <w:p w14:paraId="70D4C6AC" w14:textId="77777777" w:rsidR="009C2B25" w:rsidRPr="009C2B25" w:rsidRDefault="00DD3EB6" w:rsidP="009C2B25">
      <w:pPr>
        <w:pStyle w:val="Bibliography"/>
        <w:rPr>
          <w:rFonts w:ascii="Calibri" w:hAnsi="Calibri" w:cs="Calibri"/>
          <w:lang w:val="en-US"/>
        </w:rPr>
      </w:pPr>
      <w:r w:rsidRPr="00476E0E">
        <w:rPr>
          <w:rFonts w:ascii="Calibri" w:hAnsi="Calibri" w:cs="Calibri"/>
          <w:szCs w:val="20"/>
        </w:rPr>
        <w:fldChar w:fldCharType="begin"/>
      </w:r>
      <w:r w:rsidR="009C2B25">
        <w:rPr>
          <w:rFonts w:ascii="Calibri" w:hAnsi="Calibri" w:cs="Calibri"/>
          <w:szCs w:val="20"/>
        </w:rPr>
        <w:instrText xml:space="preserve"> ADDIN ZOTERO_BIBL {"uncited":[],"omitted":[],"custom":[]} CSL_BIBLIOGRAPHY </w:instrText>
      </w:r>
      <w:r w:rsidRPr="00476E0E">
        <w:rPr>
          <w:rFonts w:ascii="Calibri" w:hAnsi="Calibri" w:cs="Calibri"/>
          <w:szCs w:val="20"/>
        </w:rPr>
        <w:fldChar w:fldCharType="separate"/>
      </w:r>
      <w:r w:rsidR="009C2B25" w:rsidRPr="009C2B25">
        <w:rPr>
          <w:rFonts w:ascii="Calibri" w:hAnsi="Calibri" w:cs="Calibri"/>
          <w:lang w:val="en-US"/>
        </w:rPr>
        <w:t>[1]</w:t>
      </w:r>
      <w:r w:rsidR="009C2B25" w:rsidRPr="009C2B25">
        <w:rPr>
          <w:rFonts w:ascii="Calibri" w:hAnsi="Calibri" w:cs="Calibri"/>
          <w:lang w:val="en-US"/>
        </w:rPr>
        <w:tab/>
        <w:t>I. C. H. Guideline, “ICH: M3 (R2) Guidance on nonclinical safety studies for the conduct of human clinical trials and marketing authorization for pharmaceuticals. Version step 4 2009.,” 2009. [Online]. Available: https://database.ich.org/sites/default/files/M3_R2__Guideline.pdf</w:t>
      </w:r>
    </w:p>
    <w:p w14:paraId="2DD6A421" w14:textId="77777777" w:rsidR="009C2B25" w:rsidRPr="009C2B25" w:rsidRDefault="009C2B25" w:rsidP="009C2B25">
      <w:pPr>
        <w:pStyle w:val="Bibliography"/>
        <w:rPr>
          <w:rFonts w:ascii="Calibri" w:hAnsi="Calibri" w:cs="Calibri"/>
          <w:lang w:val="en-US"/>
        </w:rPr>
      </w:pPr>
      <w:r w:rsidRPr="009C2B25">
        <w:rPr>
          <w:rFonts w:ascii="Calibri" w:hAnsi="Calibri" w:cs="Calibri"/>
          <w:lang w:val="en-US"/>
        </w:rPr>
        <w:t>[2]</w:t>
      </w:r>
      <w:r w:rsidRPr="009C2B25">
        <w:rPr>
          <w:rFonts w:ascii="Calibri" w:hAnsi="Calibri" w:cs="Calibri"/>
          <w:lang w:val="en-US"/>
        </w:rPr>
        <w:tab/>
        <w:t>I. C. H. Guideline, “ICH: Q8 Pharmaceutical development (R2),” 2009. [Online]. Available: https://database.ich.org/</w:t>
      </w:r>
    </w:p>
    <w:p w14:paraId="1E635258" w14:textId="77777777" w:rsidR="009C2B25" w:rsidRPr="009C2B25" w:rsidRDefault="009C2B25" w:rsidP="009C2B25">
      <w:pPr>
        <w:pStyle w:val="Bibliography"/>
        <w:rPr>
          <w:rFonts w:ascii="Calibri" w:hAnsi="Calibri" w:cs="Calibri"/>
          <w:lang w:val="en-US"/>
        </w:rPr>
      </w:pPr>
      <w:r w:rsidRPr="009C2B25">
        <w:rPr>
          <w:rFonts w:ascii="Calibri" w:hAnsi="Calibri" w:cs="Calibri"/>
          <w:lang w:val="en-US"/>
        </w:rPr>
        <w:t>[3]</w:t>
      </w:r>
      <w:r w:rsidRPr="009C2B25">
        <w:rPr>
          <w:rFonts w:ascii="Calibri" w:hAnsi="Calibri" w:cs="Calibri"/>
          <w:lang w:val="en-US"/>
        </w:rPr>
        <w:tab/>
        <w:t>I. C. H. Guideline, “ICH: Q9 Quality risk management,” 2021. [Online]. Available: https://database.ich.org/</w:t>
      </w:r>
    </w:p>
    <w:p w14:paraId="635AB0F7" w14:textId="77777777" w:rsidR="009C2B25" w:rsidRPr="009C2B25" w:rsidRDefault="009C2B25" w:rsidP="009C2B25">
      <w:pPr>
        <w:pStyle w:val="Bibliography"/>
        <w:rPr>
          <w:rFonts w:ascii="Calibri" w:hAnsi="Calibri" w:cs="Calibri"/>
          <w:lang w:val="en-US"/>
        </w:rPr>
      </w:pPr>
      <w:r w:rsidRPr="009C2B25">
        <w:rPr>
          <w:rFonts w:ascii="Calibri" w:hAnsi="Calibri" w:cs="Calibri"/>
          <w:lang w:val="en-US"/>
        </w:rPr>
        <w:t>[4]</w:t>
      </w:r>
      <w:r w:rsidRPr="009C2B25">
        <w:rPr>
          <w:rFonts w:ascii="Calibri" w:hAnsi="Calibri" w:cs="Calibri"/>
          <w:lang w:val="en-US"/>
        </w:rPr>
        <w:tab/>
        <w:t>I. C. H. Guideline, “ICH: Q6B Specifications: test procedures and acceptance criteria for biotechnological/biological products,” 1999. [Online]. Available: https://database.ich.org/</w:t>
      </w:r>
    </w:p>
    <w:p w14:paraId="2943DA02" w14:textId="77777777" w:rsidR="009C2B25" w:rsidRPr="009C2B25" w:rsidRDefault="009C2B25" w:rsidP="009C2B25">
      <w:pPr>
        <w:pStyle w:val="Bibliography"/>
        <w:rPr>
          <w:rFonts w:ascii="Calibri" w:hAnsi="Calibri" w:cs="Calibri"/>
          <w:lang w:val="en-US"/>
        </w:rPr>
      </w:pPr>
      <w:r w:rsidRPr="009C2B25">
        <w:rPr>
          <w:rFonts w:ascii="Calibri" w:hAnsi="Calibri" w:cs="Calibri"/>
          <w:lang w:val="en-US"/>
        </w:rPr>
        <w:t>[5]</w:t>
      </w:r>
      <w:r w:rsidRPr="009C2B25">
        <w:rPr>
          <w:rFonts w:ascii="Calibri" w:hAnsi="Calibri" w:cs="Calibri"/>
          <w:lang w:val="en-US"/>
        </w:rPr>
        <w:tab/>
        <w:t>I. C. H. Guideline, “ICH: Q10 Pharmaceutical quality system,” 2008. [Online]. Available: https://database.ich.org/</w:t>
      </w:r>
    </w:p>
    <w:p w14:paraId="2B0F563F" w14:textId="77777777" w:rsidR="009C2B25" w:rsidRPr="009C2B25" w:rsidRDefault="009C2B25" w:rsidP="009C2B25">
      <w:pPr>
        <w:pStyle w:val="Bibliography"/>
        <w:rPr>
          <w:rFonts w:ascii="Calibri" w:hAnsi="Calibri" w:cs="Calibri"/>
          <w:lang w:val="en-US"/>
        </w:rPr>
      </w:pPr>
      <w:r w:rsidRPr="009C2B25">
        <w:rPr>
          <w:rFonts w:ascii="Calibri" w:hAnsi="Calibri" w:cs="Calibri"/>
          <w:lang w:val="en-US"/>
        </w:rPr>
        <w:t>[6]</w:t>
      </w:r>
      <w:r w:rsidRPr="009C2B25">
        <w:rPr>
          <w:rFonts w:ascii="Calibri" w:hAnsi="Calibri" w:cs="Calibri"/>
          <w:lang w:val="en-US"/>
        </w:rPr>
        <w:tab/>
        <w:t xml:space="preserve">I. C. H. Guideline, “ICH: M4 Common technical document (CTD) for the registration of pharmaceuticals for human use - </w:t>
      </w:r>
      <w:proofErr w:type="spellStart"/>
      <w:r w:rsidRPr="009C2B25">
        <w:rPr>
          <w:rFonts w:ascii="Calibri" w:hAnsi="Calibri" w:cs="Calibri"/>
          <w:lang w:val="en-US"/>
        </w:rPr>
        <w:t>organisation</w:t>
      </w:r>
      <w:proofErr w:type="spellEnd"/>
      <w:r w:rsidRPr="009C2B25">
        <w:rPr>
          <w:rFonts w:ascii="Calibri" w:hAnsi="Calibri" w:cs="Calibri"/>
          <w:lang w:val="en-US"/>
        </w:rPr>
        <w:t xml:space="preserve"> of CTD (R4),” 2004. [Online]. Available: https://database.ich.org/</w:t>
      </w:r>
    </w:p>
    <w:p w14:paraId="066C685C" w14:textId="77777777" w:rsidR="009C2B25" w:rsidRPr="009C2B25" w:rsidRDefault="009C2B25" w:rsidP="009C2B25">
      <w:pPr>
        <w:pStyle w:val="Bibliography"/>
        <w:rPr>
          <w:rFonts w:ascii="Calibri" w:hAnsi="Calibri" w:cs="Calibri"/>
          <w:lang w:val="en-US"/>
        </w:rPr>
      </w:pPr>
      <w:r w:rsidRPr="009C2B25">
        <w:rPr>
          <w:rFonts w:ascii="Calibri" w:hAnsi="Calibri" w:cs="Calibri"/>
          <w:lang w:val="en-US"/>
        </w:rPr>
        <w:t>[7]</w:t>
      </w:r>
      <w:r w:rsidRPr="009C2B25">
        <w:rPr>
          <w:rFonts w:ascii="Calibri" w:hAnsi="Calibri" w:cs="Calibri"/>
          <w:lang w:val="en-US"/>
        </w:rPr>
        <w:tab/>
        <w:t>“EudraLex Volume 10 Clinical trials guidelines.” 2014. [Online]. Available: https://health.ec.europa.eu/medicinal-products/eudralex/eudralex-volume-10_en</w:t>
      </w:r>
    </w:p>
    <w:p w14:paraId="7F18B08E" w14:textId="09213FB0" w:rsidR="00BB3396" w:rsidRPr="00476E0E" w:rsidRDefault="00DD3EB6" w:rsidP="009C2B25">
      <w:pPr>
        <w:rPr>
          <w:rFonts w:ascii="Calibri" w:hAnsi="Calibri" w:cs="Calibri"/>
          <w:szCs w:val="20"/>
        </w:rPr>
      </w:pPr>
      <w:r w:rsidRPr="00476E0E">
        <w:rPr>
          <w:rFonts w:ascii="Calibri" w:hAnsi="Calibri" w:cs="Calibri"/>
          <w:szCs w:val="20"/>
        </w:rPr>
        <w:fldChar w:fldCharType="end"/>
      </w:r>
    </w:p>
    <w:sectPr w:rsidR="00BB3396" w:rsidRPr="00476E0E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0AB0C" w14:textId="77777777" w:rsidR="00C94870" w:rsidRDefault="00C94870" w:rsidP="001E456A">
      <w:r>
        <w:separator/>
      </w:r>
    </w:p>
  </w:endnote>
  <w:endnote w:type="continuationSeparator" w:id="0">
    <w:p w14:paraId="7925464F" w14:textId="77777777" w:rsidR="00C94870" w:rsidRDefault="00C94870" w:rsidP="001E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30873271"/>
      <w:docPartObj>
        <w:docPartGallery w:val="Page Numbers (Bottom of Page)"/>
        <w:docPartUnique/>
      </w:docPartObj>
    </w:sdtPr>
    <w:sdtContent>
      <w:p w14:paraId="5284B95B" w14:textId="315816D0" w:rsidR="00A706A6" w:rsidRDefault="00A706A6" w:rsidP="00DB5E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FB7358" w14:textId="77777777" w:rsidR="00A706A6" w:rsidRDefault="00A706A6" w:rsidP="001E45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40635415"/>
      <w:docPartObj>
        <w:docPartGallery w:val="Page Numbers (Bottom of Page)"/>
        <w:docPartUnique/>
      </w:docPartObj>
    </w:sdtPr>
    <w:sdtContent>
      <w:p w14:paraId="73887494" w14:textId="7F33DA5B" w:rsidR="00A706A6" w:rsidRDefault="00A706A6" w:rsidP="00DB5E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D4979" w14:textId="77777777" w:rsidR="00A706A6" w:rsidRDefault="00A706A6" w:rsidP="001E45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75F7C" w14:textId="77777777" w:rsidR="00C94870" w:rsidRDefault="00C94870" w:rsidP="001E456A">
      <w:r>
        <w:separator/>
      </w:r>
    </w:p>
  </w:footnote>
  <w:footnote w:type="continuationSeparator" w:id="0">
    <w:p w14:paraId="0B73D000" w14:textId="77777777" w:rsidR="00C94870" w:rsidRDefault="00C94870" w:rsidP="001E4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F826F" w14:textId="3AAFF825" w:rsidR="00A706A6" w:rsidRPr="00701EDC" w:rsidRDefault="00A706A6">
    <w:pPr>
      <w:pStyle w:val="Header"/>
      <w:rPr>
        <w:lang w:val="en-US"/>
      </w:rPr>
    </w:pPr>
    <w:proofErr w:type="spellStart"/>
    <w:r>
      <w:rPr>
        <w:lang w:val="en-US"/>
      </w:rPr>
      <w:t>VaudBiotech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4B72"/>
    <w:multiLevelType w:val="hybridMultilevel"/>
    <w:tmpl w:val="1CA43354"/>
    <w:lvl w:ilvl="0" w:tplc="9D924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067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8DD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960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F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E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0D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6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7438"/>
    <w:multiLevelType w:val="hybridMultilevel"/>
    <w:tmpl w:val="A64A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7F65"/>
    <w:multiLevelType w:val="hybridMultilevel"/>
    <w:tmpl w:val="536269D0"/>
    <w:lvl w:ilvl="0" w:tplc="AC4A38F4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252889"/>
    <w:multiLevelType w:val="hybridMultilevel"/>
    <w:tmpl w:val="E244024A"/>
    <w:lvl w:ilvl="0" w:tplc="7F8E09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D5319"/>
    <w:multiLevelType w:val="hybridMultilevel"/>
    <w:tmpl w:val="BA086F8A"/>
    <w:lvl w:ilvl="0" w:tplc="6BBA61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919C3"/>
    <w:multiLevelType w:val="hybridMultilevel"/>
    <w:tmpl w:val="17EC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3330F"/>
    <w:multiLevelType w:val="hybridMultilevel"/>
    <w:tmpl w:val="1CA43354"/>
    <w:lvl w:ilvl="0" w:tplc="9D924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067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8DD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960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F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E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0D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6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415A3"/>
    <w:multiLevelType w:val="hybridMultilevel"/>
    <w:tmpl w:val="9D8E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F6EDE"/>
    <w:multiLevelType w:val="hybridMultilevel"/>
    <w:tmpl w:val="1CA43354"/>
    <w:lvl w:ilvl="0" w:tplc="9D924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067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8DD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960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F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E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0D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6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A1DDD"/>
    <w:multiLevelType w:val="hybridMultilevel"/>
    <w:tmpl w:val="4E46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F4A"/>
    <w:multiLevelType w:val="hybridMultilevel"/>
    <w:tmpl w:val="691A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6AD4"/>
    <w:multiLevelType w:val="hybridMultilevel"/>
    <w:tmpl w:val="1C543F64"/>
    <w:lvl w:ilvl="0" w:tplc="2F4AAE3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8F0BD8"/>
    <w:multiLevelType w:val="hybridMultilevel"/>
    <w:tmpl w:val="175A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458C"/>
    <w:multiLevelType w:val="hybridMultilevel"/>
    <w:tmpl w:val="942C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596E"/>
    <w:multiLevelType w:val="multilevel"/>
    <w:tmpl w:val="2888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F5BEB"/>
    <w:multiLevelType w:val="hybridMultilevel"/>
    <w:tmpl w:val="1CA43354"/>
    <w:lvl w:ilvl="0" w:tplc="9D924F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067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8DD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960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F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20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CAE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0DF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6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E4292"/>
    <w:multiLevelType w:val="hybridMultilevel"/>
    <w:tmpl w:val="13B2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58567F"/>
    <w:multiLevelType w:val="hybridMultilevel"/>
    <w:tmpl w:val="2A78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07435"/>
    <w:multiLevelType w:val="hybridMultilevel"/>
    <w:tmpl w:val="F2F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90133"/>
    <w:multiLevelType w:val="multilevel"/>
    <w:tmpl w:val="51A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143AD"/>
    <w:multiLevelType w:val="hybridMultilevel"/>
    <w:tmpl w:val="6E0E9B56"/>
    <w:lvl w:ilvl="0" w:tplc="7C5E973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FBF09E8"/>
    <w:multiLevelType w:val="hybridMultilevel"/>
    <w:tmpl w:val="8A5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13"/>
  </w:num>
  <w:num w:numId="5">
    <w:abstractNumId w:val="7"/>
  </w:num>
  <w:num w:numId="6">
    <w:abstractNumId w:val="0"/>
  </w:num>
  <w:num w:numId="7">
    <w:abstractNumId w:val="4"/>
  </w:num>
  <w:num w:numId="8">
    <w:abstractNumId w:val="20"/>
  </w:num>
  <w:num w:numId="9">
    <w:abstractNumId w:val="2"/>
  </w:num>
  <w:num w:numId="10">
    <w:abstractNumId w:val="11"/>
  </w:num>
  <w:num w:numId="11">
    <w:abstractNumId w:val="15"/>
  </w:num>
  <w:num w:numId="12">
    <w:abstractNumId w:val="10"/>
  </w:num>
  <w:num w:numId="13">
    <w:abstractNumId w:val="18"/>
  </w:num>
  <w:num w:numId="14">
    <w:abstractNumId w:val="5"/>
  </w:num>
  <w:num w:numId="15">
    <w:abstractNumId w:val="6"/>
  </w:num>
  <w:num w:numId="16">
    <w:abstractNumId w:val="8"/>
  </w:num>
  <w:num w:numId="17">
    <w:abstractNumId w:val="16"/>
  </w:num>
  <w:num w:numId="18">
    <w:abstractNumId w:val="19"/>
  </w:num>
  <w:num w:numId="19">
    <w:abstractNumId w:val="17"/>
  </w:num>
  <w:num w:numId="20">
    <w:abstractNumId w:val="14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69"/>
    <w:rsid w:val="00001827"/>
    <w:rsid w:val="000020EF"/>
    <w:rsid w:val="00020DEF"/>
    <w:rsid w:val="0002672E"/>
    <w:rsid w:val="000430AA"/>
    <w:rsid w:val="00067801"/>
    <w:rsid w:val="0007227B"/>
    <w:rsid w:val="00073727"/>
    <w:rsid w:val="00073B4C"/>
    <w:rsid w:val="000841C6"/>
    <w:rsid w:val="00084BDD"/>
    <w:rsid w:val="00086B3B"/>
    <w:rsid w:val="000915F9"/>
    <w:rsid w:val="00095A8B"/>
    <w:rsid w:val="000A0367"/>
    <w:rsid w:val="000A7E06"/>
    <w:rsid w:val="000B5A95"/>
    <w:rsid w:val="000C2469"/>
    <w:rsid w:val="000C3424"/>
    <w:rsid w:val="000C7F82"/>
    <w:rsid w:val="000D2D86"/>
    <w:rsid w:val="000D7FD4"/>
    <w:rsid w:val="00105E07"/>
    <w:rsid w:val="001128FA"/>
    <w:rsid w:val="00113D05"/>
    <w:rsid w:val="001151DD"/>
    <w:rsid w:val="00115CEE"/>
    <w:rsid w:val="00124BAD"/>
    <w:rsid w:val="0014728F"/>
    <w:rsid w:val="00167908"/>
    <w:rsid w:val="00170E4A"/>
    <w:rsid w:val="001714AF"/>
    <w:rsid w:val="0017722C"/>
    <w:rsid w:val="00184C6B"/>
    <w:rsid w:val="00185A9A"/>
    <w:rsid w:val="00195117"/>
    <w:rsid w:val="001A1296"/>
    <w:rsid w:val="001B42EE"/>
    <w:rsid w:val="001C68E0"/>
    <w:rsid w:val="001C6BB3"/>
    <w:rsid w:val="001D1DB0"/>
    <w:rsid w:val="001D28D2"/>
    <w:rsid w:val="001D3DAF"/>
    <w:rsid w:val="001E456A"/>
    <w:rsid w:val="001F04BE"/>
    <w:rsid w:val="001F21BB"/>
    <w:rsid w:val="001F61AA"/>
    <w:rsid w:val="00214E83"/>
    <w:rsid w:val="00217252"/>
    <w:rsid w:val="002215A5"/>
    <w:rsid w:val="00223EDF"/>
    <w:rsid w:val="00231A35"/>
    <w:rsid w:val="0024086A"/>
    <w:rsid w:val="00241E41"/>
    <w:rsid w:val="00251853"/>
    <w:rsid w:val="002675EB"/>
    <w:rsid w:val="00272361"/>
    <w:rsid w:val="00272A6D"/>
    <w:rsid w:val="002A29DE"/>
    <w:rsid w:val="002A4682"/>
    <w:rsid w:val="002B0263"/>
    <w:rsid w:val="002B0AB2"/>
    <w:rsid w:val="002E43FF"/>
    <w:rsid w:val="002E5DFB"/>
    <w:rsid w:val="002E7546"/>
    <w:rsid w:val="002F1DD4"/>
    <w:rsid w:val="00307791"/>
    <w:rsid w:val="003228C4"/>
    <w:rsid w:val="00335DD7"/>
    <w:rsid w:val="00340E11"/>
    <w:rsid w:val="003547E1"/>
    <w:rsid w:val="00366DDE"/>
    <w:rsid w:val="00370A75"/>
    <w:rsid w:val="00391516"/>
    <w:rsid w:val="003A0507"/>
    <w:rsid w:val="003D2139"/>
    <w:rsid w:val="003F7605"/>
    <w:rsid w:val="00400F33"/>
    <w:rsid w:val="00402D63"/>
    <w:rsid w:val="00417D7B"/>
    <w:rsid w:val="0042421F"/>
    <w:rsid w:val="00431E63"/>
    <w:rsid w:val="0043692A"/>
    <w:rsid w:val="00455819"/>
    <w:rsid w:val="004569CF"/>
    <w:rsid w:val="00476E0E"/>
    <w:rsid w:val="004B0786"/>
    <w:rsid w:val="004C01C5"/>
    <w:rsid w:val="004C6FCE"/>
    <w:rsid w:val="004E78BC"/>
    <w:rsid w:val="004F5484"/>
    <w:rsid w:val="004F6057"/>
    <w:rsid w:val="004F6849"/>
    <w:rsid w:val="005304A7"/>
    <w:rsid w:val="00541FA1"/>
    <w:rsid w:val="0054464F"/>
    <w:rsid w:val="005836BF"/>
    <w:rsid w:val="00584166"/>
    <w:rsid w:val="00596C75"/>
    <w:rsid w:val="005A0CE8"/>
    <w:rsid w:val="005B2D24"/>
    <w:rsid w:val="005C1B7D"/>
    <w:rsid w:val="005C4674"/>
    <w:rsid w:val="005D6942"/>
    <w:rsid w:val="005E1229"/>
    <w:rsid w:val="005F3DAE"/>
    <w:rsid w:val="006436CC"/>
    <w:rsid w:val="00643C0D"/>
    <w:rsid w:val="00660E67"/>
    <w:rsid w:val="00663E17"/>
    <w:rsid w:val="00664655"/>
    <w:rsid w:val="0067720C"/>
    <w:rsid w:val="00697478"/>
    <w:rsid w:val="006A6DD3"/>
    <w:rsid w:val="006B204A"/>
    <w:rsid w:val="006C1C91"/>
    <w:rsid w:val="006D33A0"/>
    <w:rsid w:val="006D44D3"/>
    <w:rsid w:val="006E1AC5"/>
    <w:rsid w:val="006F25EA"/>
    <w:rsid w:val="00701EDC"/>
    <w:rsid w:val="00716E1F"/>
    <w:rsid w:val="00730273"/>
    <w:rsid w:val="00753574"/>
    <w:rsid w:val="00755E42"/>
    <w:rsid w:val="00761036"/>
    <w:rsid w:val="00772C76"/>
    <w:rsid w:val="0077492A"/>
    <w:rsid w:val="007759DE"/>
    <w:rsid w:val="00790A9A"/>
    <w:rsid w:val="007A10A6"/>
    <w:rsid w:val="007A7490"/>
    <w:rsid w:val="007B59B5"/>
    <w:rsid w:val="007B6BAF"/>
    <w:rsid w:val="007C117D"/>
    <w:rsid w:val="007E1686"/>
    <w:rsid w:val="00800048"/>
    <w:rsid w:val="00804124"/>
    <w:rsid w:val="008110E1"/>
    <w:rsid w:val="0081330B"/>
    <w:rsid w:val="0081738F"/>
    <w:rsid w:val="00820322"/>
    <w:rsid w:val="00822AF5"/>
    <w:rsid w:val="00826D97"/>
    <w:rsid w:val="00833CE8"/>
    <w:rsid w:val="008501DA"/>
    <w:rsid w:val="008544B8"/>
    <w:rsid w:val="008577E6"/>
    <w:rsid w:val="00865DD1"/>
    <w:rsid w:val="00872C28"/>
    <w:rsid w:val="008925E8"/>
    <w:rsid w:val="0089269D"/>
    <w:rsid w:val="008A039C"/>
    <w:rsid w:val="008A4AAD"/>
    <w:rsid w:val="008B3A1A"/>
    <w:rsid w:val="008B56FC"/>
    <w:rsid w:val="008C66FA"/>
    <w:rsid w:val="008D43E2"/>
    <w:rsid w:val="00910AC6"/>
    <w:rsid w:val="0091249F"/>
    <w:rsid w:val="0092366D"/>
    <w:rsid w:val="0094030F"/>
    <w:rsid w:val="00942519"/>
    <w:rsid w:val="00942ED4"/>
    <w:rsid w:val="00982CFD"/>
    <w:rsid w:val="009B237F"/>
    <w:rsid w:val="009B2E2A"/>
    <w:rsid w:val="009C2B25"/>
    <w:rsid w:val="009C7364"/>
    <w:rsid w:val="009C7702"/>
    <w:rsid w:val="009D69AE"/>
    <w:rsid w:val="00A13195"/>
    <w:rsid w:val="00A21738"/>
    <w:rsid w:val="00A24B17"/>
    <w:rsid w:val="00A315B4"/>
    <w:rsid w:val="00A34CCC"/>
    <w:rsid w:val="00A504E2"/>
    <w:rsid w:val="00A52954"/>
    <w:rsid w:val="00A55C51"/>
    <w:rsid w:val="00A5703D"/>
    <w:rsid w:val="00A60A7E"/>
    <w:rsid w:val="00A66551"/>
    <w:rsid w:val="00A706A6"/>
    <w:rsid w:val="00A74EAF"/>
    <w:rsid w:val="00A873D5"/>
    <w:rsid w:val="00AD3FD2"/>
    <w:rsid w:val="00AE1201"/>
    <w:rsid w:val="00AE588D"/>
    <w:rsid w:val="00B02C98"/>
    <w:rsid w:val="00B05D3D"/>
    <w:rsid w:val="00B27347"/>
    <w:rsid w:val="00B31AED"/>
    <w:rsid w:val="00B331A8"/>
    <w:rsid w:val="00B75DF3"/>
    <w:rsid w:val="00BA3009"/>
    <w:rsid w:val="00BB3396"/>
    <w:rsid w:val="00BB5EE7"/>
    <w:rsid w:val="00BB703B"/>
    <w:rsid w:val="00BC28B3"/>
    <w:rsid w:val="00BD0479"/>
    <w:rsid w:val="00BE4861"/>
    <w:rsid w:val="00BE7D4A"/>
    <w:rsid w:val="00BF7907"/>
    <w:rsid w:val="00C03A15"/>
    <w:rsid w:val="00C11F32"/>
    <w:rsid w:val="00C17E62"/>
    <w:rsid w:val="00C2048C"/>
    <w:rsid w:val="00C32691"/>
    <w:rsid w:val="00C37275"/>
    <w:rsid w:val="00C41E30"/>
    <w:rsid w:val="00C4514B"/>
    <w:rsid w:val="00C45A21"/>
    <w:rsid w:val="00C546EF"/>
    <w:rsid w:val="00C724F4"/>
    <w:rsid w:val="00C741A8"/>
    <w:rsid w:val="00C80EF7"/>
    <w:rsid w:val="00C84F85"/>
    <w:rsid w:val="00C85F31"/>
    <w:rsid w:val="00C9274D"/>
    <w:rsid w:val="00C936C1"/>
    <w:rsid w:val="00C94786"/>
    <w:rsid w:val="00C94870"/>
    <w:rsid w:val="00CA2B6A"/>
    <w:rsid w:val="00CB24B4"/>
    <w:rsid w:val="00CB538B"/>
    <w:rsid w:val="00CF568A"/>
    <w:rsid w:val="00D22F38"/>
    <w:rsid w:val="00D2642B"/>
    <w:rsid w:val="00D303D4"/>
    <w:rsid w:val="00D34B4A"/>
    <w:rsid w:val="00D51D74"/>
    <w:rsid w:val="00D537E4"/>
    <w:rsid w:val="00D5436E"/>
    <w:rsid w:val="00D60211"/>
    <w:rsid w:val="00D61C39"/>
    <w:rsid w:val="00D73BB6"/>
    <w:rsid w:val="00D80831"/>
    <w:rsid w:val="00D80D22"/>
    <w:rsid w:val="00D87F00"/>
    <w:rsid w:val="00D942A1"/>
    <w:rsid w:val="00D971F5"/>
    <w:rsid w:val="00DA0E81"/>
    <w:rsid w:val="00DB2961"/>
    <w:rsid w:val="00DB4DA1"/>
    <w:rsid w:val="00DB5ED3"/>
    <w:rsid w:val="00DC1E31"/>
    <w:rsid w:val="00DC26FE"/>
    <w:rsid w:val="00DD3EB6"/>
    <w:rsid w:val="00DF41F9"/>
    <w:rsid w:val="00DF55A9"/>
    <w:rsid w:val="00E04BA6"/>
    <w:rsid w:val="00E07652"/>
    <w:rsid w:val="00E248D9"/>
    <w:rsid w:val="00E40A94"/>
    <w:rsid w:val="00E51E7E"/>
    <w:rsid w:val="00E54648"/>
    <w:rsid w:val="00E72A1E"/>
    <w:rsid w:val="00E76848"/>
    <w:rsid w:val="00E864FA"/>
    <w:rsid w:val="00EB4938"/>
    <w:rsid w:val="00EC0C70"/>
    <w:rsid w:val="00EC3414"/>
    <w:rsid w:val="00EE09C0"/>
    <w:rsid w:val="00EF42DC"/>
    <w:rsid w:val="00F236A3"/>
    <w:rsid w:val="00F3727D"/>
    <w:rsid w:val="00F377CE"/>
    <w:rsid w:val="00F37AEF"/>
    <w:rsid w:val="00F43C36"/>
    <w:rsid w:val="00F46B4C"/>
    <w:rsid w:val="00F5582C"/>
    <w:rsid w:val="00F5714C"/>
    <w:rsid w:val="00F644FF"/>
    <w:rsid w:val="00F77FAF"/>
    <w:rsid w:val="00F854A6"/>
    <w:rsid w:val="00F92875"/>
    <w:rsid w:val="00FA172F"/>
    <w:rsid w:val="00FB3562"/>
    <w:rsid w:val="00FC2A28"/>
    <w:rsid w:val="00FF0F1D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3EE4"/>
  <w15:docId w15:val="{7D764636-9C81-6F40-BF6B-17D51D8F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AF"/>
    <w:pPr>
      <w:spacing w:after="0" w:line="240" w:lineRule="auto"/>
    </w:pPr>
    <w:rPr>
      <w:rFonts w:asciiTheme="minorHAnsi" w:eastAsia="Times New Roman" w:hAnsiTheme="minorHAnsi" w:cs="Times New Roman"/>
      <w:sz w:val="20"/>
      <w:lang w:val="en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76E0E"/>
    <w:pPr>
      <w:keepNext/>
      <w:keepLines/>
      <w:spacing w:before="360" w:after="80"/>
      <w:outlineLvl w:val="1"/>
    </w:pPr>
    <w:rPr>
      <w:rFonts w:asciiTheme="majorHAnsi" w:hAnsiTheme="majorHAnsi"/>
      <w:color w:val="2F5496" w:themeColor="accent1" w:themeShade="BF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166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627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D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6E0E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CH"/>
    </w:rPr>
  </w:style>
  <w:style w:type="character" w:customStyle="1" w:styleId="TitleChar">
    <w:name w:val="Title Char"/>
    <w:basedOn w:val="DefaultParagraphFont"/>
    <w:link w:val="Title"/>
    <w:uiPriority w:val="10"/>
    <w:rsid w:val="00584166"/>
    <w:rPr>
      <w:rFonts w:asciiTheme="majorHAnsi" w:eastAsiaTheme="majorEastAsia" w:hAnsiTheme="majorHAnsi" w:cstheme="majorBidi"/>
      <w:b/>
      <w:spacing w:val="-10"/>
      <w:kern w:val="28"/>
      <w:sz w:val="32"/>
      <w:szCs w:val="56"/>
      <w:lang w:val="en-CH"/>
    </w:rPr>
  </w:style>
  <w:style w:type="character" w:styleId="FollowedHyperlink">
    <w:name w:val="FollowedHyperlink"/>
    <w:basedOn w:val="DefaultParagraphFont"/>
    <w:uiPriority w:val="99"/>
    <w:semiHidden/>
    <w:unhideWhenUsed/>
    <w:rsid w:val="00977C4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36BF"/>
    <w:pPr>
      <w:spacing w:after="200"/>
      <w:ind w:left="720"/>
      <w:contextualSpacing/>
    </w:pPr>
    <w:rPr>
      <w:rFonts w:eastAsiaTheme="minorHAnsi" w:cstheme="minorBidi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D3EB6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unhideWhenUsed/>
    <w:rsid w:val="003A0507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F236A3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6A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236A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236A3"/>
    <w:pPr>
      <w:ind w:left="48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36A3"/>
    <w:pPr>
      <w:ind w:left="720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36A3"/>
    <w:pPr>
      <w:ind w:left="960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36A3"/>
    <w:pPr>
      <w:ind w:left="1200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36A3"/>
    <w:pPr>
      <w:ind w:left="1440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36A3"/>
    <w:pPr>
      <w:ind w:left="1680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36A3"/>
    <w:pPr>
      <w:ind w:left="1920"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1E45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6A"/>
    <w:rPr>
      <w:rFonts w:asciiTheme="minorHAnsi" w:eastAsia="Times New Roman" w:hAnsiTheme="minorHAnsi" w:cs="Times New Roman"/>
      <w:lang w:val="en-CH"/>
    </w:rPr>
  </w:style>
  <w:style w:type="character" w:styleId="PageNumber">
    <w:name w:val="page number"/>
    <w:basedOn w:val="DefaultParagraphFont"/>
    <w:uiPriority w:val="99"/>
    <w:semiHidden/>
    <w:unhideWhenUsed/>
    <w:rsid w:val="001E456A"/>
  </w:style>
  <w:style w:type="table" w:styleId="TableGrid">
    <w:name w:val="Table Grid"/>
    <w:basedOn w:val="TableNormal"/>
    <w:uiPriority w:val="39"/>
    <w:rsid w:val="00C9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42519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B2D24"/>
  </w:style>
  <w:style w:type="paragraph" w:styleId="Header">
    <w:name w:val="header"/>
    <w:basedOn w:val="Normal"/>
    <w:link w:val="HeaderChar"/>
    <w:uiPriority w:val="99"/>
    <w:unhideWhenUsed/>
    <w:rsid w:val="00701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EDC"/>
    <w:rPr>
      <w:rFonts w:ascii="Times New Roman" w:eastAsia="Times New Roman" w:hAnsi="Times New Roman" w:cs="Times New Roman"/>
      <w:lang w:val="en-CH"/>
    </w:rPr>
  </w:style>
  <w:style w:type="character" w:styleId="Emphasis">
    <w:name w:val="Emphasis"/>
    <w:basedOn w:val="DefaultParagraphFont"/>
    <w:uiPriority w:val="20"/>
    <w:qFormat/>
    <w:rsid w:val="0091249F"/>
    <w:rPr>
      <w:i/>
      <w:iCs/>
    </w:rPr>
  </w:style>
  <w:style w:type="character" w:customStyle="1" w:styleId="apple-converted-space">
    <w:name w:val="apple-converted-space"/>
    <w:basedOn w:val="DefaultParagraphFont"/>
    <w:rsid w:val="0091249F"/>
  </w:style>
  <w:style w:type="character" w:styleId="Strong">
    <w:name w:val="Strong"/>
    <w:basedOn w:val="DefaultParagraphFont"/>
    <w:uiPriority w:val="22"/>
    <w:qFormat/>
    <w:rsid w:val="00912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93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ema.europa.eu/en/ich-q6b-specifications-test-procedures-acceptance-criteria-biotechnologicalbiological-products" TargetMode="External"/><Relationship Id="rId18" Type="http://schemas.openxmlformats.org/officeDocument/2006/relationships/hyperlink" Target="https://www.ema.europa.eu/en/human-regulatory/research-development/compliance/good-clinical-practice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www.ema.europa.eu/en/ich-q9-quality-risk-management" TargetMode="External"/><Relationship Id="rId17" Type="http://schemas.openxmlformats.org/officeDocument/2006/relationships/hyperlink" Target="https://www.ema.europa.eu/en/human-regulatory/research-development/compliance/good-manufacturing-practic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health/documents/eudralex/vol-10_e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ma.europa.eu/en/ich-q8-r2-pharmaceutical-development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ema.europa.eu/en/ich-m4-common-technical-document-ctd-registration-pharmaceuticals-human-use-organisation-ctd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ema.europa.eu/en/ich-e6-r2-good-clinical-practice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ema.europa.eu/en/ich-m3-r2-non-clinical-safety-studies-conduct-human-clinical-trials-pharmaceuticals" TargetMode="External"/><Relationship Id="rId14" Type="http://schemas.openxmlformats.org/officeDocument/2006/relationships/hyperlink" Target="https://www.ema.europa.eu/en/ich-q10-pharmaceutical-quality-syste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PU6ZDFB00Jrn59BOrJti+pSpQ==">AMUW2mUz4NSiRvf1WxHOzH+Jl5LkwGP5pxvYm4hyaEKhwaeka1jV3piOIwafFOqh8FnbNVF9JJYxowMVsfFco48543KTHlCW0Pd6EN26W0iMAcUU+CAOmys=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FD8C4F-8C94-5640-93EE-1EA3313C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Lawless [RPG]</dc:creator>
  <cp:lastModifiedBy>Dylan Lawless</cp:lastModifiedBy>
  <cp:revision>186</cp:revision>
  <dcterms:created xsi:type="dcterms:W3CDTF">2022-08-25T11:28:00Z</dcterms:created>
  <dcterms:modified xsi:type="dcterms:W3CDTF">2022-10-17T11:30:00Z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id="aIINNIlV"/&gt;&lt;style id="http://www.zotero.org/styles/ieee" locale="en-US" hasBibliography="1" bibliographyStyleHasBeenSet="1"/&gt;&lt;prefs&gt;&lt;pref name="fieldType" value="Field"/&gt;&lt;/prefs&gt;&lt;/data&gt;</vt:lpwstr>
  </property>
</Properties>
</file>