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2469" w:rsidRDefault="00730273">
      <w:pPr>
        <w:pStyle w:val="Title"/>
      </w:pPr>
      <w:r>
        <w:t>Product description</w:t>
      </w:r>
    </w:p>
    <w:p w14:paraId="00000002" w14:textId="77777777" w:rsidR="000C2469" w:rsidRDefault="000C2469"/>
    <w:p w14:paraId="00000003" w14:textId="77777777" w:rsidR="000C2469" w:rsidRDefault="00730273">
      <w:pPr>
        <w:pStyle w:val="Heading1"/>
      </w:pPr>
      <w:r>
        <w:t xml:space="preserve">Aim </w:t>
      </w:r>
    </w:p>
    <w:p w14:paraId="00000004" w14:textId="77777777" w:rsidR="000C2469" w:rsidRDefault="00730273">
      <w:r>
        <w:t xml:space="preserve">1. Provide some existing examples as basis. </w:t>
      </w:r>
    </w:p>
    <w:p w14:paraId="00000005" w14:textId="77777777" w:rsidR="000C2469" w:rsidRDefault="00730273">
      <w:r>
        <w:t xml:space="preserve">2. Decide on the product name/mechanism this week. </w:t>
      </w:r>
    </w:p>
    <w:p w14:paraId="00000006" w14:textId="77777777" w:rsidR="000C2469" w:rsidRDefault="00730273">
      <w:r>
        <w:t>2. Reproduce the provided example - “Case Study Group C Drug Project Description.docx”.</w:t>
      </w:r>
    </w:p>
    <w:p w14:paraId="00000007" w14:textId="6626B9B7" w:rsidR="000C2469" w:rsidRDefault="00730273">
      <w:r>
        <w:t>3. To be uploaded to moodle by Thurs 1</w:t>
      </w:r>
      <w:r>
        <w:rPr>
          <w:vertAlign w:val="superscript"/>
        </w:rPr>
        <w:t>st</w:t>
      </w:r>
      <w:r>
        <w:t xml:space="preserve"> Sept (but sooner would be better).</w:t>
      </w:r>
    </w:p>
    <w:p w14:paraId="00000008" w14:textId="77777777" w:rsidR="000C2469" w:rsidRDefault="000C2469"/>
    <w:p w14:paraId="00000009" w14:textId="77777777" w:rsidR="000C2469" w:rsidRDefault="00730273">
      <w:pPr>
        <w:pStyle w:val="Heading1"/>
      </w:pPr>
      <w:r>
        <w:t>Our product</w:t>
      </w:r>
    </w:p>
    <w:p w14:paraId="0000000A" w14:textId="77777777" w:rsidR="000C2469" w:rsidRDefault="00730273">
      <w:r>
        <w:rPr>
          <w:b/>
        </w:rPr>
        <w:t>Product name</w:t>
      </w:r>
      <w:r>
        <w:t>:</w:t>
      </w:r>
    </w:p>
    <w:p w14:paraId="0000000B" w14:textId="77777777" w:rsidR="000C2469" w:rsidRDefault="00730273">
      <w:r>
        <w:rPr>
          <w:b/>
        </w:rPr>
        <w:t>Treatment</w:t>
      </w:r>
      <w:r>
        <w:t xml:space="preserve">: </w:t>
      </w:r>
    </w:p>
    <w:p w14:paraId="0000000C" w14:textId="77777777" w:rsidR="000C2469" w:rsidRDefault="00730273">
      <w:r>
        <w:rPr>
          <w:b/>
        </w:rPr>
        <w:t>Mechanism/target</w:t>
      </w:r>
      <w:r>
        <w:t xml:space="preserve">: </w:t>
      </w:r>
    </w:p>
    <w:p w14:paraId="0000000D" w14:textId="77777777" w:rsidR="000C2469" w:rsidRDefault="00730273">
      <w:r>
        <w:rPr>
          <w:b/>
        </w:rPr>
        <w:t>Discussion</w:t>
      </w:r>
      <w:r>
        <w:t xml:space="preserve">: </w:t>
      </w:r>
    </w:p>
    <w:p w14:paraId="0000000E" w14:textId="77777777" w:rsidR="000C2469" w:rsidRDefault="000C2469"/>
    <w:p w14:paraId="0000000F" w14:textId="77777777" w:rsidR="000C2469" w:rsidRDefault="00730273">
      <w:pPr>
        <w:pStyle w:val="Heading1"/>
      </w:pPr>
      <w:r>
        <w:t>Examples</w:t>
      </w:r>
    </w:p>
    <w:p w14:paraId="00000010" w14:textId="77777777" w:rsidR="000C2469" w:rsidRDefault="00730273">
      <w:r>
        <w:t xml:space="preserve">Examples of monoclonal antibodies (mAb) used for the treatment of tumor/cancer. I have no preference; the following are the first examples I have found. There is a </w:t>
      </w:r>
      <w:hyperlink r:id="rId5">
        <w:r>
          <w:rPr>
            <w:color w:val="0563C1"/>
            <w:u w:val="single"/>
          </w:rPr>
          <w:t>specific nomenclature</w:t>
        </w:r>
      </w:hyperlink>
      <w:r>
        <w:t xml:space="preserve"> for naming mAbs. Traditionally, unmodified antibody names end with “mab”. Naming nowadays is complex but anything ending with “mab” and approved/Phase III is likely to make a good example. </w:t>
      </w:r>
    </w:p>
    <w:p w14:paraId="00000011" w14:textId="77777777" w:rsidR="000C2469" w:rsidRDefault="000C2469"/>
    <w:p w14:paraId="00000012" w14:textId="471CE555" w:rsidR="000C2469" w:rsidRDefault="00730273">
      <w:r>
        <w:t xml:space="preserve">This table: </w:t>
      </w:r>
      <w:r>
        <w:rPr>
          <w:i/>
        </w:rPr>
        <w:t xml:space="preserve">literature_general </w:t>
      </w:r>
      <w:r w:rsidR="00C741A8">
        <w:rPr>
          <w:i/>
        </w:rPr>
        <w:t xml:space="preserve">&gt; </w:t>
      </w:r>
      <w:r w:rsidR="00C741A8" w:rsidRPr="00C741A8">
        <w:rPr>
          <w:i/>
        </w:rPr>
        <w:t>mAb_technology</w:t>
      </w:r>
      <w:r w:rsidR="00C741A8">
        <w:rPr>
          <w:i/>
        </w:rPr>
        <w:t xml:space="preserve"> </w:t>
      </w:r>
      <w:r>
        <w:rPr>
          <w:i/>
        </w:rPr>
        <w:t xml:space="preserve">&gt; </w:t>
      </w:r>
      <w:hyperlink r:id="rId6">
        <w:r>
          <w:rPr>
            <w:i/>
            <w:color w:val="0563C1"/>
            <w:u w:val="single"/>
          </w:rPr>
          <w:t>roche_approved_mAb_oncology_examples.csv</w:t>
        </w:r>
      </w:hyperlink>
    </w:p>
    <w:p w14:paraId="00000013" w14:textId="77777777" w:rsidR="000C2469" w:rsidRDefault="00730273">
      <w:r>
        <w:t xml:space="preserve">contains all approved mAb oncology treatments from Roche. Sourced from </w:t>
      </w:r>
      <w:hyperlink r:id="rId7" w:anchor="f24b5f67-0000-422b-b6a0-68b7d67a513d">
        <w:r>
          <w:rPr>
            <w:color w:val="0563C1"/>
            <w:u w:val="single"/>
          </w:rPr>
          <w:t>their pipeline page from Roche</w:t>
        </w:r>
      </w:hyperlink>
      <w:r>
        <w:t xml:space="preserve"> which has good examples.</w:t>
      </w:r>
    </w:p>
    <w:p w14:paraId="00000014" w14:textId="77777777" w:rsidR="000C2469" w:rsidRDefault="000C2469"/>
    <w:p w14:paraId="00000015" w14:textId="77777777" w:rsidR="000C2469" w:rsidRDefault="00730273">
      <w:r>
        <w:rPr>
          <w:b/>
        </w:rPr>
        <w:t>Producer</w:t>
      </w:r>
      <w:r>
        <w:t>: SOBI.</w:t>
      </w:r>
    </w:p>
    <w:p w14:paraId="00000016" w14:textId="77777777" w:rsidR="000C2469" w:rsidRDefault="00730273">
      <w:r>
        <w:rPr>
          <w:b/>
        </w:rPr>
        <w:t>Product name</w:t>
      </w:r>
      <w:r>
        <w:t>: loncastuximab (tesirine).</w:t>
      </w:r>
    </w:p>
    <w:p w14:paraId="00000017" w14:textId="77777777" w:rsidR="000C2469" w:rsidRDefault="00730273">
      <w:r>
        <w:rPr>
          <w:b/>
        </w:rPr>
        <w:t>Treatment</w:t>
      </w:r>
      <w:r>
        <w:t>: diffuse large B-cell lymphoma (DLBCL).</w:t>
      </w:r>
    </w:p>
    <w:p w14:paraId="00000018" w14:textId="77777777" w:rsidR="000C2469" w:rsidRDefault="00730273">
      <w:r>
        <w:rPr>
          <w:b/>
        </w:rPr>
        <w:t>Mechanism/target</w:t>
      </w:r>
      <w:r>
        <w:t>: An antibody-drug conjugate (ADC) composed of a humanized antibody targeting the protein CD19. Used for treatment.</w:t>
      </w:r>
    </w:p>
    <w:p w14:paraId="00000019" w14:textId="77777777" w:rsidR="000C2469" w:rsidRDefault="00730273">
      <w:r>
        <w:rPr>
          <w:b/>
        </w:rPr>
        <w:t>Discussion</w:t>
      </w:r>
      <w:r>
        <w:t>: Not a good example, this is too rare and the drug is too complex.</w:t>
      </w:r>
    </w:p>
    <w:p w14:paraId="0000001A" w14:textId="77777777" w:rsidR="000C2469" w:rsidRDefault="000C2469"/>
    <w:p w14:paraId="0000001B" w14:textId="77777777" w:rsidR="000C2469" w:rsidRDefault="00730273">
      <w:r>
        <w:rPr>
          <w:b/>
        </w:rPr>
        <w:t>Producer</w:t>
      </w:r>
      <w:r>
        <w:t>: Roche</w:t>
      </w:r>
    </w:p>
    <w:p w14:paraId="0000001C" w14:textId="77777777" w:rsidR="000C2469" w:rsidRDefault="00730273">
      <w:pPr>
        <w:ind w:left="720" w:hanging="720"/>
      </w:pPr>
      <w:r>
        <w:rPr>
          <w:b/>
        </w:rPr>
        <w:t>Product name</w:t>
      </w:r>
      <w:r>
        <w:t>: Atezolizumab, RG7446, Tecentriq</w:t>
      </w:r>
    </w:p>
    <w:p w14:paraId="0000001D" w14:textId="77777777" w:rsidR="000C2469" w:rsidRDefault="00730273">
      <w:r>
        <w:rPr>
          <w:b/>
        </w:rPr>
        <w:t>Treatment</w:t>
      </w:r>
      <w:r>
        <w:t xml:space="preserve">: adjuvant non-small cell lung cancer (NSCLC), and others. </w:t>
      </w:r>
    </w:p>
    <w:p w14:paraId="0000001E" w14:textId="77777777" w:rsidR="000C2469" w:rsidRDefault="00730273">
      <w:r>
        <w:rPr>
          <w:b/>
        </w:rPr>
        <w:t>Mechanism/target</w:t>
      </w:r>
      <w:r>
        <w:t>: It is a fully </w:t>
      </w:r>
      <w:hyperlink r:id="rId8">
        <w:r>
          <w:rPr>
            <w:color w:val="0563C1"/>
            <w:u w:val="single"/>
          </w:rPr>
          <w:t>humanized</w:t>
        </w:r>
      </w:hyperlink>
      <w:r>
        <w:t>, engineered </w:t>
      </w:r>
      <w:hyperlink r:id="rId9">
        <w:r>
          <w:rPr>
            <w:color w:val="0563C1"/>
            <w:u w:val="single"/>
          </w:rPr>
          <w:t>monoclonal antibody</w:t>
        </w:r>
      </w:hyperlink>
      <w:r>
        <w:t> of </w:t>
      </w:r>
      <w:hyperlink r:id="rId10">
        <w:r>
          <w:rPr>
            <w:color w:val="0563C1"/>
            <w:u w:val="single"/>
          </w:rPr>
          <w:t>IgG1</w:t>
        </w:r>
      </w:hyperlink>
      <w:r>
        <w:t> </w:t>
      </w:r>
      <w:hyperlink r:id="rId11">
        <w:r>
          <w:rPr>
            <w:color w:val="0563C1"/>
            <w:u w:val="single"/>
          </w:rPr>
          <w:t>isotype</w:t>
        </w:r>
      </w:hyperlink>
      <w:r>
        <w:t> against the protein </w:t>
      </w:r>
      <w:hyperlink r:id="rId12">
        <w:r>
          <w:rPr>
            <w:color w:val="0563C1"/>
            <w:u w:val="single"/>
          </w:rPr>
          <w:t>programmed cell death-ligand 1</w:t>
        </w:r>
      </w:hyperlink>
      <w:r>
        <w:t xml:space="preserve"> (PD-L1). Blocks (PD-1) and CD80 receptors (B7-1Rs). High expression of PD-1 on some tumors reduces the antitumour immune response.  </w:t>
      </w:r>
    </w:p>
    <w:p w14:paraId="0000001F" w14:textId="77777777" w:rsidR="000C2469" w:rsidRDefault="00730273">
      <w:r>
        <w:rPr>
          <w:b/>
        </w:rPr>
        <w:t>Discussion</w:t>
      </w:r>
      <w:r>
        <w:t xml:space="preserve">: In trials 2015, fast tracked, 2016, approved 2016, combined with bevacizumab as standard care 2018, etc. </w:t>
      </w:r>
    </w:p>
    <w:p w14:paraId="00000020" w14:textId="77777777" w:rsidR="000C2469" w:rsidRDefault="000C2469"/>
    <w:p w14:paraId="00000021" w14:textId="77777777" w:rsidR="000C2469" w:rsidRDefault="00730273">
      <w:r>
        <w:rPr>
          <w:b/>
        </w:rPr>
        <w:t>Producer</w:t>
      </w:r>
      <w:r>
        <w:t>: Roche</w:t>
      </w:r>
    </w:p>
    <w:p w14:paraId="00000022" w14:textId="77777777" w:rsidR="000C2469" w:rsidRDefault="00730273">
      <w:r>
        <w:rPr>
          <w:b/>
        </w:rPr>
        <w:t>Product name</w:t>
      </w:r>
      <w:r>
        <w:t>: Pertuzumab, RG6264, Perjeta.</w:t>
      </w:r>
    </w:p>
    <w:p w14:paraId="00000023" w14:textId="77777777" w:rsidR="000C2469" w:rsidRDefault="00730273">
      <w:r>
        <w:rPr>
          <w:b/>
        </w:rPr>
        <w:lastRenderedPageBreak/>
        <w:t>Treatment</w:t>
      </w:r>
      <w:r>
        <w:t>: used in combination with </w:t>
      </w:r>
      <w:hyperlink r:id="rId13">
        <w:r>
          <w:rPr>
            <w:color w:val="0563C1"/>
            <w:u w:val="single"/>
          </w:rPr>
          <w:t>trastuzumab</w:t>
        </w:r>
      </w:hyperlink>
      <w:r>
        <w:t> and </w:t>
      </w:r>
      <w:hyperlink r:id="rId14">
        <w:r>
          <w:rPr>
            <w:color w:val="0563C1"/>
            <w:u w:val="single"/>
          </w:rPr>
          <w:t>docetaxel</w:t>
        </w:r>
      </w:hyperlink>
      <w:r>
        <w:t> for the treatment of metastatic </w:t>
      </w:r>
      <w:hyperlink r:id="rId15">
        <w:r>
          <w:rPr>
            <w:color w:val="0563C1"/>
            <w:u w:val="single"/>
          </w:rPr>
          <w:t>HER2</w:t>
        </w:r>
      </w:hyperlink>
      <w:r>
        <w:t>-positive </w:t>
      </w:r>
      <w:hyperlink r:id="rId16">
        <w:r>
          <w:rPr>
            <w:color w:val="0563C1"/>
            <w:u w:val="single"/>
          </w:rPr>
          <w:t>breast cancer</w:t>
        </w:r>
      </w:hyperlink>
      <w:r>
        <w:t>; it also used in the same combination as a </w:t>
      </w:r>
      <w:hyperlink r:id="rId17">
        <w:r>
          <w:rPr>
            <w:color w:val="0563C1"/>
            <w:u w:val="single"/>
          </w:rPr>
          <w:t>neoadjuvant</w:t>
        </w:r>
      </w:hyperlink>
      <w:r>
        <w:t> in early HER2-positive breast cancer.</w:t>
      </w:r>
    </w:p>
    <w:p w14:paraId="00000024" w14:textId="77777777" w:rsidR="000C2469" w:rsidRDefault="00730273">
      <w:r>
        <w:rPr>
          <w:b/>
        </w:rPr>
        <w:t>Mechanism/target</w:t>
      </w:r>
      <w:r>
        <w:t>: It inhibits the </w:t>
      </w:r>
      <w:hyperlink r:id="rId18">
        <w:r>
          <w:rPr>
            <w:color w:val="0563C1"/>
            <w:u w:val="single"/>
          </w:rPr>
          <w:t>dimerization</w:t>
        </w:r>
      </w:hyperlink>
      <w:r>
        <w:t> of HER2 with other HER receptors, which prevents them from </w:t>
      </w:r>
      <w:hyperlink r:id="rId19" w:anchor="Signal_transduction">
        <w:r>
          <w:rPr>
            <w:color w:val="0563C1"/>
            <w:u w:val="single"/>
          </w:rPr>
          <w:t>signalling</w:t>
        </w:r>
      </w:hyperlink>
      <w:r>
        <w:t> in ways that promote cell growth and proliferation. HER2 positive breast cancer is caused by ERBB2 gene amplification that results in overexpression of HER2 in approximately 15-30% of breast cancer tumors. Stimulates cell proliferation and cell growth.</w:t>
      </w:r>
    </w:p>
    <w:p w14:paraId="00000025" w14:textId="77777777" w:rsidR="000C2469" w:rsidRDefault="00730273">
      <w:r>
        <w:rPr>
          <w:b/>
        </w:rPr>
        <w:t>Discussion</w:t>
      </w:r>
      <w:r>
        <w:t>:  </w:t>
      </w:r>
      <w:hyperlink r:id="rId20">
        <w:r>
          <w:rPr>
            <w:color w:val="0563C1"/>
            <w:u w:val="single"/>
          </w:rPr>
          <w:t>Genentech</w:t>
        </w:r>
      </w:hyperlink>
      <w:r>
        <w:t> and was first approved in 2012, Europe in 2013, etc.</w:t>
      </w:r>
    </w:p>
    <w:p w14:paraId="00000026" w14:textId="77777777" w:rsidR="000C2469" w:rsidRDefault="000C2469"/>
    <w:p w14:paraId="00000027" w14:textId="77777777" w:rsidR="000C2469" w:rsidRDefault="000C2469"/>
    <w:p w14:paraId="00000028" w14:textId="15646057" w:rsidR="000C2469" w:rsidRDefault="00730273">
      <w:r>
        <w:rPr>
          <w:b/>
        </w:rPr>
        <w:t>Producer</w:t>
      </w:r>
      <w:r>
        <w:t xml:space="preserve">: </w:t>
      </w:r>
      <w:r w:rsidRPr="00730273">
        <w:t>Genentech</w:t>
      </w:r>
    </w:p>
    <w:p w14:paraId="00000029" w14:textId="70C0EF3A" w:rsidR="000C2469" w:rsidRDefault="00730273">
      <w:r>
        <w:rPr>
          <w:b/>
        </w:rPr>
        <w:t>Product name</w:t>
      </w:r>
      <w:r>
        <w:t xml:space="preserve">: </w:t>
      </w:r>
      <w:r w:rsidRPr="00730273">
        <w:t>Trastuzumab</w:t>
      </w:r>
      <w:r>
        <w:t xml:space="preserve">, </w:t>
      </w:r>
      <w:r w:rsidRPr="00730273">
        <w:t>Herceptin</w:t>
      </w:r>
    </w:p>
    <w:p w14:paraId="2DE378AE" w14:textId="7D28BE25" w:rsidR="00730273" w:rsidRPr="00730273" w:rsidRDefault="00730273">
      <w:r>
        <w:rPr>
          <w:b/>
        </w:rPr>
        <w:t>Treatment</w:t>
      </w:r>
      <w:r>
        <w:t xml:space="preserve">: </w:t>
      </w:r>
      <w:r w:rsidRPr="00730273">
        <w:t> </w:t>
      </w:r>
      <w:hyperlink r:id="rId21" w:tooltip="HER2 receptor positive" w:history="1">
        <w:r w:rsidRPr="00730273">
          <w:rPr>
            <w:rStyle w:val="Hyperlink"/>
          </w:rPr>
          <w:t>HER2 receptor positive</w:t>
        </w:r>
      </w:hyperlink>
      <w:r>
        <w:t xml:space="preserve"> breast cancer and stomach cancer. Alone or paired with chemotherapy.</w:t>
      </w:r>
    </w:p>
    <w:p w14:paraId="0000002B" w14:textId="74D3D1E9" w:rsidR="000C2469" w:rsidRPr="00730273" w:rsidRDefault="00730273">
      <w:r>
        <w:rPr>
          <w:b/>
        </w:rPr>
        <w:t>Mechanism/target</w:t>
      </w:r>
      <w:r>
        <w:t xml:space="preserve">: </w:t>
      </w:r>
      <w:r w:rsidRPr="00730273">
        <w:t>Trastuzumab binds to domain IV of th</w:t>
      </w:r>
      <w:r>
        <w:t>e</w:t>
      </w:r>
      <w:r w:rsidRPr="00730273">
        <w:t> extracellular segment of the HER2/neu receptor. It inhibits the dimerization of HER2 with other HER receptors, which prevents them from signalling in ways that promote cell growth and proliferation. HER2 positive breast cancer is caused by ERBB2 gene amplification that results in overexpression of HER2 in approximately 15-30% of breast cancer tumors. Stimulates cell proliferation and cell growth.</w:t>
      </w:r>
    </w:p>
    <w:p w14:paraId="371AEE1F" w14:textId="419EB6BF" w:rsidR="00730273" w:rsidRDefault="00730273">
      <w:r>
        <w:rPr>
          <w:b/>
        </w:rPr>
        <w:t>Discussion</w:t>
      </w:r>
      <w:r>
        <w:t>: Classic example, very well known, approval US 1998, EU 2000, WHO essential medicine.</w:t>
      </w:r>
    </w:p>
    <w:p w14:paraId="3C138E27" w14:textId="77777777" w:rsidR="00730273" w:rsidRDefault="00730273"/>
    <w:p w14:paraId="0000002E" w14:textId="77777777" w:rsidR="000C2469" w:rsidRDefault="00730273">
      <w:r>
        <w:rPr>
          <w:b/>
        </w:rPr>
        <w:t>Producer</w:t>
      </w:r>
      <w:r>
        <w:t>:</w:t>
      </w:r>
    </w:p>
    <w:p w14:paraId="0000002F" w14:textId="77777777" w:rsidR="000C2469" w:rsidRDefault="00730273">
      <w:r>
        <w:rPr>
          <w:b/>
        </w:rPr>
        <w:t>Product name</w:t>
      </w:r>
      <w:r>
        <w:t>:</w:t>
      </w:r>
    </w:p>
    <w:p w14:paraId="00000030" w14:textId="77777777" w:rsidR="000C2469" w:rsidRDefault="00730273">
      <w:r>
        <w:rPr>
          <w:b/>
        </w:rPr>
        <w:t>Treatment</w:t>
      </w:r>
      <w:r>
        <w:t xml:space="preserve">: </w:t>
      </w:r>
    </w:p>
    <w:p w14:paraId="00000031" w14:textId="77777777" w:rsidR="000C2469" w:rsidRDefault="00730273">
      <w:r>
        <w:rPr>
          <w:b/>
        </w:rPr>
        <w:t>Mechanism/target</w:t>
      </w:r>
      <w:r>
        <w:t xml:space="preserve">: </w:t>
      </w:r>
    </w:p>
    <w:p w14:paraId="00000032" w14:textId="77777777" w:rsidR="000C2469" w:rsidRDefault="00730273">
      <w:r>
        <w:rPr>
          <w:b/>
        </w:rPr>
        <w:t>Discussion</w:t>
      </w:r>
      <w:r>
        <w:t xml:space="preserve">: </w:t>
      </w:r>
    </w:p>
    <w:p w14:paraId="00000033" w14:textId="21447BFD" w:rsidR="000C2469" w:rsidRDefault="000C2469"/>
    <w:p w14:paraId="73743738" w14:textId="77777777" w:rsidR="00730273" w:rsidRDefault="00730273" w:rsidP="00730273">
      <w:r>
        <w:rPr>
          <w:b/>
        </w:rPr>
        <w:t>Producer</w:t>
      </w:r>
      <w:r>
        <w:t>:</w:t>
      </w:r>
    </w:p>
    <w:p w14:paraId="4C77531C" w14:textId="77777777" w:rsidR="00730273" w:rsidRDefault="00730273" w:rsidP="00730273">
      <w:r>
        <w:rPr>
          <w:b/>
        </w:rPr>
        <w:t>Product name</w:t>
      </w:r>
      <w:r>
        <w:t>:</w:t>
      </w:r>
    </w:p>
    <w:p w14:paraId="18BC2514" w14:textId="77777777" w:rsidR="00730273" w:rsidRDefault="00730273" w:rsidP="00730273">
      <w:r>
        <w:rPr>
          <w:b/>
        </w:rPr>
        <w:t>Treatment</w:t>
      </w:r>
      <w:r>
        <w:t xml:space="preserve">: </w:t>
      </w:r>
    </w:p>
    <w:p w14:paraId="04E723D2" w14:textId="77777777" w:rsidR="00730273" w:rsidRDefault="00730273" w:rsidP="00730273">
      <w:r>
        <w:rPr>
          <w:b/>
        </w:rPr>
        <w:t>Mechanism/target</w:t>
      </w:r>
      <w:r>
        <w:t xml:space="preserve">: </w:t>
      </w:r>
    </w:p>
    <w:p w14:paraId="3255E191" w14:textId="77777777" w:rsidR="00730273" w:rsidRDefault="00730273" w:rsidP="00730273">
      <w:r>
        <w:rPr>
          <w:b/>
        </w:rPr>
        <w:t>Discussion</w:t>
      </w:r>
      <w:r>
        <w:t xml:space="preserve">: </w:t>
      </w:r>
    </w:p>
    <w:p w14:paraId="5B555394" w14:textId="77777777" w:rsidR="00730273" w:rsidRDefault="00730273"/>
    <w:p w14:paraId="00000034" w14:textId="276341B7" w:rsidR="000C2469" w:rsidRDefault="000C2469"/>
    <w:p w14:paraId="19044AEE" w14:textId="176C423F" w:rsidR="009C7364" w:rsidRDefault="009C7364" w:rsidP="009C7364">
      <w:r>
        <w:fldChar w:fldCharType="begin"/>
      </w:r>
      <w:r>
        <w:instrText xml:space="preserve"> INCLUDEPICTURE "/var/folders/q1/dqlsvrz16hv3v1pqyr_5xx700000gp/T/com.microsoft.Word/WebArchiveCopyPasteTempFiles/journal.pone.0216095.g003" \* MERGEFORMATINET </w:instrText>
      </w:r>
      <w:r>
        <w:fldChar w:fldCharType="separate"/>
      </w:r>
      <w:r>
        <w:rPr>
          <w:noProof/>
        </w:rPr>
        <w:drawing>
          <wp:inline distT="0" distB="0" distL="0" distR="0" wp14:anchorId="4E3D1966" wp14:editId="3C6637A0">
            <wp:extent cx="1627322" cy="1999627"/>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9360" cy="2014420"/>
                    </a:xfrm>
                    <a:prstGeom prst="rect">
                      <a:avLst/>
                    </a:prstGeom>
                    <a:noFill/>
                    <a:ln>
                      <a:noFill/>
                    </a:ln>
                  </pic:spPr>
                </pic:pic>
              </a:graphicData>
            </a:graphic>
          </wp:inline>
        </w:drawing>
      </w:r>
      <w:r>
        <w:fldChar w:fldCharType="end"/>
      </w:r>
    </w:p>
    <w:p w14:paraId="25DCDB9B" w14:textId="77777777" w:rsidR="009C7364" w:rsidRDefault="009C7364"/>
    <w:p w14:paraId="00000035" w14:textId="77777777" w:rsidR="000C2469" w:rsidRDefault="000C2469"/>
    <w:p w14:paraId="694CFF67" w14:textId="354D1EC0" w:rsidR="009C7364" w:rsidRDefault="009C7364" w:rsidP="009C7364">
      <w:pPr>
        <w:rPr>
          <w:rFonts w:ascii="Helvetica" w:hAnsi="Helvetica"/>
          <w:color w:val="202020"/>
          <w:sz w:val="20"/>
          <w:szCs w:val="20"/>
          <w:shd w:val="clear" w:color="auto" w:fill="FFFFFF"/>
        </w:rPr>
      </w:pPr>
      <w:r>
        <w:rPr>
          <w:lang w:val="en-US"/>
        </w:rPr>
        <w:lastRenderedPageBreak/>
        <w:t xml:space="preserve">Fig 1. </w:t>
      </w:r>
      <w:r w:rsidRPr="009C7364">
        <w:rPr>
          <w:lang w:val="en-US"/>
        </w:rPr>
        <w:t xml:space="preserve">Cryo-EM map of HER2-trastuzumab-pertuzumab. </w:t>
      </w:r>
      <w:r>
        <w:rPr>
          <w:rFonts w:ascii="Helvetica" w:hAnsi="Helvetica"/>
          <w:color w:val="202020"/>
          <w:sz w:val="20"/>
          <w:szCs w:val="20"/>
          <w:shd w:val="clear" w:color="auto" w:fill="FFFFFF"/>
        </w:rPr>
        <w:t xml:space="preserve">Hao Y, Yu X, Bai Y, McBride HJ, Huang X (2019) Cryo-EM Structure of HER2-trastuzumab-pertuzumab complex. PLoS ONE 14(5): e0216095. </w:t>
      </w:r>
      <w:hyperlink r:id="rId23" w:history="1">
        <w:r w:rsidRPr="00FB4B3C">
          <w:rPr>
            <w:rStyle w:val="Hyperlink"/>
            <w:rFonts w:ascii="Helvetica" w:hAnsi="Helvetica"/>
            <w:sz w:val="20"/>
            <w:szCs w:val="20"/>
            <w:shd w:val="clear" w:color="auto" w:fill="FFFFFF"/>
          </w:rPr>
          <w:t>https://doi.org/10.1371/journal.pone.0216095</w:t>
        </w:r>
      </w:hyperlink>
    </w:p>
    <w:p w14:paraId="6A4AF73C" w14:textId="77777777" w:rsidR="009C7364" w:rsidRDefault="009C7364" w:rsidP="009C7364"/>
    <w:p w14:paraId="00000036" w14:textId="49EF01D6" w:rsidR="000C2469" w:rsidRPr="009C7364" w:rsidRDefault="000C2469">
      <w:pPr>
        <w:rPr>
          <w:lang w:val="en-US"/>
        </w:rPr>
      </w:pPr>
    </w:p>
    <w:sectPr w:rsidR="000C2469" w:rsidRPr="009C736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C2469"/>
    <w:rsid w:val="00497215"/>
    <w:rsid w:val="005A3FD8"/>
    <w:rsid w:val="00730273"/>
    <w:rsid w:val="009C7364"/>
    <w:rsid w:val="00C741A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364"/>
    <w:rPr>
      <w:rFonts w:ascii="Times New Roman" w:eastAsia="Times New Roman" w:hAnsi="Times New Roman"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A87"/>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D1A8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ized_antibody" TargetMode="External"/><Relationship Id="rId13" Type="http://schemas.openxmlformats.org/officeDocument/2006/relationships/hyperlink" Target="https://en.wikipedia.org/wiki/Trastuzumab" TargetMode="External"/><Relationship Id="rId18" Type="http://schemas.openxmlformats.org/officeDocument/2006/relationships/hyperlink" Target="https://en.wikipedia.org/wiki/Protein_dimer" TargetMode="External"/><Relationship Id="rId3" Type="http://schemas.openxmlformats.org/officeDocument/2006/relationships/settings" Target="settings.xml"/><Relationship Id="rId21" Type="http://schemas.openxmlformats.org/officeDocument/2006/relationships/hyperlink" Target="https://en.wikipedia.org/wiki/HER2_receptor_positive" TargetMode="External"/><Relationship Id="rId7" Type="http://schemas.openxmlformats.org/officeDocument/2006/relationships/hyperlink" Target="https://www.roche.com/solutions/pipeline/" TargetMode="External"/><Relationship Id="rId12" Type="http://schemas.openxmlformats.org/officeDocument/2006/relationships/hyperlink" Target="https://en.wikipedia.org/wiki/Programmed_cell_death-ligand_1" TargetMode="External"/><Relationship Id="rId17" Type="http://schemas.openxmlformats.org/officeDocument/2006/relationships/hyperlink" Target="https://en.wikipedia.org/wiki/Neoadjuva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reast_cancer" TargetMode="External"/><Relationship Id="rId20" Type="http://schemas.openxmlformats.org/officeDocument/2006/relationships/hyperlink" Target="https://en.wikipedia.org/wiki/Genentech" TargetMode="External"/><Relationship Id="rId1" Type="http://schemas.openxmlformats.org/officeDocument/2006/relationships/customXml" Target="../customXml/item1.xml"/><Relationship Id="rId6" Type="http://schemas.openxmlformats.org/officeDocument/2006/relationships/hyperlink" Target="https://drive.google.com/file/d/1-LFi4d_1tIprTd6ONXPRi4W9hpQ7T0w3/view" TargetMode="External"/><Relationship Id="rId11" Type="http://schemas.openxmlformats.org/officeDocument/2006/relationships/hyperlink" Target="https://en.wikipedia.org/wiki/Isotype_(immunology)" TargetMode="External"/><Relationship Id="rId24" Type="http://schemas.openxmlformats.org/officeDocument/2006/relationships/fontTable" Target="fontTable.xml"/><Relationship Id="rId5" Type="http://schemas.openxmlformats.org/officeDocument/2006/relationships/hyperlink" Target="https://en.wikipedia.org/wiki/Nomenclature_of_monoclonal_antibodies" TargetMode="External"/><Relationship Id="rId15" Type="http://schemas.openxmlformats.org/officeDocument/2006/relationships/hyperlink" Target="https://en.wikipedia.org/wiki/HER2" TargetMode="External"/><Relationship Id="rId23" Type="http://schemas.openxmlformats.org/officeDocument/2006/relationships/hyperlink" Target="https://doi.org/10.1371/journal.pone.0216095" TargetMode="External"/><Relationship Id="rId10" Type="http://schemas.openxmlformats.org/officeDocument/2006/relationships/hyperlink" Target="https://en.wikipedia.org/wiki/Immunoglobulin_G" TargetMode="External"/><Relationship Id="rId19" Type="http://schemas.openxmlformats.org/officeDocument/2006/relationships/hyperlink" Target="https://en.wikipedia.org/wiki/HER2/neu" TargetMode="External"/><Relationship Id="rId4" Type="http://schemas.openxmlformats.org/officeDocument/2006/relationships/webSettings" Target="webSettings.xml"/><Relationship Id="rId9" Type="http://schemas.openxmlformats.org/officeDocument/2006/relationships/hyperlink" Target="https://en.wikipedia.org/wiki/Monoclonal_antibody" TargetMode="External"/><Relationship Id="rId14" Type="http://schemas.openxmlformats.org/officeDocument/2006/relationships/hyperlink" Target="https://en.wikipedia.org/wiki/Docetaxe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5</cp:revision>
  <dcterms:created xsi:type="dcterms:W3CDTF">2022-08-25T11:28:00Z</dcterms:created>
  <dcterms:modified xsi:type="dcterms:W3CDTF">2022-08-31T14:28:00Z</dcterms:modified>
</cp:coreProperties>
</file>