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Modern</w:t>
      </w:r>
      <w:r>
        <w:t xml:space="preserve"> </w:t>
      </w:r>
      <w:r>
        <w:t xml:space="preserve">Technology</w:t>
      </w:r>
    </w:p>
    <w:p>
      <w:pPr>
        <w:pStyle w:val="FirstParagraph"/>
      </w:pPr>
      <w:r>
        <w:t xml:space="preserve">At SwissPedHealth, we are at the forefront of integrating modern technology into our health care approach. Through the application of DNA analysis, proteomics, statistics, high-performance computing, and medical knowledge interpretation, we are revolutionizing the way we develop new medical systems and treatments.</w:t>
      </w:r>
    </w:p>
    <w:bookmarkStart w:id="20" w:name="dna-and-rna-analysis"/>
    <w:p>
      <w:pPr>
        <w:pStyle w:val="Heading2"/>
      </w:pPr>
      <w:r>
        <w:t xml:space="preserve">DNA and RNA Analysis</w:t>
      </w:r>
    </w:p>
    <w:p>
      <w:pPr>
        <w:pStyle w:val="FirstParagraph"/>
      </w:pPr>
      <w:r>
        <w:t xml:space="preserve">Our projects extensively use DNA sequence analysis to understand the genetic basis of diseases, particularly in pediatric patients with rare diseases. This powerful technology allows us to identify potential genetic mutations that may contribute to a disease’s onset or progression, enabling more personalized and effective treatment strategies. Paired with RNA sequence analysis our genomic investigation relies and accurate interpretation for diagnosis and discovery.</w:t>
      </w:r>
    </w:p>
    <w:bookmarkEnd w:id="20"/>
    <w:bookmarkStart w:id="21" w:name="proteomics-and-metabolomics"/>
    <w:p>
      <w:pPr>
        <w:pStyle w:val="Heading2"/>
      </w:pPr>
      <w:r>
        <w:t xml:space="preserve">Proteomics and metabolomics</w:t>
      </w:r>
    </w:p>
    <w:p>
      <w:pPr>
        <w:pStyle w:val="FirstParagraph"/>
      </w:pPr>
      <w:r>
        <w:t xml:space="preserve">Proteomics and metabolomics, the large-scale study of proteins metabolites, is another critical technology that we use. It enables us to examine the structure, function, and interactions of all proteins and metabolites for a patient, providing insights into the biological processes involved in disease development.</w:t>
      </w:r>
    </w:p>
    <w:bookmarkEnd w:id="21"/>
    <w:bookmarkStart w:id="22" w:name="statistics"/>
    <w:p>
      <w:pPr>
        <w:pStyle w:val="Heading2"/>
      </w:pPr>
      <w:r>
        <w:t xml:space="preserve">Statistics</w:t>
      </w:r>
    </w:p>
    <w:p>
      <w:pPr>
        <w:pStyle w:val="FirstParagraph"/>
      </w:pPr>
      <w:r>
        <w:t xml:space="preserve">The use of advanced statistical methods is vital in our research. By analyzing large datasets from our national data stream, we can identify patterns, correlations, and trends that can lead to new discoveries and advancements in pediatric health care.</w:t>
      </w:r>
    </w:p>
    <w:bookmarkEnd w:id="22"/>
    <w:bookmarkStart w:id="23" w:name="high-performance-computing"/>
    <w:p>
      <w:pPr>
        <w:pStyle w:val="Heading2"/>
      </w:pPr>
      <w:r>
        <w:t xml:space="preserve">High-Performance Computing</w:t>
      </w:r>
    </w:p>
    <w:p>
      <w:pPr>
        <w:pStyle w:val="FirstParagraph"/>
      </w:pPr>
      <w:r>
        <w:t xml:space="preserve">High-performance computing allows us to analyze vast amounts of data quickly and efficiently. This is crucial in multi-omic diagnosis, where vast datasets need to be processed and interpreted. By leveraging this technology, we can accelerate the pace of our research and bring treatments to patients more quickly. Our analysis is performed in secure computing environments for the protection of patient information.</w:t>
      </w:r>
    </w:p>
    <w:bookmarkEnd w:id="23"/>
    <w:bookmarkStart w:id="24" w:name="medical-knowledge-interpretation"/>
    <w:p>
      <w:pPr>
        <w:pStyle w:val="Heading2"/>
      </w:pPr>
      <w:r>
        <w:t xml:space="preserve">Medical Knowledge Interpretation</w:t>
      </w:r>
    </w:p>
    <w:p>
      <w:pPr>
        <w:pStyle w:val="FirstParagraph"/>
      </w:pPr>
      <w:r>
        <w:t xml:space="preserve">Interpreting medical knowledge involves transforming complex data into actionable insights that can inform treatment strategies. This requires a deep understanding of medicine and the ability to leverage technology to analyze and interpret complex datasets. At SwissPedHealth, we are building systems to facilitate this interpretation, making it easier for physicians to make informed decisions about patient care. We aim to provide transparency for professionals and patients alike.</w:t>
      </w:r>
    </w:p>
    <w:bookmarkEnd w:id="24"/>
    <w:bookmarkStart w:id="25" w:name="conclusion"/>
    <w:p>
      <w:pPr>
        <w:pStyle w:val="Heading2"/>
      </w:pPr>
      <w:r>
        <w:t xml:space="preserve">Conclusion</w:t>
      </w:r>
    </w:p>
    <w:p>
      <w:pPr>
        <w:pStyle w:val="FirstParagraph"/>
      </w:pPr>
      <w:r>
        <w:t xml:space="preserve">By harnessing modern technology, SwissPedHealth is transforming the field of pediatric health care. Our commitment to technological innovation allows us to better understand diseases, develop new treatments, and ultimately improve the lives of our patients.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Technology</dc:title>
  <dc:creator/>
  <cp:keywords/>
  <dcterms:created xsi:type="dcterms:W3CDTF">2023-11-14T15:14:24Z</dcterms:created>
  <dcterms:modified xsi:type="dcterms:W3CDTF">2023-11-14T15:14:24Z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