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Lighthouse</w:t>
      </w:r>
      <w:r>
        <w:t xml:space="preserve"> </w:t>
      </w:r>
      <w:r>
        <w:t xml:space="preserve">project</w:t>
      </w:r>
    </w:p>
    <w:bookmarkStart w:id="20" w:name="X43dd3304a592b33f639c409fb7afa2a24d82efc"/>
    <w:p>
      <w:pPr>
        <w:pStyle w:val="Heading2"/>
      </w:pPr>
      <w:r>
        <w:t xml:space="preserve">Development and validation of a multi-omics workflow to diagnose rare disease</w:t>
      </w:r>
    </w:p>
    <w:p>
      <w:pPr>
        <w:pStyle w:val="SourceCode"/>
      </w:pPr>
      <w:r>
        <w:rPr>
          <w:rStyle w:val="VerbatimChar"/>
        </w:rPr>
        <w:t xml:space="preserve">&lt;div class="6u 12u$(small)"&gt;</w:t>
      </w:r>
      <w:r>
        <w:br/>
      </w:r>
      <w:r>
        <w:rPr>
          <w:rStyle w:val="VerbatimChar"/>
        </w:rPr>
        <w:t xml:space="preserve">    &lt;h3&gt;Life-threatening Phenotypes&lt;/h3&gt;</w:t>
      </w:r>
    </w:p>
    <w:p>
      <w:pPr>
        <w:pStyle w:val="FirstParagraph"/>
      </w:pPr>
      <w:r>
        <w:t xml:space="preserve">Rare diseases are a group of over 7,000 disorders that have a strong impact on health and have major social and economic consequences.</w:t>
      </w:r>
      <w:r>
        <w:t xml:space="preserve"> </w:t>
      </w:r>
      <w:r>
        <w:t xml:space="preserve">They affect 400 million people worldwide, including about 500,000 in Switzerland.</w:t>
      </w:r>
      <w:r>
        <w:t xml:space="preserve"> </w:t>
      </w:r>
      <w:r>
        <w:t xml:space="preserve">Rare diseases often affect children, causing premature death or chronic disability.</w:t>
      </w:r>
      <w:r>
        <w:t xml:space="preserve"> </w:t>
      </w:r>
      <w:r>
        <w:t xml:space="preserve">They are found at increased rates in critically ill neonates or children admitted to ICUs.</w:t>
      </w:r>
      <w:r>
        <w:t xml:space="preserve"> </w:t>
      </w:r>
      <w:r>
        <w:t xml:space="preserve">Rare diseases can cause life-threatening conditions such as metabolic dysfunction, encephalopathy, severe infection, or cardiac failure.</w:t>
      </w:r>
      <w:r>
        <w:t xml:space="preserve"> </w:t>
      </w:r>
      <w:r>
        <w:t xml:space="preserve">Extreme phenotypes (severe forms of rare diseases) are interesting targets for finding rare, causal genetic and biochemical variants because patients are more likely to carry harmful low-frequency or de novo alleles.</w:t>
      </w:r>
      <w:r>
        <w:t xml:space="preserve"> </w:t>
      </w:r>
      <w:r>
        <w:t xml:space="preserve">The identification of causal genetic and biochemical variants in rare, severe diseases can be extremely valuable for patients, particularly children.</w:t>
      </w:r>
      <w:r>
        <w:t xml:space="preserve"> </w:t>
      </w:r>
      <w:r>
        <w:t xml:space="preserve">By gaining a better understanding of these diseases, healthcare professionals may be able to develop more effective treatments and provide better care for affected individuals.</w:t>
      </w:r>
    </w:p>
    <w:p>
      <w:pPr>
        <w:pStyle w:val="BodyText"/>
      </w:pPr>
      <w:r>
        <w:t xml:space="preserve">Promise of Multi-omics for Personalized Medicine</w:t>
      </w:r>
    </w:p>
    <w:p>
      <w:pPr>
        <w:pStyle w:val="BodyText"/>
      </w:pPr>
      <w:r>
        <w:t xml:space="preserve">In the past decade, the discovery rate of the causes of rare diseases has been increasing due to the ability to generate and analyze genomic data at reasonable cost.</w:t>
      </w:r>
      <w:r>
        <w:t xml:space="preserve"> </w:t>
      </w:r>
      <w:r>
        <w:t xml:space="preserve">A pioneering project in Australia used rapid DNA sequencing (WES) and resulted in a genetic diagnosis in 51% of children, leading to a change in management in 76% of patients.</w:t>
      </w:r>
      <w:r>
        <w:t xml:space="preserve"> </w:t>
      </w:r>
      <w:r>
        <w:t xml:space="preserve">Adding transcriptomic data (RNA-seq) increases the diagnostic yield of WES or WGS.</w:t>
      </w:r>
      <w:r>
        <w:t xml:space="preserve"> </w:t>
      </w:r>
      <w:r>
        <w:t xml:space="preserve">Multi-omics technologies simultaneously assess the genome, transcriptome, proteome, and metabolome, which provides a better understanding of genotype-phenotype relationships.</w:t>
      </w:r>
      <w:r>
        <w:t xml:space="preserve"> </w:t>
      </w:r>
      <w:r>
        <w:t xml:space="preserve">Integration of multi-omics data has the potential to identify rare genomic variants and their functional validation, leading to a higher diagnostic yield compared to WGS alone.</w:t>
      </w:r>
      <w:r>
        <w:t xml:space="preserve"> </w:t>
      </w:r>
      <w:r>
        <w:t xml:space="preserve">Multi-omics has the potential to be a breakthrough diagnostic approach in children with extreme phenotypes by enabling the prompt initiation of lifesaving treatments and/or a change in management.</w:t>
      </w:r>
    </w:p>
    <w:bookmarkEnd w:id="20"/>
    <w:bookmarkStart w:id="21" w:name="gaps-in-current-practice"/>
    <w:p>
      <w:pPr>
        <w:pStyle w:val="Heading2"/>
      </w:pPr>
      <w:r>
        <w:t xml:space="preserve">Gaps in current practice</w:t>
      </w:r>
    </w:p>
    <w:p>
      <w:pPr>
        <w:pStyle w:val="FirstParagraph"/>
      </w:pPr>
      <w:r>
        <w:t xml:space="preserve">WES and WGS are used in diagnostics, but patient selection is biased and there are still a high proportion of patients with undiagnosed diseases.</w:t>
      </w:r>
      <w:r>
        <w:t xml:space="preserve"> </w:t>
      </w:r>
      <w:r>
        <w:t xml:space="preserve">The identification of large numbers of Variants of Unknown Significance (VUS) in DNA sequencing datasets makes the picture more complicated.</w:t>
      </w:r>
      <w:r>
        <w:t xml:space="preserve"> </w:t>
      </w:r>
      <w:r>
        <w:t xml:space="preserve">There is a need for a multi-omics workflow to provide better diagnostic yield compared to WGS.</w:t>
      </w:r>
    </w:p>
    <w:p>
      <w:pPr>
        <w:pStyle w:val="BodyText"/>
      </w:pPr>
      <w:r>
        <w:t xml:space="preserve">Current gaps in knowledge and practice include:</w:t>
      </w:r>
    </w:p>
    <w:p>
      <w:pPr>
        <w:numPr>
          <w:ilvl w:val="0"/>
          <w:numId w:val="1001"/>
        </w:numPr>
        <w:pStyle w:val="Compact"/>
      </w:pPr>
      <w:r>
        <w:t xml:space="preserve">Delayed diagnosis of rare diseases.</w:t>
      </w:r>
      <w:r>
        <w:t xml:space="preserve"> </w:t>
      </w:r>
      <w:r>
        <w:t xml:space="preserve">There is often a delay in diagnosing rare diseases and inconsistencies in investigating and treating them.</w:t>
      </w:r>
    </w:p>
    <w:p>
      <w:pPr>
        <w:numPr>
          <w:ilvl w:val="0"/>
          <w:numId w:val="1001"/>
        </w:numPr>
        <w:pStyle w:val="Compact"/>
      </w:pPr>
      <w:r>
        <w:t xml:space="preserve">Lack of novel approaches to rare disease diagnosis.</w:t>
      </w:r>
      <w:r>
        <w:t xml:space="preserve"> </w:t>
      </w:r>
      <w:r>
        <w:t xml:space="preserve">Conventional methodologies (WES and biochemical testing) are used, but they can be time consuming and have low diagnostic yield.</w:t>
      </w:r>
    </w:p>
    <w:p>
      <w:pPr>
        <w:numPr>
          <w:ilvl w:val="0"/>
          <w:numId w:val="1001"/>
        </w:numPr>
        <w:pStyle w:val="Compact"/>
      </w:pPr>
      <w:r>
        <w:t xml:space="preserve">Unavailability of clinical multi-omics.</w:t>
      </w:r>
      <w:r>
        <w:t xml:space="preserve"> </w:t>
      </w:r>
      <w:r>
        <w:t xml:space="preserve">Multi-omics technologies are currently limited to research settings.</w:t>
      </w:r>
    </w:p>
    <w:p>
      <w:pPr>
        <w:numPr>
          <w:ilvl w:val="0"/>
          <w:numId w:val="1001"/>
        </w:numPr>
        <w:pStyle w:val="Compact"/>
      </w:pPr>
      <w:r>
        <w:t xml:space="preserve">Clinical diagnostic workflows not adapted for multi-omics.</w:t>
      </w:r>
      <w:r>
        <w:t xml:space="preserve"> </w:t>
      </w:r>
      <w:r>
        <w:t xml:space="preserve">Clinical diagnostic workflows are not designed for discovering novel diseases.</w:t>
      </w:r>
    </w:p>
    <w:p>
      <w:pPr>
        <w:numPr>
          <w:ilvl w:val="0"/>
          <w:numId w:val="1001"/>
        </w:numPr>
        <w:pStyle w:val="Compact"/>
      </w:pPr>
      <w:r>
        <w:t xml:space="preserve">Lack of information from end-users on multi-omics.</w:t>
      </w:r>
      <w:r>
        <w:t xml:space="preserve"> </w:t>
      </w:r>
      <w:r>
        <w:t xml:space="preserve">Information on how providers and families respond to multi-omics results is currently unknown.</w:t>
      </w:r>
    </w:p>
    <w:bookmarkEnd w:id="21"/>
    <w:bookmarkStart w:id="22" w:name="project-phases"/>
    <w:p>
      <w:pPr>
        <w:pStyle w:val="Heading2"/>
      </w:pPr>
      <w:r>
        <w:t xml:space="preserve">Project phases</w:t>
      </w:r>
    </w:p>
    <w:p>
      <w:pPr>
        <w:pStyle w:val="FirstParagraph"/>
      </w:pPr>
      <w:r>
        <w:t xml:space="preserve">☑</w:t>
      </w:r>
      <w:r>
        <w:t xml:space="preserve"> </w:t>
      </w:r>
      <w:r>
        <w:rPr>
          <w:bCs/>
          <w:b/>
        </w:rPr>
        <w:t xml:space="preserve">Phase 1 Complete:</w:t>
      </w:r>
      <w:r>
        <w:t xml:space="preserve"> </w:t>
      </w:r>
      <w:r>
        <w:t xml:space="preserve">Multi-omics approach was used to diagnose and characterize 210 individuals affected with the rare inborn error of metabolism methylmalonic aciduria.</w:t>
      </w:r>
      <w:r>
        <w:t xml:space="preserve"> </w:t>
      </w:r>
      <w:r>
        <w:t xml:space="preserve">The combination of genomic, transcriptomic, proteotyping, and metabolomic information with phenotypic dataset led to the identification of a molecular diagnosis for 84% of the patients.</w:t>
      </w:r>
      <w:r>
        <w:t xml:space="preserve"> </w:t>
      </w:r>
      <w:r>
        <w:t xml:space="preserve">The multi-omics technology was found to be powerful for diagnosis and discovery of pathomechanistic factors in rare diseases.</w:t>
      </w:r>
      <w:r>
        <w:t xml:space="preserve"> </w:t>
      </w:r>
      <w:r>
        <w:t xml:space="preserve">A workflow for data acquisition, transfer, storage, and analysis within the PHRT/SPHN infrastructure was established.</w:t>
      </w:r>
      <w:r>
        <w:t xml:space="preserve"> </w:t>
      </w:r>
      <w:r>
        <w:t xml:space="preserve">Another genomic and transcriptomic workflow was established to identify 2 novel diseases in 89 patients with extreme immunological phenotypes.</w:t>
      </w:r>
      <w:r>
        <w:t xml:space="preserve"> </w:t>
      </w:r>
      <w:r>
        <w:t xml:space="preserve">This resulted in identifying rare diseases in children with life-threatening extreme phenotypes through combining clinical evaluation and multi-omics exploration.</w:t>
      </w:r>
    </w:p>
    <w:p>
      <w:pPr>
        <w:pStyle w:val="BodyText"/>
      </w:pPr>
      <w:r>
        <w:t xml:space="preserve">☐</w:t>
      </w:r>
      <w:r>
        <w:t xml:space="preserve"> </w:t>
      </w:r>
      <w:r>
        <w:rPr>
          <w:bCs/>
          <w:b/>
        </w:rPr>
        <w:t xml:space="preserve">Phase 2 Ongoing:</w:t>
      </w:r>
      <w:r>
        <w:t xml:space="preserve"> </w:t>
      </w:r>
      <w:r>
        <w:t xml:space="preserve">The integrated approach of WGS, RNA-seq, proteotyping, and metabolomics will be applied to existing cohorts of extreme phenotypes to identify rare deleterious genetic variants.</w:t>
      </w:r>
      <w:r>
        <w:t xml:space="preserve"> </w:t>
      </w:r>
      <w:r>
        <w:t xml:space="preserve">Novel computational methods will be developed to integrate multi-omics data into a diagnostic workflow.</w:t>
      </w:r>
    </w:p>
    <w:p>
      <w:pPr>
        <w:pStyle w:val="BodyText"/>
      </w:pPr>
      <w:r>
        <w:t xml:space="preserve">☐</w:t>
      </w:r>
      <w:r>
        <w:t xml:space="preserve"> </w:t>
      </w:r>
      <w:r>
        <w:rPr>
          <w:bCs/>
          <w:b/>
        </w:rPr>
        <w:t xml:space="preserve">Phase 3 Ongoing:</w:t>
      </w:r>
      <w:r>
        <w:t xml:space="preserve"> </w:t>
      </w:r>
      <w:r>
        <w:t xml:space="preserve">The workflow developed in Phase 2 will be tested in a prospective cohort of 140 children with extreme phenotypes.</w:t>
      </w:r>
      <w:r>
        <w:t xml:space="preserve"> </w:t>
      </w:r>
      <w:r>
        <w:t xml:space="preserve">Provider and family uptake of multi-omics information will be examined.</w:t>
      </w:r>
      <w:r>
        <w:t xml:space="preserve"> </w:t>
      </w:r>
      <w:r>
        <w:t xml:space="preserve">The aim is to identify rare diseases causing extreme phenotypes even in single patients.</w:t>
      </w:r>
    </w:p>
    <w:bookmarkEnd w:id="22"/>
    <w:bookmarkStart w:id="30" w:name="research-design"/>
    <w:p>
      <w:pPr>
        <w:pStyle w:val="Heading2"/>
      </w:pPr>
      <w:r>
        <w:t xml:space="preserve">Research Design</w:t>
      </w:r>
    </w:p>
    <w:bookmarkStart w:id="23" w:name="Xfa31bc7051c56b7273a1a8ee90741218a0cf9d8"/>
    <w:p>
      <w:pPr>
        <w:pStyle w:val="Heading3"/>
      </w:pPr>
      <w:r>
        <w:t xml:space="preserve">Patient Recruitment and Phenotype Selection (Responsible: Group 1)</w:t>
      </w:r>
    </w:p>
    <w:p>
      <w:pPr>
        <w:pStyle w:val="FirstParagraph"/>
      </w:pPr>
      <w:r>
        <w:rPr>
          <w:bCs/>
          <w:b/>
        </w:rPr>
        <w:t xml:space="preserve">Phase 2:</w:t>
      </w:r>
      <w:r>
        <w:t xml:space="preserve"> </w:t>
      </w:r>
      <w:r>
        <w:t xml:space="preserve">Access existing cohorts of 250 children with extreme phenotypes where consent to use stored biospecimens is available.</w:t>
      </w:r>
      <w:r>
        <w:t xml:space="preserve"> </w:t>
      </w:r>
      <w:r>
        <w:t xml:space="preserve">Children with severe metabolic dysfunction (n=150):</w:t>
      </w:r>
      <w:r>
        <w:t xml:space="preserve"> </w:t>
      </w:r>
      <w:r>
        <w:t xml:space="preserve">(i) Biochemically diagnosed patients without molecular data</w:t>
      </w:r>
      <w:r>
        <w:t xml:space="preserve"> </w:t>
      </w:r>
      <w:r>
        <w:t xml:space="preserve">(ii) Patients with VUS (Variants of Uncertain Significance)</w:t>
      </w:r>
      <w:r>
        <w:t xml:space="preserve"> </w:t>
      </w:r>
      <w:r>
        <w:t xml:space="preserve">(iii) Undiagnosed patients.</w:t>
      </w:r>
      <w:r>
        <w:t xml:space="preserve"> </w:t>
      </w:r>
      <w:r>
        <w:t xml:space="preserve">Children suspected of primary immunodeficiency (n=100):</w:t>
      </w:r>
      <w:r>
        <w:t xml:space="preserve"> </w:t>
      </w:r>
      <w:r>
        <w:t xml:space="preserve">(i) Severe infection in the absence of clinical risk factors</w:t>
      </w:r>
      <w:r>
        <w:t xml:space="preserve"> </w:t>
      </w:r>
      <w:r>
        <w:t xml:space="preserve">(ii) Severe immune dysregulation (Pediatric Inflammatory Multisystem Syndrome associated with SARS-CoV-2).</w:t>
      </w:r>
    </w:p>
    <w:p>
      <w:pPr>
        <w:pStyle w:val="BodyText"/>
      </w:pPr>
      <w:r>
        <w:rPr>
          <w:bCs/>
          <w:b/>
        </w:rPr>
        <w:t xml:space="preserve">Phase 3:</w:t>
      </w:r>
      <w:r>
        <w:t xml:space="preserve"> </w:t>
      </w:r>
      <w:r>
        <w:t xml:space="preserve">Multi-site study in a prospective cohort of 140 patients admitted to or referred to intensive care.</w:t>
      </w:r>
      <w:r>
        <w:t xml:space="preserve"> </w:t>
      </w:r>
      <w:r>
        <w:t xml:space="preserve">Blood samples (PAXgene for RNA extraction, EDTA for DNA extraction, leukocytes/serum for proteome/metabolome assessment), skin biopsies, and mucosal swabs from family members will be obtained where feasible.</w:t>
      </w:r>
      <w:r>
        <w:t xml:space="preserve"> </w:t>
      </w:r>
      <w:r>
        <w:t xml:space="preserve">A panel of consortium members will review and prioritize cases.</w:t>
      </w:r>
      <w:r>
        <w:t xml:space="preserve"> </w:t>
      </w:r>
      <w:r>
        <w:t xml:space="preserve">Inclusion criteria:</w:t>
      </w:r>
      <w:r>
        <w:t xml:space="preserve"> </w:t>
      </w:r>
      <w:r>
        <w:t xml:space="preserve">(i) Acute encephalopathy (ruled out trauma, infection, intoxication, and asphyxia).</w:t>
      </w:r>
      <w:r>
        <w:t xml:space="preserve"> </w:t>
      </w:r>
      <w:r>
        <w:t xml:space="preserve">(ii) Life-threatening metabolic derangement.</w:t>
      </w:r>
      <w:r>
        <w:t xml:space="preserve"> </w:t>
      </w:r>
      <w:r>
        <w:t xml:space="preserve">(iii) Unusually severe infection.</w:t>
      </w:r>
      <w:r>
        <w:t xml:space="preserve"> </w:t>
      </w:r>
      <w:r>
        <w:t xml:space="preserve">(iv) Primary cardiac failure.</w:t>
      </w:r>
      <w:r>
        <w:t xml:space="preserve"> </w:t>
      </w:r>
      <w:r>
        <w:t xml:space="preserve">(v) Out-of-hospital sudden infant death or near-fatal event.</w:t>
      </w:r>
      <w:r>
        <w:t xml:space="preserve"> </w:t>
      </w:r>
      <w:r>
        <w:t xml:space="preserve">(vi) Unusually severe inflammation syndromes (cytokine storm syndrome, hemophagocytic lymphohistiocytosis, COVID-19-associated Pediatric Inflammatory Multisystem Syndrome).</w:t>
      </w:r>
      <w:r>
        <w:t xml:space="preserve"> </w:t>
      </w:r>
      <w:r>
        <w:t xml:space="preserve">(vii) Undiagnosed diseases (if not already included in Phase 2).</w:t>
      </w:r>
    </w:p>
    <w:bookmarkEnd w:id="23"/>
    <w:bookmarkStart w:id="24" w:name="X0dd695dbf0fae4dedd917753e84337df17dc9b9"/>
    <w:p>
      <w:pPr>
        <w:pStyle w:val="Heading3"/>
      </w:pPr>
      <w:r>
        <w:t xml:space="preserve">Clinical Data Processing (Responsible: Group 2)</w:t>
      </w:r>
    </w:p>
    <w:p>
      <w:pPr>
        <w:pStyle w:val="FirstParagraph"/>
      </w:pPr>
      <w:r>
        <w:t xml:space="preserve">Implement core SwissPedData set to capture clinical features and outcomes.</w:t>
      </w:r>
      <w:r>
        <w:t xml:space="preserve"> </w:t>
      </w:r>
      <w:r>
        <w:t xml:space="preserve">Test SwissPedData with EHR data, SRDR and MDSi to characterize phenomes.</w:t>
      </w:r>
      <w:r>
        <w:t xml:space="preserve"> </w:t>
      </w:r>
      <w:r>
        <w:t xml:space="preserve">Embed the lighthouse project within SwissPedHealth to:</w:t>
      </w:r>
      <w:r>
        <w:t xml:space="preserve"> </w:t>
      </w:r>
      <w:r>
        <w:t xml:space="preserve">(i) Gather essential clinical data of the included patients.</w:t>
      </w:r>
      <w:r>
        <w:t xml:space="preserve"> </w:t>
      </w:r>
      <w:r>
        <w:t xml:space="preserve">(ii) Enrich SwissPedData with MDSi and SRDS.</w:t>
      </w:r>
      <w:r>
        <w:t xml:space="preserve"> </w:t>
      </w:r>
      <w:r>
        <w:t xml:space="preserve">(iii) Demonstrate how NDS (National Data System) can be enhanced with high resolution omics data.</w:t>
      </w:r>
      <w:r>
        <w:t xml:space="preserve"> </w:t>
      </w:r>
      <w:r>
        <w:t xml:space="preserve">(iv) Establish a whole-of-life data stream to capture future outcomes.</w:t>
      </w:r>
      <w:r>
        <w:t xml:space="preserve"> </w:t>
      </w:r>
      <w:r>
        <w:t xml:space="preserve">(v) Ascertain the incidence of identified rare diseases.</w:t>
      </w:r>
    </w:p>
    <w:bookmarkEnd w:id="24"/>
    <w:bookmarkStart w:id="25" w:name="X6c8333fb496c911376725f6df33db86f253c037"/>
    <w:p>
      <w:pPr>
        <w:pStyle w:val="Heading3"/>
      </w:pPr>
      <w:r>
        <w:t xml:space="preserve">Multi-omics Data Generation (Responsible: Group 3)</w:t>
      </w:r>
    </w:p>
    <w:p>
      <w:pPr>
        <w:numPr>
          <w:ilvl w:val="0"/>
          <w:numId w:val="1002"/>
        </w:numPr>
      </w:pPr>
      <w:r>
        <w:t xml:space="preserve">Phase 2 and Phase 3: Patient-derived Biospecimens:</w:t>
      </w:r>
      <w:r>
        <w:t xml:space="preserve"> </w:t>
      </w:r>
      <w:r>
        <w:t xml:space="preserve">Patient-derived biospecimens from Phase 2 and Phase 3 will be sent to the Swiss Multi-Omics Center (SMOC).</w:t>
      </w:r>
    </w:p>
    <w:p>
      <w:pPr>
        <w:numPr>
          <w:ilvl w:val="0"/>
          <w:numId w:val="1002"/>
        </w:numPr>
      </w:pPr>
      <w:r>
        <w:t xml:space="preserve">Nucleic Acid-Based Analyses:</w:t>
      </w:r>
    </w:p>
    <w:p>
      <w:pPr>
        <w:numPr>
          <w:ilvl w:val="0"/>
          <w:numId w:val="1003"/>
        </w:numPr>
        <w:pStyle w:val="Compact"/>
      </w:pPr>
      <w:r>
        <w:t xml:space="preserve">WGS and RNA-seq data will be generated and analyzed by the Health 2030 Genome Center (GC).</w:t>
      </w:r>
    </w:p>
    <w:p>
      <w:pPr>
        <w:numPr>
          <w:ilvl w:val="0"/>
          <w:numId w:val="1003"/>
        </w:numPr>
        <w:pStyle w:val="Compact"/>
      </w:pPr>
      <w:r>
        <w:t xml:space="preserve">The unaligned DNA and RNA sequence data is clinical grade and can be used for clinical decision making.</w:t>
      </w:r>
    </w:p>
    <w:p>
      <w:pPr>
        <w:numPr>
          <w:ilvl w:val="0"/>
          <w:numId w:val="1004"/>
        </w:numPr>
        <w:pStyle w:val="Compact"/>
      </w:pPr>
      <w:r>
        <w:t xml:space="preserve">Proteomic Profiling:</w:t>
      </w:r>
    </w:p>
    <w:p>
      <w:pPr>
        <w:numPr>
          <w:ilvl w:val="0"/>
          <w:numId w:val="1005"/>
        </w:numPr>
        <w:pStyle w:val="Compact"/>
      </w:pPr>
      <w:r>
        <w:t xml:space="preserve">Performed by the Clinical Proteotype Analysis Center (CPAC).</w:t>
      </w:r>
    </w:p>
    <w:p>
      <w:pPr>
        <w:numPr>
          <w:ilvl w:val="0"/>
          <w:numId w:val="1005"/>
        </w:numPr>
        <w:pStyle w:val="Compact"/>
      </w:pPr>
      <w:r>
        <w:t xml:space="preserve">Uses next-generation proteomics technology (DIA-MS).</w:t>
      </w:r>
    </w:p>
    <w:p>
      <w:pPr>
        <w:numPr>
          <w:ilvl w:val="0"/>
          <w:numId w:val="1005"/>
        </w:numPr>
        <w:pStyle w:val="Compact"/>
      </w:pPr>
      <w:r>
        <w:t xml:space="preserve">Converts a clinical specimen into a digital proteotype map.</w:t>
      </w:r>
    </w:p>
    <w:p>
      <w:pPr>
        <w:numPr>
          <w:ilvl w:val="0"/>
          <w:numId w:val="1006"/>
        </w:numPr>
        <w:pStyle w:val="Compact"/>
      </w:pPr>
      <w:r>
        <w:t xml:space="preserve">High-Throughput Targeted/Untargeted Metabolomics and Lipidomics Analyses:</w:t>
      </w:r>
    </w:p>
    <w:p>
      <w:pPr>
        <w:numPr>
          <w:ilvl w:val="0"/>
          <w:numId w:val="1007"/>
        </w:numPr>
        <w:pStyle w:val="Compact"/>
      </w:pPr>
      <w:r>
        <w:t xml:space="preserve">Performed by the Clinical Metabolomics Analysis Center (CMAC).</w:t>
      </w:r>
    </w:p>
    <w:p>
      <w:pPr>
        <w:numPr>
          <w:ilvl w:val="0"/>
          <w:numId w:val="1007"/>
        </w:numPr>
        <w:pStyle w:val="Compact"/>
      </w:pPr>
      <w:r>
        <w:t xml:space="preserve">Analysis of primary metabolites and xenobiotics is done by high-throughput flow injection, time-of-flight mass spectrometry.</w:t>
      </w:r>
    </w:p>
    <w:p>
      <w:pPr>
        <w:numPr>
          <w:ilvl w:val="0"/>
          <w:numId w:val="1008"/>
        </w:numPr>
        <w:pStyle w:val="Compact"/>
      </w:pPr>
      <w:r>
        <w:t xml:space="preserve">Data Processing and Sharing:</w:t>
      </w:r>
    </w:p>
    <w:p>
      <w:pPr>
        <w:numPr>
          <w:ilvl w:val="0"/>
          <w:numId w:val="1009"/>
        </w:numPr>
        <w:pStyle w:val="Compact"/>
      </w:pPr>
      <w:r>
        <w:t xml:space="preserve">All centers are part of the Swiss Multi-Omics Center (SMOC).</w:t>
      </w:r>
    </w:p>
    <w:p>
      <w:pPr>
        <w:numPr>
          <w:ilvl w:val="0"/>
          <w:numId w:val="1009"/>
        </w:numPr>
        <w:pStyle w:val="Compact"/>
      </w:pPr>
      <w:r>
        <w:t xml:space="preserve">SMOC is integrated into the SPHN/BioMedIT secure computational infrastructure.</w:t>
      </w:r>
    </w:p>
    <w:p>
      <w:pPr>
        <w:numPr>
          <w:ilvl w:val="0"/>
          <w:numId w:val="1009"/>
        </w:numPr>
        <w:pStyle w:val="Compact"/>
      </w:pPr>
      <w:r>
        <w:t xml:space="preserve">Provides secure data processing and sharing.</w:t>
      </w:r>
    </w:p>
    <w:bookmarkEnd w:id="25"/>
    <w:bookmarkStart w:id="26" w:name="Xcda06e196fd888c0b57cddf3aa8606c93c4e7ff"/>
    <w:p>
      <w:pPr>
        <w:pStyle w:val="Heading3"/>
      </w:pPr>
      <w:r>
        <w:t xml:space="preserve">Primary Data Analyses (Responsible: Group 4)</w:t>
      </w:r>
    </w:p>
    <w:p>
      <w:pPr>
        <w:pStyle w:val="FirstParagraph"/>
      </w:pPr>
      <w:r>
        <w:t xml:space="preserve">Automated DNA variant calling and annotation to search for novel disease-causing variants.</w:t>
      </w:r>
      <w:r>
        <w:t xml:space="preserve"> </w:t>
      </w:r>
      <w:r>
        <w:t xml:space="preserve">Prioritization of rare variants based on:</w:t>
      </w:r>
      <w:r>
        <w:t xml:space="preserve"> </w:t>
      </w:r>
      <w:r>
        <w:t xml:space="preserve">(i) Potentially damaging effect.</w:t>
      </w:r>
      <w:r>
        <w:t xml:space="preserve"> </w:t>
      </w:r>
      <w:r>
        <w:t xml:space="preserve">(ii) Known function of the gene in the clinical presentation.</w:t>
      </w:r>
      <w:r>
        <w:t xml:space="preserve"> </w:t>
      </w:r>
      <w:r>
        <w:t xml:space="preserve">(iii) Degree of purifying selection.</w:t>
      </w:r>
      <w:r>
        <w:t xml:space="preserve"> </w:t>
      </w:r>
      <w:r>
        <w:t xml:space="preserve">RNA-seq data analysis for quantitative expression profiling and alternative splicing analysis.</w:t>
      </w:r>
      <w:r>
        <w:t xml:space="preserve"> </w:t>
      </w:r>
      <w:r>
        <w:t xml:space="preserve">Coordinated integration and visualization of DNA variants, RNA transcripts, proteoforms, and metabolites.</w:t>
      </w:r>
      <w:r>
        <w:t xml:space="preserve"> </w:t>
      </w:r>
      <w:r>
        <w:t xml:space="preserve">Mapping onto biological networks and pathways using tools developed by SMOC and the Fellay group at EPFL.</w:t>
      </w:r>
      <w:r>
        <w:t xml:space="preserve"> </w:t>
      </w:r>
      <w:r>
        <w:t xml:space="preserve">Data storage and analysis performed within SPHN BioMedIT infrastructure to ensure privacy, security, and adherence to FAIR principles.</w:t>
      </w:r>
      <w:r>
        <w:t xml:space="preserve"> </w:t>
      </w:r>
      <w:r>
        <w:t xml:space="preserve">Downstream analyses using multimodal machine learning to integrate multi-omics and clinical data.</w:t>
      </w:r>
    </w:p>
    <w:bookmarkEnd w:id="26"/>
    <w:bookmarkStart w:id="27" w:name="X9f3eb3e83720aa39417445c4505fe016204b2e4"/>
    <w:p>
      <w:pPr>
        <w:pStyle w:val="Heading3"/>
      </w:pPr>
      <w:r>
        <w:t xml:space="preserve">Multi-omics results using multimodal machine learning analysis (Responsible: Group 5)</w:t>
      </w:r>
    </w:p>
    <w:p>
      <w:pPr>
        <w:pStyle w:val="FirstParagraph"/>
      </w:pPr>
      <w:r>
        <w:rPr>
          <w:bCs/>
          <w:b/>
        </w:rPr>
        <w:t xml:space="preserve">Phase 2:</w:t>
      </w:r>
      <w:r>
        <w:t xml:space="preserve"> </w:t>
      </w:r>
      <w:r>
        <w:t xml:space="preserve">A machine learning approach will be used to analyze multi-omics data and clinical phenotype data.</w:t>
      </w:r>
      <w:r>
        <w:t xml:space="preserve"> </w:t>
      </w:r>
      <w:r>
        <w:t xml:space="preserve">A cohort of 250 children with extreme phenotypes and fully annotated multi-omics data will be used to train a multimodal model.</w:t>
      </w:r>
      <w:r>
        <w:t xml:space="preserve"> </w:t>
      </w:r>
      <w:r>
        <w:t xml:space="preserve">Multi-view clustering will be used to identify features that are most important for the prediction.</w:t>
      </w:r>
      <w:r>
        <w:t xml:space="preserve"> </w:t>
      </w:r>
      <w:r>
        <w:t xml:space="preserve">New methods suited for rare disease diagnostics will be developed for data with a low sample size but high dimensionality.</w:t>
      </w:r>
      <w:r>
        <w:t xml:space="preserve"> </w:t>
      </w:r>
      <w:r>
        <w:t xml:space="preserve">A novel probabilistic approach to multimodal constrained clustering will be derived to guide the algorithm towards a desirable configuration.</w:t>
      </w:r>
      <w:r>
        <w:t xml:space="preserve"> </w:t>
      </w:r>
      <w:r>
        <w:t xml:space="preserve">The validated machine learning workflow will be used to identify relevant features within a complex multi-omics dataset.</w:t>
      </w:r>
    </w:p>
    <w:p>
      <w:pPr>
        <w:pStyle w:val="BodyText"/>
      </w:pPr>
      <w:r>
        <w:rPr>
          <w:bCs/>
          <w:b/>
        </w:rPr>
        <w:t xml:space="preserve">Phase 3:</w:t>
      </w:r>
      <w:r>
        <w:t xml:space="preserve"> </w:t>
      </w:r>
      <w:r>
        <w:t xml:space="preserve">The validated machine learning workflow will be utilized in a prospective cohort.</w:t>
      </w:r>
      <w:r>
        <w:t xml:space="preserve"> </w:t>
      </w:r>
      <w:r>
        <w:t xml:space="preserve">The workflow will be optimized for singleton diagnosis using simultaneously obtained whole blood specimens.</w:t>
      </w:r>
      <w:r>
        <w:t xml:space="preserve"> </w:t>
      </w:r>
      <w:r>
        <w:t xml:space="preserve">The model output will provide a probability scale of multi-omics data explaining the observed extreme phenotype, aligned with ACMG recommendations.</w:t>
      </w:r>
      <w:r>
        <w:t xml:space="preserve"> </w:t>
      </w:r>
      <w:r>
        <w:t xml:space="preserve">Enrichment with trio or kindred WGS data, or cell-derived functional datasets will be possible.</w:t>
      </w:r>
    </w:p>
    <w:bookmarkEnd w:id="27"/>
    <w:bookmarkStart w:id="28" w:name="X5f4936f84ee3925dffdbcace262421181f1336a"/>
    <w:p>
      <w:pPr>
        <w:pStyle w:val="Heading3"/>
      </w:pPr>
      <w:r>
        <w:t xml:space="preserve">Implementation of findings (Responsible: Group 6)</w:t>
      </w:r>
    </w:p>
    <w:p>
      <w:pPr>
        <w:pStyle w:val="FirstParagraph"/>
      </w:pPr>
      <w:r>
        <w:t xml:space="preserve">Study information will be fed back from the research setting into clinics.</w:t>
      </w:r>
      <w:r>
        <w:t xml:space="preserve"> </w:t>
      </w:r>
      <w:r>
        <w:t xml:space="preserve">Diagnostic yield will be defined as the primary outcome.</w:t>
      </w:r>
      <w:r>
        <w:t xml:space="preserve"> </w:t>
      </w:r>
      <w:r>
        <w:t xml:space="preserve">The study results will be reviewed by an expert panel.</w:t>
      </w:r>
      <w:r>
        <w:t xml:space="preserve"> </w:t>
      </w:r>
      <w:r>
        <w:t xml:space="preserve">Information on potentially relevant genetic findings will not be released if not related to a rare disease causing the extreme phenotype.</w:t>
      </w:r>
      <w:r>
        <w:t xml:space="preserve"> </w:t>
      </w:r>
      <w:r>
        <w:t xml:space="preserve">Collaboration with the undiagnosed disease network and care4rare will occur where appropriate.</w:t>
      </w:r>
    </w:p>
    <w:bookmarkEnd w:id="28"/>
    <w:bookmarkStart w:id="29" w:name="X5d5ec43fa5499b099b392edff0ef7793c95d43b"/>
    <w:p>
      <w:pPr>
        <w:pStyle w:val="Heading3"/>
      </w:pPr>
      <w:r>
        <w:t xml:space="preserve">Bioethical acceptability and implementation from end-users (Responsible: Group 7)</w:t>
      </w:r>
    </w:p>
    <w:p>
      <w:pPr>
        <w:pStyle w:val="FirstParagraph"/>
      </w:pPr>
      <w:r>
        <w:rPr>
          <w:bCs/>
          <w:b/>
        </w:rPr>
        <w:t xml:space="preserve">Phase 1:</w:t>
      </w:r>
      <w:r>
        <w:t xml:space="preserve"> </w:t>
      </w:r>
      <w:r>
        <w:t xml:space="preserve">Literature Review and Clinical Experiences.</w:t>
      </w:r>
      <w:r>
        <w:t xml:space="preserve"> </w:t>
      </w:r>
      <w:r>
        <w:t xml:space="preserve">Review of the literature on attitudes towards the offer and return of results from WES or WGS in the rare disease setting in countries outside of Switzerland.</w:t>
      </w:r>
      <w:r>
        <w:t xml:space="preserve"> </w:t>
      </w:r>
      <w:r>
        <w:t xml:space="preserve">Clinical experiences of associated investigators Ormond and Rauch (medical geneticist University of Zurich) who have been providing predictive and diagnostic genetic testing results for decades.</w:t>
      </w:r>
      <w:r>
        <w:t xml:space="preserve"> </w:t>
      </w:r>
      <w:r>
        <w:t xml:space="preserve">PPI-focused discussions with patients and family members who have undergone previous clinical omics testing.</w:t>
      </w:r>
    </w:p>
    <w:p>
      <w:pPr>
        <w:pStyle w:val="BodyText"/>
      </w:pPr>
      <w:r>
        <w:rPr>
          <w:bCs/>
          <w:b/>
        </w:rPr>
        <w:t xml:space="preserve">Phase 2:</w:t>
      </w:r>
      <w:r>
        <w:t xml:space="preserve"> </w:t>
      </w:r>
      <w:r>
        <w:t xml:space="preserve">Exploratory Interviews.</w:t>
      </w:r>
      <w:r>
        <w:t xml:space="preserve"> </w:t>
      </w:r>
      <w:r>
        <w:t xml:space="preserve">Up to 25 medical providers and 25 parents will be interviewed in English, German or French to determine their attitudes towards a hypothetical offer and return of results.</w:t>
      </w:r>
      <w:r>
        <w:t xml:space="preserve"> </w:t>
      </w:r>
      <w:r>
        <w:t xml:space="preserve">The interview guide will be developed based on the findings from phase 1.</w:t>
      </w:r>
      <w:r>
        <w:t xml:space="preserve"> </w:t>
      </w:r>
      <w:r>
        <w:t xml:space="preserve">Interviews will be transcribed, coded, and analyzed.</w:t>
      </w:r>
    </w:p>
    <w:p>
      <w:pPr>
        <w:pStyle w:val="BodyText"/>
      </w:pPr>
      <w:r>
        <w:rPr>
          <w:bCs/>
          <w:b/>
        </w:rPr>
        <w:t xml:space="preserve">Phase 3:</w:t>
      </w:r>
      <w:r>
        <w:t xml:space="preserve"> </w:t>
      </w:r>
      <w:r>
        <w:t xml:space="preserve">Identification of Information Needs and Best Practices.</w:t>
      </w:r>
      <w:r>
        <w:t xml:space="preserve"> </w:t>
      </w:r>
      <w:r>
        <w:t xml:space="preserve">Identify the information families need to consider in order to make informed decisions about the returned results.</w:t>
      </w:r>
      <w:r>
        <w:t xml:space="preserve"> </w:t>
      </w:r>
      <w:r>
        <w:t xml:space="preserve">Determine how best to facilitate discussions with families and medical providers.</w:t>
      </w:r>
      <w:r>
        <w:t xml:space="preserve"> </w:t>
      </w:r>
      <w:r>
        <w:t xml:space="preserve">Identify a process to return results that maximizes descence and autonomy and minimizes risks of potential harm.</w:t>
      </w:r>
      <w:r>
        <w:t xml:space="preserve"> </w:t>
      </w:r>
      <w:r>
        <w:t xml:space="preserve">Nest this work with the PPI work done as part of SwissPedHealth WP 4102.</w:t>
      </w:r>
    </w:p>
    <w:bookmarkEnd w:id="29"/>
    <w:bookmarkEnd w:id="30"/>
    <w:bookmarkStart w:id="31" w:name="X328cee493d1e96010382a96eede7b55e150cc3c"/>
    <w:p>
      <w:pPr>
        <w:pStyle w:val="Heading2"/>
      </w:pPr>
      <w:r>
        <w:t xml:space="preserve">Scientific Output and Expected Contributions</w:t>
      </w:r>
    </w:p>
    <w:p>
      <w:pPr>
        <w:pStyle w:val="FirstParagraph"/>
      </w:pPr>
      <w:r>
        <w:t xml:space="preserve">Development of a Novel Multi-Omics Workflow</w:t>
      </w:r>
    </w:p>
    <w:p>
      <w:pPr>
        <w:pStyle w:val="BodyText"/>
      </w:pPr>
      <w:r>
        <w:t xml:space="preserve">The lighthouse project will deliver a multi-omics workflow optimized for rare disease diagnosis.</w:t>
      </w:r>
      <w:r>
        <w:t xml:space="preserve"> </w:t>
      </w:r>
      <w:r>
        <w:t xml:space="preserve">This workflow goes beyond the current state-of-the-art of WES/WGS and will deliver genetic, molecular, and functional information.</w:t>
      </w:r>
    </w:p>
    <w:p>
      <w:pPr>
        <w:pStyle w:val="BodyText"/>
      </w:pPr>
      <w:r>
        <w:t xml:space="preserve">Identification of Novel Diagnoses and Pathomechanisms</w:t>
      </w:r>
    </w:p>
    <w:p>
      <w:pPr>
        <w:pStyle w:val="BodyText"/>
      </w:pPr>
      <w:r>
        <w:t xml:space="preserve">Multi-omics analysis of existing and prospective cohorts will identify novel diagnoses and pathomechanisms for rare diseases.</w:t>
      </w:r>
      <w:r>
        <w:t xml:space="preserve"> </w:t>
      </w:r>
      <w:r>
        <w:t xml:space="preserve">Machine learning will be implemented to integrate the data and demonstrate its usefulness as a diagnostic tool.</w:t>
      </w:r>
    </w:p>
    <w:p>
      <w:pPr>
        <w:pStyle w:val="BodyText"/>
      </w:pPr>
      <w:r>
        <w:t xml:space="preserve">Standardized Framework for Rare Disease Diagnostics</w:t>
      </w:r>
    </w:p>
    <w:p>
      <w:pPr>
        <w:pStyle w:val="BodyText"/>
      </w:pPr>
      <w:r>
        <w:t xml:space="preserve">The provider and patient perspective will be included to provide a standardized framework for all pediatric Swiss research hubs.</w:t>
      </w:r>
      <w:r>
        <w:t xml:space="preserve"> </w:t>
      </w:r>
      <w:r>
        <w:t xml:space="preserve">The prospective cohort will focus on extreme phenotypes predominantly recruited in intensive care settings, but the approach is scalable to other conditions and settings.</w:t>
      </w:r>
      <w:r>
        <w:t xml:space="preserve"> </w:t>
      </w:r>
      <w:r>
        <w:t xml:space="preserve">The multi-omics workflow will be combined with the SwissPedHealth dataset to obtain information on incidence, clinical criteria, and outcomes.</w:t>
      </w:r>
      <w:r>
        <w:t xml:space="preserve"> </w:t>
      </w:r>
      <w:r>
        <w:t xml:space="preserve">The SwissPedHealth data stream will be used to test data-driven strategies to pre-select patients most likely to benefit from multi-omics.</w:t>
      </w:r>
      <w:r>
        <w:t xml:space="preserve"> </w:t>
      </w:r>
      <w:r>
        <w:t xml:space="preserve">The lighthouse project will demonstrate the capacity of the SwissPedHealth data stream to integrate research projects with high density omics data.</w:t>
      </w:r>
    </w:p>
    <w:p>
      <w:pPr>
        <w:pStyle w:val="BodyText"/>
      </w:pPr>
      <w:r>
        <w:t xml:space="preserve">Accelerate Discovery in Rare Disease Diagnostics and Therapeutics</w:t>
      </w:r>
    </w:p>
    <w:p>
      <w:pPr>
        <w:pStyle w:val="BodyText"/>
      </w:pPr>
      <w:r>
        <w:t xml:space="preserve">The goal of the lighthouse project is to set a sustainable framework for translational studies on children with the aim to accelerate discovery in rare disease diagnostics and therapeutics.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Lighthouse project</dc:title>
  <dc:creator/>
  <cp:keywords/>
  <dcterms:created xsi:type="dcterms:W3CDTF">2023-11-14T15:14:25Z</dcterms:created>
  <dcterms:modified xsi:type="dcterms:W3CDTF">2023-11-14T15:14:25Z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</Properties>
</file>