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自然语言驱动的自动化测试 AI 转换架构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架构总览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本架构实现「自然语言需求 → 标准 Gherkin → 自定义 JSON DSL → Playwright 自动化执行」的完整转换链路，采用</w:t>
      </w:r>
      <w:r>
        <w:rPr>
          <w:rFonts w:eastAsia="等线" w:ascii="Arial" w:cs="Arial" w:hAnsi="Arial"/>
          <w:b w:val="true"/>
          <w:sz w:val="22"/>
        </w:rPr>
        <w:t>分层解耦、流水线式处理</w:t>
      </w:r>
      <w:r>
        <w:rPr>
          <w:rFonts w:eastAsia="等线" w:ascii="Arial" w:cs="Arial" w:hAnsi="Arial"/>
          <w:sz w:val="22"/>
        </w:rPr>
        <w:t>的设计，贯穿需求分析、用例生成、结构解析、格式转换、自动执行五大环节。整体遵循 Python 技术栈与 AWS Bedrock 技术体系，并配备元素知识库、多层校验、闭环优化等生产级能力。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81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整体设计思路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架构的核心原则是</w:t>
      </w:r>
      <w:r>
        <w:rPr>
          <w:rFonts w:eastAsia="等线" w:ascii="Arial" w:cs="Arial" w:hAnsi="Arial"/>
          <w:b w:val="true"/>
          <w:sz w:val="22"/>
        </w:rPr>
        <w:t>最大程度复用成熟开源组件，仅在业务定制层做少量开发</w:t>
      </w:r>
      <w:r>
        <w:rPr>
          <w:rFonts w:eastAsia="等线" w:ascii="Arial" w:cs="Arial" w:hAnsi="Arial"/>
          <w:sz w:val="22"/>
        </w:rPr>
        <w:t>，避免从零搭建解析器、AI 框架、执行引擎等基础能力。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分层解耦</w:t>
      </w:r>
      <w:r>
        <w:rPr>
          <w:rFonts w:eastAsia="等线" w:ascii="Arial" w:cs="Arial" w:hAnsi="Arial"/>
          <w:sz w:val="22"/>
        </w:rPr>
        <w:t>：每一层只负责一个职责，层与层之间通过标准格式（Gherkin 文本、AST、JSON DSL）衔接，任意一层可独立替换升级。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开源优先</w:t>
      </w:r>
      <w:r>
        <w:rPr>
          <w:rFonts w:eastAsia="等线" w:ascii="Arial" w:cs="Arial" w:hAnsi="Arial"/>
          <w:sz w:val="22"/>
        </w:rPr>
        <w:t>：Gherkin 解析复用 Cucumber 官方 gherkin-official，AI 编排复用 LangChain，执行复用 Playwright，自研代码占比不到 30%。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元素与 DSL 分离</w:t>
      </w:r>
      <w:r>
        <w:rPr>
          <w:rFonts w:eastAsia="等线" w:ascii="Arial" w:cs="Arial" w:hAnsi="Arial"/>
          <w:sz w:val="22"/>
        </w:rPr>
        <w:t>：元素定位信息全部来自元素知识库，AI 与转换逻辑均不直接生成定位器，从根源避免编造问题。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生产级闭环</w:t>
      </w:r>
      <w:r>
        <w:rPr>
          <w:rFonts w:eastAsia="等线" w:ascii="Arial" w:cs="Arial" w:hAnsi="Arial"/>
          <w:sz w:val="22"/>
        </w:rPr>
        <w:t>：通过多层校验保证转换质量，通过结果回流形成持续优化的自学习闭环。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各层级详细说明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输入层：自然语言需求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：整条链路的业务入口，对接需求来源。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：Jira User Story、验收标准、PRD 片段、人工编写的自然语言测试描述。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：结构化预处理后的纯文本需求。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核心职责</w:t>
      </w:r>
      <w:r>
        <w:rPr>
          <w:rFonts w:eastAsia="等线" w:ascii="Arial" w:cs="Arial" w:hAnsi="Arial"/>
          <w:sz w:val="22"/>
        </w:rPr>
        <w:t>：对接 Jira 等需求系统按条件拉取用户故事与验收标准；清洗富文本格式、冗余标记与无效信息，提取核心测试要素；统一输入格式，为 AI 生成层提供标准化文本。实现方式为轻量定制开发，可基于 Jira Python SDK 快速实现数据拉取与清洗。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AI 生成层：LangChain + AWS Bedrock</w:t>
      </w:r>
      <w:bookmarkEnd w:id="4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：整条链路的智能核心，负责自然语言到标准 Gherkin 的语义转换。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核心组件</w:t>
      </w:r>
      <w:r>
        <w:rPr>
          <w:rFonts w:eastAsia="等线" w:ascii="Arial" w:cs="Arial" w:hAnsi="Arial"/>
          <w:sz w:val="22"/>
        </w:rPr>
        <w:t>：编排框架 LangChain（模型调用、工具编排、多轮对话管理、重试机制）；大模型 AWS Bedrock Claude 3.5 Sonnet（语义理解、场景拆解、Gherkin 生成）；扩展工具为元素查询工具（对接元素知识库，强制 AI 通过工具获取元素信息）。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：标准化自然语言需求 + 元素知识库上下文 + DSL 规范约束。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：符合 Cucumber 官方语法的标准 Gherkin 文本。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核心职责</w:t>
      </w:r>
      <w:r>
        <w:rPr>
          <w:rFonts w:eastAsia="等线" w:ascii="Arial" w:cs="Arial" w:hAnsi="Arial"/>
          <w:sz w:val="22"/>
        </w:rPr>
        <w:t>：拆解需求并自动规划正常流、异常流、边界值场景；调用元素查询工具获取页面元素信息，确保业务描述可落地；严格遵循 Gherkin 语法规范与团队术语生成用例。关键复用价值：无需自研 Bedrock API 封装、工具调用调度与重试逻辑，直接复用 LangChain 成熟能力；复用业界成熟的 BDD 生成 Prompt 范式，仅做业务术语与规则替换；开发量仅为纯自研方案的 20% 左右。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标准中间层：标准 Gherkin 文本</w:t>
      </w:r>
      <w:bookmarkEnd w:id="5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：AI 生成层与解析层之间的标准中间格式，是业务与技术的分界线。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格式</w:t>
      </w:r>
      <w:r>
        <w:rPr>
          <w:rFonts w:eastAsia="等线" w:ascii="Arial" w:cs="Arial" w:hAnsi="Arial"/>
          <w:sz w:val="22"/>
        </w:rPr>
        <w:t>：严格遵循 Cucumber 官方 Gherkin 语法规范。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</w:t>
      </w:r>
      <w:r>
        <w:rPr>
          <w:rFonts w:eastAsia="等线" w:ascii="Arial" w:cs="Arial" w:hAnsi="Arial"/>
          <w:sz w:val="22"/>
        </w:rPr>
        <w:t>：一是</w:t>
      </w:r>
      <w:r>
        <w:rPr>
          <w:rFonts w:eastAsia="等线" w:ascii="Arial" w:cs="Arial" w:hAnsi="Arial"/>
          <w:b w:val="true"/>
          <w:sz w:val="22"/>
        </w:rPr>
        <w:t>业务技术解耦</w:t>
      </w:r>
      <w:r>
        <w:rPr>
          <w:rFonts w:eastAsia="等线" w:ascii="Arial" w:cs="Arial" w:hAnsi="Arial"/>
          <w:sz w:val="22"/>
        </w:rPr>
        <w:t>，产品、测试、开发三方均可直接评审 Gherkin 用例，无需关注底层实现；二是</w:t>
      </w:r>
      <w:r>
        <w:rPr>
          <w:rFonts w:eastAsia="等线" w:ascii="Arial" w:cs="Arial" w:hAnsi="Arial"/>
          <w:b w:val="true"/>
          <w:sz w:val="22"/>
        </w:rPr>
        <w:t>引擎无关性</w:t>
      </w:r>
      <w:r>
        <w:rPr>
          <w:rFonts w:eastAsia="等线" w:ascii="Arial" w:cs="Arial" w:hAnsi="Arial"/>
          <w:sz w:val="22"/>
        </w:rPr>
        <w:t>，上层用例不绑定任何执行框架，未来可无缝切换任意 BDD 执行引擎；三是</w:t>
      </w:r>
      <w:r>
        <w:rPr>
          <w:rFonts w:eastAsia="等线" w:ascii="Arial" w:cs="Arial" w:hAnsi="Arial"/>
          <w:b w:val="true"/>
          <w:sz w:val="22"/>
        </w:rPr>
        <w:t>标准化</w:t>
      </w:r>
      <w:r>
        <w:rPr>
          <w:rFonts w:eastAsia="等线" w:ascii="Arial" w:cs="Arial" w:hAnsi="Arial"/>
          <w:sz w:val="22"/>
        </w:rPr>
        <w:t>，所有下游解析、转换都基于统一标准，避免自定义语法的兼容问题。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3.4 </w:t>
      </w:r>
      <w:r>
        <w:rPr>
          <w:rFonts w:eastAsia="等线" w:ascii="Arial" w:cs="Arial" w:hAnsi="Arial"/>
          <w:b w:val="true"/>
          <w:sz w:val="32"/>
        </w:rPr>
        <w:t>解析层：gherkin-official 官方解析器</w:t>
      </w:r>
      <w:bookmarkEnd w:id="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：Gherkin 语法的标准解析引擎，负责文本到结构化 AST 的转换。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核心组件</w:t>
      </w:r>
      <w:r>
        <w:rPr>
          <w:rFonts w:eastAsia="等线" w:ascii="Arial" w:cs="Arial" w:hAnsi="Arial"/>
          <w:sz w:val="22"/>
        </w:rPr>
        <w:t>：gherkin-official（Cucumber 官方开源 Python 包，100% 复用）。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：标准 Gherkin 文本。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：标准 AST（抽象语法树）结构化节点。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核心职责</w:t>
      </w:r>
      <w:r>
        <w:rPr>
          <w:rFonts w:eastAsia="等线" w:ascii="Arial" w:cs="Arial" w:hAnsi="Arial"/>
          <w:sz w:val="22"/>
        </w:rPr>
        <w:t>：语法校验（验证 Gherkin 语法合法性，输出精确的行列级错误信息）；结构解析（将 Feature、Scenario、Step、参数、标签等解析为标准化节点对象）；格式归一（统一处理缩进、换行、注释、空格等格式问题）。关键复用价值：完全不用自研 Gherkin 解析器，从根源避免语法边界与兼容问题；官方持续维护，支持最新 Gherkin 语法特性；解析性能与准确率远高于自研实现。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3.5 </w:t>
      </w:r>
      <w:r>
        <w:rPr>
          <w:rFonts w:eastAsia="等线" w:ascii="Arial" w:cs="Arial" w:hAnsi="Arial"/>
          <w:b w:val="true"/>
          <w:sz w:val="32"/>
        </w:rPr>
        <w:t>转换层：AST → 自定义 JSON DSL 映射</w:t>
      </w:r>
      <w:bookmarkEnd w:id="7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：标准生态到平台自定义格式的适配层，是整条链路中定制开发量最小的核心层。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核心组件</w:t>
      </w:r>
      <w:r>
        <w:rPr>
          <w:rFonts w:eastAsia="等线" w:ascii="Arial" w:cs="Arial" w:hAnsi="Arial"/>
          <w:sz w:val="22"/>
        </w:rPr>
        <w:t>：轻量定制转换函数 + 元素知识库匹配逻辑。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：Gherkin 标准 AST 节点。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：符合平台规范的自定义 JSON DSL。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核心职责</w:t>
      </w:r>
      <w:r>
        <w:rPr>
          <w:rFonts w:eastAsia="等线" w:ascii="Arial" w:cs="Arial" w:hAnsi="Arial"/>
          <w:sz w:val="22"/>
        </w:rPr>
        <w:t>：字段映射（将 AST 的 Feature / Scenario / Step 节点映射到自定义 DSL 的对应字段）；元素匹配（调用元素知识库，将业务元素名匹配到结构化定位器）；动作映射（将自然语言动作映射为平台标准动作枚举 navigate / click / fill / assert 等）。关键说明：代码量极小，仅需几十行遍历与映射逻辑；所有结构规则来自 DSL 规范库，所有元素信息来自元素知识库；是连接标准开源生态与平台自定义体系的唯一适配层。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3.6 </w:t>
      </w:r>
      <w:r>
        <w:rPr>
          <w:rFonts w:eastAsia="等线" w:ascii="Arial" w:cs="Arial" w:hAnsi="Arial"/>
          <w:b w:val="true"/>
          <w:sz w:val="32"/>
        </w:rPr>
        <w:t>执行层：Playwright 自动化执行引擎</w:t>
      </w:r>
      <w:bookmarkEnd w:id="8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：DSL 的最终执行层，负责驱动浏览器完成测试。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核心组件</w:t>
      </w:r>
      <w:r>
        <w:rPr>
          <w:rFonts w:eastAsia="等线" w:ascii="Arial" w:cs="Arial" w:hAnsi="Arial"/>
          <w:sz w:val="22"/>
        </w:rPr>
        <w:t>：Playwright 原生 API + 自定义执行映射引擎。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：自定义 JSON DSL。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：测试执行结果、截图、日志、标准化测试报告。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核心职责</w:t>
      </w:r>
      <w:r>
        <w:rPr>
          <w:rFonts w:eastAsia="等线" w:ascii="Arial" w:cs="Arial" w:hAnsi="Arial"/>
          <w:sz w:val="22"/>
        </w:rPr>
        <w:t>：根据 DSL 中的动作枚举映射到对应 Playwright API；根据结构化定位器生成 Playwright Locator 并执行操作；执行断言、捕获错误、生成执行报告。实现方式为复用已有 Playwright 执行能力，无需额外开发。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核心支撑体系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横向贯穿全链路的基础能力，是保证转换准确性与可执行性的核心：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元素知识库</w:t>
      </w:r>
      <w:r>
        <w:rPr>
          <w:rFonts w:eastAsia="等线" w:ascii="Arial" w:cs="Arial" w:hAnsi="Arial"/>
          <w:sz w:val="22"/>
        </w:rPr>
        <w:t>：按页面维度维护业务元素名称、别名、结构化定位器、前置条件；为 AI 生成层与转换层提供唯一的元素定位数据源，从根源避免 AI 编造定位器的问题。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DSL 语法规范库</w:t>
      </w:r>
      <w:r>
        <w:rPr>
          <w:rFonts w:eastAsia="等线" w:ascii="Arial" w:cs="Arial" w:hAnsi="Arial"/>
          <w:sz w:val="22"/>
        </w:rPr>
        <w:t>：定义自定义 JSON DSL 的字段规范、动作枚举、断言规则；配套 JSON Schema 做结构强校验；统一 AI 生成与转换层的输出标准。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多层校验引擎</w:t>
      </w:r>
      <w:r>
        <w:rPr>
          <w:rFonts w:eastAsia="等线" w:ascii="Arial" w:cs="Arial" w:hAnsi="Arial"/>
          <w:sz w:val="22"/>
        </w:rPr>
        <w:t>：语法校验（解析层 Gherkin 语法校验 + 转换层 JSON Schema 结构校验）；元素校验（验证所有操作元素均可在知识库中找到对应定位器）；语义校验（AI 反向核对输入输出语义一致性，避免遗漏或偏差）。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闭环优化机制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执行结果反向回流，形成自学习闭环，持续提升转换准确率：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执行成功的用例自动回流为高质量样本，优化 AI 生成效果。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人工修正的元素别名自动同步到元素知识库，提升后续匹配率。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定位失败的场景自动触发多模态重识别，更新元素库定位器。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定期统计失败类型，迭代 Prompt 模板与转换规则。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开源复用与定制开发占比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60"/>
        <w:gridCol w:w="2715"/>
        <w:gridCol w:w="975"/>
        <w:gridCol w:w="2730"/>
      </w:tblGrid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实现方式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代码量占比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生成编排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复用 LangChain + 业务定制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~20%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框架全复用，仅定制 Prompt 与工具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Gherkin 解析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 复用 gherkin-official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0%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官方库直接调用，无需开发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AST 转自定义 DSL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轻量定制开发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~10%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仅字段映射与匹配逻辑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元素知识库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定制数据结构 + 检索逻辑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~10%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可基于向量数据库快速搭建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执行引擎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已有能力复用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0%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复用现有 Playwright 引擎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校验与闭环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少量定制开发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~20%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基于开源组件拼装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整体自研代码占比约 30%，70% 以上能力来自成熟开源组件与已有能力，完全无需从零搭建。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95036">
    <w:lvl>
      <w:numFmt w:val="bullet"/>
      <w:suff w:val="tab"/>
      <w:lvlText w:val="•"/>
      <w:rPr>
        <w:color w:val="3370ff"/>
      </w:rPr>
    </w:lvl>
  </w:abstractNum>
  <w:abstractNum w:abstractNumId="695037">
    <w:lvl>
      <w:numFmt w:val="bullet"/>
      <w:suff w:val="tab"/>
      <w:lvlText w:val="•"/>
      <w:rPr>
        <w:color w:val="3370ff"/>
      </w:rPr>
    </w:lvl>
  </w:abstractNum>
  <w:abstractNum w:abstractNumId="695038">
    <w:lvl>
      <w:numFmt w:val="bullet"/>
      <w:suff w:val="tab"/>
      <w:lvlText w:val="•"/>
      <w:rPr>
        <w:color w:val="3370ff"/>
      </w:rPr>
    </w:lvl>
  </w:abstractNum>
  <w:abstractNum w:abstractNumId="695039">
    <w:lvl>
      <w:numFmt w:val="bullet"/>
      <w:suff w:val="tab"/>
      <w:lvlText w:val="•"/>
      <w:rPr>
        <w:color w:val="3370ff"/>
      </w:rPr>
    </w:lvl>
  </w:abstractNum>
  <w:abstractNum w:abstractNumId="695040">
    <w:lvl>
      <w:numFmt w:val="bullet"/>
      <w:suff w:val="tab"/>
      <w:lvlText w:val="•"/>
      <w:rPr>
        <w:color w:val="3370ff"/>
      </w:rPr>
    </w:lvl>
  </w:abstractNum>
  <w:abstractNum w:abstractNumId="695041">
    <w:lvl>
      <w:numFmt w:val="bullet"/>
      <w:suff w:val="tab"/>
      <w:lvlText w:val="•"/>
      <w:rPr>
        <w:color w:val="3370ff"/>
      </w:rPr>
    </w:lvl>
  </w:abstractNum>
  <w:abstractNum w:abstractNumId="695042">
    <w:lvl>
      <w:numFmt w:val="bullet"/>
      <w:suff w:val="tab"/>
      <w:lvlText w:val="•"/>
      <w:rPr>
        <w:color w:val="3370ff"/>
      </w:rPr>
    </w:lvl>
  </w:abstractNum>
  <w:abstractNum w:abstractNumId="695043">
    <w:lvl>
      <w:numFmt w:val="bullet"/>
      <w:suff w:val="tab"/>
      <w:lvlText w:val="•"/>
      <w:rPr>
        <w:color w:val="3370ff"/>
      </w:rPr>
    </w:lvl>
  </w:abstractNum>
  <w:abstractNum w:abstractNumId="695044">
    <w:lvl>
      <w:numFmt w:val="bullet"/>
      <w:suff w:val="tab"/>
      <w:lvlText w:val="•"/>
      <w:rPr>
        <w:color w:val="3370ff"/>
      </w:rPr>
    </w:lvl>
  </w:abstractNum>
  <w:abstractNum w:abstractNumId="695045">
    <w:lvl>
      <w:numFmt w:val="bullet"/>
      <w:suff w:val="tab"/>
      <w:lvlText w:val="•"/>
      <w:rPr>
        <w:color w:val="3370ff"/>
      </w:rPr>
    </w:lvl>
  </w:abstractNum>
  <w:abstractNum w:abstractNumId="695046">
    <w:lvl>
      <w:numFmt w:val="bullet"/>
      <w:suff w:val="tab"/>
      <w:lvlText w:val="•"/>
      <w:rPr>
        <w:color w:val="3370ff"/>
      </w:rPr>
    </w:lvl>
  </w:abstractNum>
  <w:abstractNum w:abstractNumId="695047">
    <w:lvl>
      <w:numFmt w:val="bullet"/>
      <w:suff w:val="tab"/>
      <w:lvlText w:val="•"/>
      <w:rPr>
        <w:color w:val="3370ff"/>
      </w:rPr>
    </w:lvl>
  </w:abstractNum>
  <w:abstractNum w:abstractNumId="695048">
    <w:lvl>
      <w:numFmt w:val="bullet"/>
      <w:suff w:val="tab"/>
      <w:lvlText w:val="•"/>
      <w:rPr>
        <w:color w:val="3370ff"/>
      </w:rPr>
    </w:lvl>
  </w:abstractNum>
  <w:abstractNum w:abstractNumId="695049">
    <w:lvl>
      <w:numFmt w:val="bullet"/>
      <w:suff w:val="tab"/>
      <w:lvlText w:val="•"/>
      <w:rPr>
        <w:color w:val="3370ff"/>
      </w:rPr>
    </w:lvl>
  </w:abstractNum>
  <w:abstractNum w:abstractNumId="695050">
    <w:lvl>
      <w:numFmt w:val="bullet"/>
      <w:suff w:val="tab"/>
      <w:lvlText w:val="•"/>
      <w:rPr>
        <w:color w:val="3370ff"/>
      </w:rPr>
    </w:lvl>
  </w:abstractNum>
  <w:abstractNum w:abstractNumId="695051">
    <w:lvl>
      <w:numFmt w:val="bullet"/>
      <w:suff w:val="tab"/>
      <w:lvlText w:val="•"/>
      <w:rPr>
        <w:color w:val="3370ff"/>
      </w:rPr>
    </w:lvl>
  </w:abstractNum>
  <w:abstractNum w:abstractNumId="695052">
    <w:lvl>
      <w:numFmt w:val="bullet"/>
      <w:suff w:val="tab"/>
      <w:lvlText w:val="•"/>
      <w:rPr>
        <w:color w:val="3370ff"/>
      </w:rPr>
    </w:lvl>
  </w:abstractNum>
  <w:abstractNum w:abstractNumId="695053">
    <w:lvl>
      <w:numFmt w:val="bullet"/>
      <w:suff w:val="tab"/>
      <w:lvlText w:val="•"/>
      <w:rPr>
        <w:color w:val="3370ff"/>
      </w:rPr>
    </w:lvl>
  </w:abstractNum>
  <w:abstractNum w:abstractNumId="695054">
    <w:lvl>
      <w:numFmt w:val="bullet"/>
      <w:suff w:val="tab"/>
      <w:lvlText w:val="•"/>
      <w:rPr>
        <w:color w:val="3370ff"/>
      </w:rPr>
    </w:lvl>
  </w:abstractNum>
  <w:abstractNum w:abstractNumId="695055">
    <w:lvl>
      <w:numFmt w:val="bullet"/>
      <w:suff w:val="tab"/>
      <w:lvlText w:val="•"/>
      <w:rPr>
        <w:color w:val="3370ff"/>
      </w:rPr>
    </w:lvl>
  </w:abstractNum>
  <w:abstractNum w:abstractNumId="695056">
    <w:lvl>
      <w:numFmt w:val="bullet"/>
      <w:suff w:val="tab"/>
      <w:lvlText w:val="•"/>
      <w:rPr>
        <w:color w:val="3370ff"/>
      </w:rPr>
    </w:lvl>
  </w:abstractNum>
  <w:abstractNum w:abstractNumId="695057">
    <w:lvl>
      <w:numFmt w:val="bullet"/>
      <w:suff w:val="tab"/>
      <w:lvlText w:val="•"/>
      <w:rPr>
        <w:color w:val="3370ff"/>
      </w:rPr>
    </w:lvl>
  </w:abstractNum>
  <w:abstractNum w:abstractNumId="695058">
    <w:lvl>
      <w:numFmt w:val="bullet"/>
      <w:suff w:val="tab"/>
      <w:lvlText w:val="•"/>
      <w:rPr>
        <w:color w:val="3370ff"/>
      </w:rPr>
    </w:lvl>
  </w:abstractNum>
  <w:abstractNum w:abstractNumId="695059">
    <w:lvl>
      <w:numFmt w:val="bullet"/>
      <w:suff w:val="tab"/>
      <w:lvlText w:val="•"/>
      <w:rPr>
        <w:color w:val="3370ff"/>
      </w:rPr>
    </w:lvl>
  </w:abstractNum>
  <w:abstractNum w:abstractNumId="695060">
    <w:lvl>
      <w:numFmt w:val="bullet"/>
      <w:suff w:val="tab"/>
      <w:lvlText w:val="•"/>
      <w:rPr>
        <w:color w:val="3370ff"/>
      </w:rPr>
    </w:lvl>
  </w:abstractNum>
  <w:abstractNum w:abstractNumId="695061">
    <w:lvl>
      <w:numFmt w:val="bullet"/>
      <w:suff w:val="tab"/>
      <w:lvlText w:val="•"/>
      <w:rPr>
        <w:color w:val="3370ff"/>
      </w:rPr>
    </w:lvl>
  </w:abstractNum>
  <w:abstractNum w:abstractNumId="695062">
    <w:lvl>
      <w:numFmt w:val="bullet"/>
      <w:suff w:val="tab"/>
      <w:lvlText w:val="•"/>
      <w:rPr>
        <w:color w:val="3370ff"/>
      </w:rPr>
    </w:lvl>
  </w:abstractNum>
  <w:abstractNum w:abstractNumId="695063">
    <w:lvl>
      <w:numFmt w:val="bullet"/>
      <w:suff w:val="tab"/>
      <w:lvlText w:val="•"/>
      <w:rPr>
        <w:color w:val="3370ff"/>
      </w:rPr>
    </w:lvl>
  </w:abstractNum>
  <w:abstractNum w:abstractNumId="695064">
    <w:lvl>
      <w:start w:val="1"/>
      <w:numFmt w:val="decimal"/>
      <w:suff w:val="tab"/>
      <w:lvlText w:val="%1."/>
      <w:rPr>
        <w:color w:val="3370ff"/>
      </w:rPr>
    </w:lvl>
  </w:abstractNum>
  <w:abstractNum w:abstractNumId="695065">
    <w:lvl>
      <w:start w:val="2"/>
      <w:numFmt w:val="decimal"/>
      <w:suff w:val="tab"/>
      <w:lvlText w:val="%1."/>
      <w:rPr>
        <w:color w:val="3370ff"/>
      </w:rPr>
    </w:lvl>
  </w:abstractNum>
  <w:abstractNum w:abstractNumId="695066">
    <w:lvl>
      <w:start w:val="3"/>
      <w:numFmt w:val="decimal"/>
      <w:suff w:val="tab"/>
      <w:lvlText w:val="%1."/>
      <w:rPr>
        <w:color w:val="3370ff"/>
      </w:rPr>
    </w:lvl>
  </w:abstractNum>
  <w:abstractNum w:abstractNumId="695067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695036"/>
  </w:num>
  <w:num w:numId="2">
    <w:abstractNumId w:val="695037"/>
  </w:num>
  <w:num w:numId="3">
    <w:abstractNumId w:val="695038"/>
  </w:num>
  <w:num w:numId="4">
    <w:abstractNumId w:val="695039"/>
  </w:num>
  <w:num w:numId="5">
    <w:abstractNumId w:val="695040"/>
  </w:num>
  <w:num w:numId="6">
    <w:abstractNumId w:val="695041"/>
  </w:num>
  <w:num w:numId="7">
    <w:abstractNumId w:val="695042"/>
  </w:num>
  <w:num w:numId="8">
    <w:abstractNumId w:val="695043"/>
  </w:num>
  <w:num w:numId="9">
    <w:abstractNumId w:val="695044"/>
  </w:num>
  <w:num w:numId="10">
    <w:abstractNumId w:val="695045"/>
  </w:num>
  <w:num w:numId="11">
    <w:abstractNumId w:val="695046"/>
  </w:num>
  <w:num w:numId="12">
    <w:abstractNumId w:val="695047"/>
  </w:num>
  <w:num w:numId="13">
    <w:abstractNumId w:val="695048"/>
  </w:num>
  <w:num w:numId="14">
    <w:abstractNumId w:val="695049"/>
  </w:num>
  <w:num w:numId="15">
    <w:abstractNumId w:val="695050"/>
  </w:num>
  <w:num w:numId="16">
    <w:abstractNumId w:val="695051"/>
  </w:num>
  <w:num w:numId="17">
    <w:abstractNumId w:val="695052"/>
  </w:num>
  <w:num w:numId="18">
    <w:abstractNumId w:val="695053"/>
  </w:num>
  <w:num w:numId="19">
    <w:abstractNumId w:val="695054"/>
  </w:num>
  <w:num w:numId="20">
    <w:abstractNumId w:val="695055"/>
  </w:num>
  <w:num w:numId="21">
    <w:abstractNumId w:val="695056"/>
  </w:num>
  <w:num w:numId="22">
    <w:abstractNumId w:val="695057"/>
  </w:num>
  <w:num w:numId="23">
    <w:abstractNumId w:val="695058"/>
  </w:num>
  <w:num w:numId="24">
    <w:abstractNumId w:val="695059"/>
  </w:num>
  <w:num w:numId="25">
    <w:abstractNumId w:val="695060"/>
  </w:num>
  <w:num w:numId="26">
    <w:abstractNumId w:val="695061"/>
  </w:num>
  <w:num w:numId="27">
    <w:abstractNumId w:val="695062"/>
  </w:num>
  <w:num w:numId="28">
    <w:abstractNumId w:val="695063"/>
  </w:num>
  <w:num w:numId="29">
    <w:abstractNumId w:val="695064"/>
  </w:num>
  <w:num w:numId="30">
    <w:abstractNumId w:val="695065"/>
  </w:num>
  <w:num w:numId="31">
    <w:abstractNumId w:val="695066"/>
  </w:num>
  <w:num w:numId="32">
    <w:abstractNumId w:val="6950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2026-10-18T08:10:25Z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{"Label":"1","ContentProducer":"001191110102MACQD9K64010000","ProduceID":"7697917167128546584","ReservedCode1":"","ContentPropagator":"","PropagateID":"","ReservedCode2":""}</vt:lpwstr>
  </property>
</Properties>
</file>