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元素知识库与 AST→SDL 转换架构设计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执行摘要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 xml:space="preserve">当前应推进的方向是——以「确定性优先、AI 兜底」为原则，搭建以 </w:t>
      </w:r>
      <w:r>
        <w:rPr>
          <w:rFonts w:eastAsia="等线" w:ascii="Arial" w:cs="Arial" w:hAnsi="Arial"/>
          <w:b w:val="true"/>
          <w:sz w:val="22"/>
        </w:rPr>
        <w:t>PostgreSQL + pgvector</w:t>
      </w:r>
      <w:r>
        <w:rPr>
          <w:rFonts w:eastAsia="等线" w:ascii="Arial" w:cs="Arial" w:hAnsi="Arial"/>
          <w:sz w:val="22"/>
        </w:rPr>
        <w:t xml:space="preserve"> 为载体的元素知识库，作为 AST→SDL 转换的事实底座。Gherkin→AST 保持确定性解析，AI 只介入 AST→SDL 中最难的一环（业务对象到真实 UI 元素的映射），且被约束为「选择题」而非「翻译题」。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Gherkin→AST 由 @cucumber/gherkin 官方解析器确定性完成，全链路唯一需要 AI 的环节是 AST→SDL 的步骤语义映射。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元素知识库以「业务别名 + 多策略定位器 + 行为 + 执行反馈」四层数据覆盖映射需求，解决 AI 幻觉（编造 selector）这一核心风险。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PostgreSQL + pgvector 关系与向量一体，同一张表同时支撑精确匹配（别名、模板）与语义检索（Top-K 召回），避免双库数据一致性问题。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三级决策（L1 规则匹配 → L2 语义检索 → L3 LLM 兜底）把 AI 限制在最内层，常见步骤零成本直出，schema 校验 + 回退重试保证输出可控。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约束：</w:t>
      </w:r>
      <w:r>
        <w:rPr>
          <w:rFonts w:eastAsia="等线" w:ascii="Arial" w:cs="Arial" w:hAnsi="Arial"/>
          <w:sz w:val="22"/>
        </w:rPr>
        <w:t>知识库质量依赖 verified 纪律（AI 产物默认 pending，验证后才允许直出 SDL）与执行反馈闭环；冷启动阶段需投入人工审核，无法完全自动化。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行动：</w:t>
      </w:r>
      <w:r>
        <w:rPr>
          <w:rFonts w:eastAsia="等线" w:ascii="Arial" w:cs="Arial" w:hAnsi="Arial"/>
          <w:sz w:val="22"/>
        </w:rPr>
        <w:t>按四阶段落地——Phase 0 定 JSON Schema 与表结构，Phase 1 冷启动注入（从现有测试/录制抽取元素），Phase 2 三级决策接入转换管线并灰度放开，Phase 3 反馈闭环（失败回写、定位器自愈）。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问题界定：元素知识库解决什么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转换链路与唯一 AI 环节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现有链路为：</w:t>
      </w:r>
      <w:r>
        <w:rPr>
          <w:rFonts w:eastAsia="等线" w:ascii="Arial" w:cs="Arial" w:hAnsi="Arial"/>
          <w:b w:val="true"/>
          <w:sz w:val="22"/>
        </w:rPr>
        <w:t>Gherkin → AST → 自定义 JSON SDL → Playwright 代码</w:t>
      </w:r>
      <w:r>
        <w:rPr>
          <w:rFonts w:eastAsia="等线" w:ascii="Arial" w:cs="Arial" w:hAnsi="Arial"/>
          <w:sz w:val="22"/>
        </w:rPr>
        <w:t>。Gherkin→AST 是确定性解析，SDL→Playwright 已有实现。真正需要 AI 的只有 AST→SDL 这一步，而它的难点不是结构翻译，而是：</w:t>
      </w:r>
      <w:r>
        <w:rPr>
          <w:rFonts w:eastAsia="等线" w:ascii="Arial" w:cs="Arial" w:hAnsi="Arial"/>
          <w:b w:val="true"/>
          <w:sz w:val="22"/>
        </w:rPr>
        <w:t>把 step 文本中的业务对象（「登录按钮」）映射到真实 UI 元素，并确定动作与参数</w:t>
      </w:r>
      <w:r>
        <w:rPr>
          <w:rFonts w:eastAsia="等线" w:ascii="Arial" w:cs="Arial" w:hAnsi="Arial"/>
          <w:sz w:val="22"/>
        </w:rPr>
        <w:t>。知识库的职责就是让这个映射有事实依据、可检索、可验证、可自我修复。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知识库承载的四类数据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2910"/>
        <w:gridCol w:w="403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回答的问题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page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元素属于哪个页面/模块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登录页、结算页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element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业务对象对应的真实元素是什么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「登录按钮」→ login-submit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step_template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 step 句式对应什么动作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「点击X」→ click；「输入X到Y」→ fill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execution_feedback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执行失败后如何修正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定位器失效、别名缺失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来源：系统设计约束｜口径：实体职责定义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边界：不要做成什么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纯向量库</w:t>
      </w:r>
      <w:r>
        <w:rPr>
          <w:rFonts w:eastAsia="等线" w:ascii="Arial" w:cs="Arial" w:hAnsi="Arial"/>
          <w:sz w:val="22"/>
        </w:rPr>
        <w:t>：丢关系查询，别名/定位器/反馈天然是关系型数据。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只存 selector 的扁平字典</w:t>
      </w:r>
      <w:r>
        <w:rPr>
          <w:rFonts w:eastAsia="等线" w:ascii="Arial" w:cs="Arial" w:hAnsi="Arial"/>
          <w:sz w:val="22"/>
        </w:rPr>
        <w:t>：没有语义层，AI 依然靠猜。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整页 DOM 入库</w:t>
      </w:r>
      <w:r>
        <w:rPr>
          <w:rFonts w:eastAsia="等线" w:ascii="Arial" w:cs="Arial" w:hAnsi="Arial"/>
          <w:sz w:val="22"/>
        </w:rPr>
        <w:t>：噪音大于信号，检索质量差。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数据库选型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候选方案对比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200"/>
        <w:gridCol w:w="2295"/>
        <w:gridCol w:w="2295"/>
        <w:gridCol w:w="100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PostgreSQL + pgvector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 + 向量一体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事务、关系查询、向量检索同库；别名/定位器/反馈天然关系型，语义检索靠向量列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需要运维 PG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推荐主选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+ sqlite-vec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单机轻量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零运维、可嵌入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并发弱、向量规模受限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起步可选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Qdrant / Milvus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纯向量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海量向量高并发 ANN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关系查询弱，需维护第二套库，一致性要自己做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 &gt;100 万再考虑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Elasticsearch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 + 向量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全文检索强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重、关系弱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不推荐为主库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来源：业界方案调研｜口径：按数据结构特征与运维成本评估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结论：PostgreSQL + pgvector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元素解析的典型请求是「step 文本 → 候选元素」，同时需要</w:t>
      </w:r>
      <w:r>
        <w:rPr>
          <w:rFonts w:eastAsia="等线" w:ascii="Arial" w:cs="Arial" w:hAnsi="Arial"/>
          <w:b w:val="true"/>
          <w:sz w:val="22"/>
        </w:rPr>
        <w:t>精确匹配</w:t>
      </w:r>
      <w:r>
        <w:rPr>
          <w:rFonts w:eastAsia="等线" w:ascii="Arial" w:cs="Arial" w:hAnsi="Arial"/>
          <w:sz w:val="22"/>
        </w:rPr>
        <w:t>（别名完全一致、step 模板正则命中——这部分不该走向量）和</w:t>
      </w:r>
      <w:r>
        <w:rPr>
          <w:rFonts w:eastAsia="等线" w:ascii="Arial" w:cs="Arial" w:hAnsi="Arial"/>
          <w:b w:val="true"/>
          <w:sz w:val="22"/>
        </w:rPr>
        <w:t>语义召回</w:t>
      </w:r>
      <w:r>
        <w:rPr>
          <w:rFonts w:eastAsia="等线" w:ascii="Arial" w:cs="Arial" w:hAnsi="Arial"/>
          <w:sz w:val="22"/>
        </w:rPr>
        <w:t>（「提交表单」匹配到名为「确认提交」的按钮——走 embedding）。PG 一张表两列即可同时覆盖，并省去双库一致性问题。给 aliases 与 step 文本建 embedding 列，用余弦相似度做 Top-K 检索。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数据格式设计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元素实体 JSON Schema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知识库元素记录与 SDL 同源采用 JSON 结构，便于 AI 生成后对齐：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element 实体示例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"login_submit_btn",</w:t>
              <w:br/>
              <w:t xml:space="preserve">  "page_id": "login_page",</w:t>
              <w:br/>
              <w:t xml:space="preserve">  "type": "button",</w:t>
              <w:br/>
              <w:t xml:space="preserve">  "name": "登录按钮",</w:t>
              <w:br/>
              <w:t xml:space="preserve">  "aliases": [</w:t>
              <w:br/>
              <w:t xml:space="preserve">    { "text": "登录", "lang": "zh", "source": "manual" },</w:t>
              <w:br/>
              <w:t xml:space="preserve">    { "text": "登录按钮", "lang": "zh", "source": "ai_extract" },</w:t>
              <w:br/>
              <w:t xml:space="preserve">    { "text": "sign in", "lang": "en", "source": "ai_extract" }</w:t>
              <w:br/>
              <w:t xml:space="preserve">  ],</w:t>
              <w:br/>
              <w:t xml:space="preserve">  "locators": [</w:t>
              <w:br/>
              <w:t xml:space="preserve">    { "strategy": "data-testid", "value": "login-submit",  "priority": 1, "confidence": 0.95 },</w:t>
              <w:br/>
              <w:t xml:space="preserve">    { "strategy": "role",        "value": "button", "name": "登录", "priority": 2, "confidence": 0.85 },</w:t>
              <w:br/>
              <w:t xml:space="preserve">    { "strategy": "css",         "value": "#login-form .btn-primary", "priority": 3, "confidence": 0.70 }</w:t>
              <w:br/>
              <w:t xml:space="preserve">  ],</w:t>
              <w:br/>
              <w:t xml:space="preserve">  "behaviors": { "actions": ["click", "wait_visible"], "assertions": ["visible", "enabled"] },</w:t>
              <w:br/>
              <w:t xml:space="preserve">  "gherkin_templates": [</w:t>
              <w:br/>
              <w:t xml:space="preserve">    { "pattern": "点击{登录按钮}", "action": "click", "param_slots": [] }</w:t>
              <w:br/>
              <w:t xml:space="preserve">  ],</w:t>
              <w:br/>
              <w:t xml:space="preserve">  "state": { "status": "verified", "source": "ai_extract", "version": 4, "updated_at": "..."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设计要点</w:t>
      </w:r>
      <w:bookmarkEnd w:id="1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aliases 是灵魂</w:t>
      </w:r>
      <w:r>
        <w:rPr>
          <w:rFonts w:eastAsia="等线" w:ascii="Arial" w:cs="Arial" w:hAnsi="Arial"/>
          <w:sz w:val="22"/>
        </w:rPr>
        <w:t>：业务方/测试人员/AI 对同一元素的不同叫法收敛到这里，这是让 AI 做「选择题」的关键；初始由 AI 从现有测试与页面生成，后续人工补充。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locators 多策略 + 优先级</w:t>
      </w:r>
      <w:r>
        <w:rPr>
          <w:rFonts w:eastAsia="等线" w:ascii="Arial" w:cs="Arial" w:hAnsi="Arial"/>
          <w:sz w:val="22"/>
        </w:rPr>
        <w:t>：遵循 Playwright 官方最佳实践（role/label/text/testid 优先于 css/xpath），失效时按优先级降级，是自愈的基础。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state.status 三态</w:t>
      </w:r>
      <w:r>
        <w:rPr>
          <w:rFonts w:eastAsia="等线" w:ascii="Arial" w:cs="Arial" w:hAnsi="Arial"/>
          <w:sz w:val="22"/>
        </w:rPr>
        <w:t>：verified（人工确认）/ pending（AI 生成未验证）/ deprecated（失效）。只有 verified 元素允许 L1 精确匹配直出 SDL，pending 只能作为 LLM 参考上下文。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枚举约束</w:t>
      </w:r>
      <w:r>
        <w:rPr>
          <w:rFonts w:eastAsia="等线" w:ascii="Arial" w:cs="Arial" w:hAnsi="Arial"/>
          <w:sz w:val="22"/>
        </w:rPr>
        <w:t>：定位器 strategy、动作 action 的枚举在 SDL schema 同步维护，LLM 输出必须过 schema 校验。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整体转换架构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端到端架构总览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核心是右侧的元素知识库成为转换管线的「共享事实源」，底部执行反馈闭环回写。AI 只出现在 Element Resolver 的最内层：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Resolver 三级决策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三级递进保证确定性优先：常见步骤零成本直出，AI 仅在歧义场景兜底，且输出被 schema 与检索上下文双重约束：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架构要点</w:t>
      </w:r>
      <w:bookmarkEnd w:id="1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 规则匹配（零成本）</w:t>
      </w:r>
      <w:r>
        <w:rPr>
          <w:rFonts w:eastAsia="等线" w:ascii="Arial" w:cs="Arial" w:hAnsi="Arial"/>
          <w:sz w:val="22"/>
        </w:rPr>
        <w:t>：规范化后的 step 文本与 aliases / step_template.pattern 做精确或正则匹配。命中 verified 元素 → 直接产出 SDL，不走 LLM。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语义检索</w:t>
      </w:r>
      <w:r>
        <w:rPr>
          <w:rFonts w:eastAsia="等线" w:ascii="Arial" w:cs="Arial" w:hAnsi="Arial"/>
          <w:sz w:val="22"/>
        </w:rPr>
        <w:t>：L1 未命中 → step 文本向量化，从 pgvector 检索 Top-K 候选元素与模板，附带置信度。高置信且动作可确定 → 直接采用。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 LLM 决策（兜底）</w:t>
      </w:r>
      <w:r>
        <w:rPr>
          <w:rFonts w:eastAsia="等线" w:ascii="Arial" w:cs="Arial" w:hAnsi="Arial"/>
          <w:sz w:val="22"/>
        </w:rPr>
        <w:t>：置信不足或歧义 → 把检索结果 + step 上下文 + SDL Schema 交给 LLM，让它「从候选里选并解释」而非凭空创造，输出受 schema 约束的 JSON；校验失败回退重试一次，再失败转人工并标 pending。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知识库定位</w:t>
      </w:r>
      <w:r>
        <w:rPr>
          <w:rFonts w:eastAsia="等线" w:ascii="Arial" w:cs="Arial" w:hAnsi="Arial"/>
          <w:sz w:val="22"/>
        </w:rPr>
        <w:t>：是 Resolver 的读源（L2 检索、L3 上下文），也是执行层的写目标（反馈闭环）。每次测试失败都意味着知识库有元素过期或缺失，自动修正后知识库越用越准。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 AST 不需要 AI</w:t>
      </w:r>
      <w:r>
        <w:rPr>
          <w:rFonts w:eastAsia="等线" w:ascii="Arial" w:cs="Arial" w:hAnsi="Arial"/>
          <w:sz w:val="22"/>
        </w:rPr>
        <w:t>：@cucumber/gherkin 是官方确定性解析器，Feature/Scenario/Step/Examples 结构化输出是现成的，不在这层引入 LLM。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知识库构建：冷启动与持续学习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构建管线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四路来源与验证门</w:t>
      </w:r>
      <w:bookmarkEnd w:id="1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现有资产注入（最高价值，先做）</w:t>
      </w:r>
      <w:r>
        <w:rPr>
          <w:rFonts w:eastAsia="等线" w:ascii="Arial" w:cs="Arial" w:hAnsi="Arial"/>
          <w:sz w:val="22"/>
        </w:rPr>
        <w:t>：解析已有测试代码、Playwright 录制文件、Page Object 文件，把已有 selector 直接抽取入库，立即获得一批真实可信元素。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页面扫描</w:t>
      </w:r>
      <w:r>
        <w:rPr>
          <w:rFonts w:eastAsia="等线" w:ascii="Arial" w:cs="Arial" w:hAnsi="Arial"/>
          <w:sz w:val="22"/>
        </w:rPr>
        <w:t>：Playwright 打开目标页面，按可访问性树语义化抽取（role、label、text、testid）生成元素候选。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标注</w:t>
      </w:r>
      <w:r>
        <w:rPr>
          <w:rFonts w:eastAsia="等线" w:ascii="Arial" w:cs="Arial" w:hAnsi="Arial"/>
          <w:sz w:val="22"/>
        </w:rPr>
        <w:t>：把元素候选 + 页面上下文交给 LLM，生成业务别名、意图标签、行为推导。</w:t>
      </w:r>
      <w:r>
        <w:rPr>
          <w:rFonts w:eastAsia="等线" w:ascii="Arial" w:cs="Arial" w:hAnsi="Arial"/>
          <w:b w:val="true"/>
          <w:sz w:val="22"/>
        </w:rPr>
        <w:t>所有 AI 产物默认 pending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验证门纪律</w:t>
      </w:r>
      <w:r>
        <w:rPr>
          <w:rFonts w:eastAsia="等线" w:ascii="Arial" w:cs="Arial" w:hAnsi="Arial"/>
          <w:sz w:val="22"/>
        </w:rPr>
        <w:t>：pending 元素经人工抽查或自动化验证（locator 真实可解析、别名可对应）后转 verified。</w:t>
      </w:r>
      <w:r>
        <w:rPr>
          <w:rFonts w:eastAsia="等线" w:ascii="Arial" w:cs="Arial" w:hAnsi="Arial"/>
          <w:b w:val="true"/>
          <w:sz w:val="22"/>
        </w:rPr>
        <w:t>只有 verified 才能进 L1 直出路径</w:t>
      </w:r>
      <w:r>
        <w:rPr>
          <w:rFonts w:eastAsia="等线" w:ascii="Arial" w:cs="Arial" w:hAnsi="Arial"/>
          <w:sz w:val="22"/>
        </w:rPr>
        <w:t>，这条纪律保证低风险。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持续学习闭环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执行反馈自动修正：定位器按优先级降级尝试 → 成功后回写知识库（定位器修正、失败 step 文本补为别名候选、embedding 更新、version +1）。知识库随使用不断自我增强，无需周期性人工重建。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落地路线与参考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四阶段落地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2790"/>
        <w:gridCol w:w="4140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验收点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0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 JSON Schema + PG 表结构（含 pgvector 列），写 schema 校验器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Schema 与校验器可运行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冷启动注入：从现有测试/录制抽元素，AI 标注，验证入库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核心页面元素 verified 覆盖率达标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Resolver 三级决策接入转换管线，先只开 L1，逐步放开 L2/L3，新步骤走 AI、老步骤保持确定性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常见步骤直出率与 SDL 校验通过率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反馈闭环：失败回写、定位器自愈、embedding 更新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同类失败复发率下降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来源：实施方案规划｜口径：按依赖顺序编排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开源参考</w:t>
      </w:r>
      <w:bookmarkEnd w:id="2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@cucumber/gherkin：Gherkin 官方确定性解析器。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vitalets/playwright-bdd：Gherkin→Playwright 的成熟 BDD 实践，step 组织方式可借鉴。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pw-element-repository / smart-locators-playwright：元素仓库 JSON 单源模式与多定位器 fallback。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pgvector/pgvector：PostgreSQL 向量检索扩展。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两个待拍板事项：</w:t>
            </w:r>
            <w:r>
              <w:rPr>
                <w:rFonts w:eastAsia="等线" w:ascii="Arial" w:cs="Arial" w:hAnsi="Arial"/>
                <w:sz w:val="22"/>
              </w:rPr>
              <w:t>① 现有 JSON SDL 是否已定义「动作枚举」（click/fill/assert 等）与「元素引用方式」（内嵌 locator 还是引用元素 ID）——决定知识库与 SDL 的耦合方式；② 团队能否接受 PostgreSQL 运维，不能则先用 SQLite 起步（schema 不变，后续平滑迁移）。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8198">
    <w:lvl>
      <w:numFmt w:val="bullet"/>
      <w:suff w:val="tab"/>
      <w:lvlText w:val="•"/>
      <w:rPr>
        <w:color w:val="3370ff"/>
      </w:rPr>
    </w:lvl>
  </w:abstractNum>
  <w:abstractNum w:abstractNumId="668199">
    <w:lvl>
      <w:numFmt w:val="bullet"/>
      <w:suff w:val="tab"/>
      <w:lvlText w:val="•"/>
      <w:rPr>
        <w:color w:val="3370ff"/>
      </w:rPr>
    </w:lvl>
  </w:abstractNum>
  <w:abstractNum w:abstractNumId="668200">
    <w:lvl>
      <w:numFmt w:val="bullet"/>
      <w:suff w:val="tab"/>
      <w:lvlText w:val="•"/>
      <w:rPr>
        <w:color w:val="3370ff"/>
      </w:rPr>
    </w:lvl>
  </w:abstractNum>
  <w:abstractNum w:abstractNumId="668201">
    <w:lvl>
      <w:numFmt w:val="bullet"/>
      <w:suff w:val="tab"/>
      <w:lvlText w:val="•"/>
      <w:rPr>
        <w:color w:val="3370ff"/>
      </w:rPr>
    </w:lvl>
  </w:abstractNum>
  <w:abstractNum w:abstractNumId="668202">
    <w:lvl>
      <w:numFmt w:val="bullet"/>
      <w:suff w:val="tab"/>
      <w:lvlText w:val="•"/>
      <w:rPr>
        <w:color w:val="3370ff"/>
      </w:rPr>
    </w:lvl>
  </w:abstractNum>
  <w:abstractNum w:abstractNumId="668203">
    <w:lvl>
      <w:numFmt w:val="bullet"/>
      <w:suff w:val="tab"/>
      <w:lvlText w:val="•"/>
      <w:rPr>
        <w:color w:val="3370ff"/>
      </w:rPr>
    </w:lvl>
  </w:abstractNum>
  <w:abstractNum w:abstractNumId="668204">
    <w:lvl>
      <w:numFmt w:val="bullet"/>
      <w:suff w:val="tab"/>
      <w:lvlText w:val="•"/>
      <w:rPr>
        <w:color w:val="3370ff"/>
      </w:rPr>
    </w:lvl>
  </w:abstractNum>
  <w:abstractNum w:abstractNumId="668205">
    <w:lvl>
      <w:numFmt w:val="bullet"/>
      <w:suff w:val="tab"/>
      <w:lvlText w:val="•"/>
      <w:rPr>
        <w:color w:val="3370ff"/>
      </w:rPr>
    </w:lvl>
  </w:abstractNum>
  <w:abstractNum w:abstractNumId="668206">
    <w:lvl>
      <w:numFmt w:val="bullet"/>
      <w:suff w:val="tab"/>
      <w:lvlText w:val="•"/>
      <w:rPr>
        <w:color w:val="3370ff"/>
      </w:rPr>
    </w:lvl>
  </w:abstractNum>
  <w:abstractNum w:abstractNumId="668207">
    <w:lvl>
      <w:numFmt w:val="bullet"/>
      <w:suff w:val="tab"/>
      <w:lvlText w:val="•"/>
      <w:rPr>
        <w:color w:val="3370ff"/>
      </w:rPr>
    </w:lvl>
  </w:abstractNum>
  <w:abstractNum w:abstractNumId="668208">
    <w:lvl>
      <w:numFmt w:val="bullet"/>
      <w:suff w:val="tab"/>
      <w:lvlText w:val="•"/>
      <w:rPr>
        <w:color w:val="3370ff"/>
      </w:rPr>
    </w:lvl>
  </w:abstractNum>
  <w:abstractNum w:abstractNumId="668209">
    <w:lvl>
      <w:numFmt w:val="bullet"/>
      <w:suff w:val="tab"/>
      <w:lvlText w:val="•"/>
      <w:rPr>
        <w:color w:val="3370ff"/>
      </w:rPr>
    </w:lvl>
  </w:abstractNum>
  <w:abstractNum w:abstractNumId="668210">
    <w:lvl>
      <w:numFmt w:val="bullet"/>
      <w:suff w:val="tab"/>
      <w:lvlText w:val="•"/>
      <w:rPr>
        <w:color w:val="3370ff"/>
      </w:rPr>
    </w:lvl>
  </w:abstractNum>
  <w:abstractNum w:abstractNumId="668211">
    <w:lvl>
      <w:numFmt w:val="bullet"/>
      <w:suff w:val="tab"/>
      <w:lvlText w:val="•"/>
      <w:rPr>
        <w:color w:val="3370ff"/>
      </w:rPr>
    </w:lvl>
  </w:abstractNum>
  <w:abstractNum w:abstractNumId="668212">
    <w:lvl>
      <w:numFmt w:val="bullet"/>
      <w:suff w:val="tab"/>
      <w:lvlText w:val="•"/>
      <w:rPr>
        <w:color w:val="3370ff"/>
      </w:rPr>
    </w:lvl>
  </w:abstractNum>
  <w:abstractNum w:abstractNumId="668213">
    <w:lvl>
      <w:numFmt w:val="bullet"/>
      <w:suff w:val="tab"/>
      <w:lvlText w:val="•"/>
      <w:rPr>
        <w:color w:val="3370ff"/>
      </w:rPr>
    </w:lvl>
  </w:abstractNum>
  <w:abstractNum w:abstractNumId="668214">
    <w:lvl>
      <w:numFmt w:val="bullet"/>
      <w:suff w:val="tab"/>
      <w:lvlText w:val="•"/>
      <w:rPr>
        <w:color w:val="3370ff"/>
      </w:rPr>
    </w:lvl>
  </w:abstractNum>
  <w:abstractNum w:abstractNumId="668215">
    <w:lvl>
      <w:numFmt w:val="bullet"/>
      <w:suff w:val="tab"/>
      <w:lvlText w:val="•"/>
      <w:rPr>
        <w:color w:val="3370ff"/>
      </w:rPr>
    </w:lvl>
  </w:abstractNum>
  <w:abstractNum w:abstractNumId="668216">
    <w:lvl>
      <w:numFmt w:val="bullet"/>
      <w:suff w:val="tab"/>
      <w:lvlText w:val="•"/>
      <w:rPr>
        <w:color w:val="3370ff"/>
      </w:rPr>
    </w:lvl>
  </w:abstractNum>
  <w:abstractNum w:abstractNumId="668217">
    <w:lvl>
      <w:numFmt w:val="bullet"/>
      <w:suff w:val="tab"/>
      <w:lvlText w:val="•"/>
      <w:rPr>
        <w:color w:val="3370ff"/>
      </w:rPr>
    </w:lvl>
  </w:abstractNum>
  <w:abstractNum w:abstractNumId="668218">
    <w:lvl>
      <w:numFmt w:val="bullet"/>
      <w:suff w:val="tab"/>
      <w:lvlText w:val="•"/>
      <w:rPr>
        <w:color w:val="3370ff"/>
      </w:rPr>
    </w:lvl>
  </w:abstractNum>
  <w:abstractNum w:abstractNumId="668219">
    <w:lvl>
      <w:numFmt w:val="bullet"/>
      <w:suff w:val="tab"/>
      <w:lvlText w:val="•"/>
      <w:rPr>
        <w:color w:val="3370ff"/>
      </w:rPr>
    </w:lvl>
  </w:abstractNum>
  <w:abstractNum w:abstractNumId="668220">
    <w:lvl>
      <w:numFmt w:val="bullet"/>
      <w:suff w:val="tab"/>
      <w:lvlText w:val="•"/>
      <w:rPr>
        <w:color w:val="3370ff"/>
      </w:rPr>
    </w:lvl>
  </w:abstractNum>
  <w:abstractNum w:abstractNumId="668221">
    <w:lvl>
      <w:numFmt w:val="bullet"/>
      <w:suff w:val="tab"/>
      <w:lvlText w:val="•"/>
      <w:rPr>
        <w:color w:val="3370ff"/>
      </w:rPr>
    </w:lvl>
  </w:abstractNum>
  <w:num w:numId="1">
    <w:abstractNumId w:val="668198"/>
  </w:num>
  <w:num w:numId="2">
    <w:abstractNumId w:val="668199"/>
  </w:num>
  <w:num w:numId="3">
    <w:abstractNumId w:val="668200"/>
  </w:num>
  <w:num w:numId="4">
    <w:abstractNumId w:val="668201"/>
  </w:num>
  <w:num w:numId="5">
    <w:abstractNumId w:val="668202"/>
  </w:num>
  <w:num w:numId="6">
    <w:abstractNumId w:val="668203"/>
  </w:num>
  <w:num w:numId="7">
    <w:abstractNumId w:val="668204"/>
  </w:num>
  <w:num w:numId="8">
    <w:abstractNumId w:val="668205"/>
  </w:num>
  <w:num w:numId="9">
    <w:abstractNumId w:val="668206"/>
  </w:num>
  <w:num w:numId="10">
    <w:abstractNumId w:val="668207"/>
  </w:num>
  <w:num w:numId="11">
    <w:abstractNumId w:val="668208"/>
  </w:num>
  <w:num w:numId="12">
    <w:abstractNumId w:val="668209"/>
  </w:num>
  <w:num w:numId="13">
    <w:abstractNumId w:val="668210"/>
  </w:num>
  <w:num w:numId="14">
    <w:abstractNumId w:val="668211"/>
  </w:num>
  <w:num w:numId="15">
    <w:abstractNumId w:val="668212"/>
  </w:num>
  <w:num w:numId="16">
    <w:abstractNumId w:val="668213"/>
  </w:num>
  <w:num w:numId="17">
    <w:abstractNumId w:val="668214"/>
  </w:num>
  <w:num w:numId="18">
    <w:abstractNumId w:val="668215"/>
  </w:num>
  <w:num w:numId="19">
    <w:abstractNumId w:val="668216"/>
  </w:num>
  <w:num w:numId="20">
    <w:abstractNumId w:val="668217"/>
  </w:num>
  <w:num w:numId="21">
    <w:abstractNumId w:val="668218"/>
  </w:num>
  <w:num w:numId="22">
    <w:abstractNumId w:val="668219"/>
  </w:num>
  <w:num w:numId="23">
    <w:abstractNumId w:val="668220"/>
  </w:num>
  <w:num w:numId="24">
    <w:abstractNumId w:val="6682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2026-10-25T04:21:46Z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{"Label":"1","ContentProducer":"001191110102MACQD9K64010000","ProduceID":"7700455836459683105","ReservedCode1":"","ContentPropagator":"","PropagateID":"","ReservedCode2":""}</vt:lpwstr>
  </property>
</Properties>
</file>