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5F1B" w14:textId="77777777" w:rsidR="00B67ABC" w:rsidRPr="0055451C" w:rsidRDefault="00B67ABC" w:rsidP="00B67ABC">
      <w:pPr>
        <w:rPr>
          <w:rFonts w:ascii="Calibri" w:hAnsi="Calibri" w:cs="Calibri"/>
          <w:sz w:val="16"/>
          <w:szCs w:val="16"/>
        </w:rPr>
      </w:pPr>
      <w:r w:rsidRPr="009C3B4B">
        <w:rPr>
          <w:rFonts w:ascii="Calibri" w:hAnsi="Calibri" w:cs="Calibri"/>
          <w:sz w:val="16"/>
          <w:szCs w:val="16"/>
        </w:rPr>
        <w:t>NEURO</w:t>
      </w:r>
      <w:r>
        <w:rPr>
          <w:rFonts w:ascii="Calibri" w:hAnsi="Calibri" w:cs="Calibri"/>
          <w:sz w:val="16"/>
          <w:szCs w:val="16"/>
        </w:rPr>
        <w:t>PHYSIOLOGI</w:t>
      </w:r>
      <w:r w:rsidRPr="009C3B4B">
        <w:rPr>
          <w:rFonts w:ascii="Calibri" w:hAnsi="Calibri" w:cs="Calibri"/>
          <w:sz w:val="16"/>
          <w:szCs w:val="16"/>
        </w:rPr>
        <w:t xml:space="preserve">E </w:t>
      </w:r>
      <w:r>
        <w:rPr>
          <w:rFonts w:ascii="Calibri" w:hAnsi="Calibri" w:cs="Calibri"/>
          <w:sz w:val="16"/>
          <w:szCs w:val="16"/>
        </w:rPr>
        <w:t xml:space="preserve">– </w:t>
      </w:r>
      <w:r w:rsidRPr="0068143C">
        <w:rPr>
          <w:rFonts w:ascii="Calibri" w:hAnsi="Calibri" w:cs="Calibri"/>
          <w:b/>
          <w:bCs/>
          <w:sz w:val="16"/>
          <w:szCs w:val="16"/>
        </w:rPr>
        <w:t xml:space="preserve">DE GUEVERA </w:t>
      </w:r>
      <w:r>
        <w:rPr>
          <w:rFonts w:ascii="Calibri" w:hAnsi="Calibri" w:cs="Calibri"/>
          <w:b/>
          <w:bCs/>
          <w:sz w:val="16"/>
          <w:szCs w:val="16"/>
        </w:rPr>
        <w:t xml:space="preserve">   </w:t>
      </w:r>
      <w:r w:rsidRPr="0068143C">
        <w:rPr>
          <w:rFonts w:ascii="Calibri" w:hAnsi="Calibri" w:cs="Calibri"/>
          <w:b/>
          <w:bCs/>
          <w:sz w:val="16"/>
          <w:szCs w:val="16"/>
        </w:rPr>
        <w:t xml:space="preserve">                        </w:t>
      </w:r>
      <w:r>
        <w:rPr>
          <w:rFonts w:ascii="Calibri" w:hAnsi="Calibri" w:cs="Calibri"/>
          <w:b/>
          <w:bCs/>
          <w:sz w:val="16"/>
          <w:szCs w:val="16"/>
        </w:rPr>
        <w:t xml:space="preserve">   </w:t>
      </w:r>
      <w:r w:rsidRPr="0068143C">
        <w:rPr>
          <w:rFonts w:ascii="Calibri" w:hAnsi="Calibri" w:cs="Calibri"/>
          <w:b/>
          <w:bCs/>
          <w:sz w:val="16"/>
          <w:szCs w:val="16"/>
        </w:rPr>
        <w:t xml:space="preserve">                                                                              </w:t>
      </w:r>
      <w:r>
        <w:rPr>
          <w:rFonts w:ascii="Calibri" w:hAnsi="Calibri" w:cs="Calibri"/>
          <w:b/>
          <w:bCs/>
          <w:sz w:val="16"/>
          <w:szCs w:val="16"/>
        </w:rPr>
        <w:t xml:space="preserve">   </w:t>
      </w:r>
      <w:r w:rsidRPr="0068143C">
        <w:rPr>
          <w:rFonts w:ascii="Calibri" w:hAnsi="Calibri" w:cs="Calibri"/>
          <w:b/>
          <w:bCs/>
          <w:sz w:val="16"/>
          <w:szCs w:val="16"/>
        </w:rPr>
        <w:t xml:space="preserve">  </w:t>
      </w:r>
      <w:r w:rsidRPr="0068143C">
        <w:rPr>
          <w:rFonts w:ascii="Calibri" w:hAnsi="Calibri" w:cs="Calibri"/>
          <w:sz w:val="16"/>
          <w:szCs w:val="16"/>
        </w:rPr>
        <w:t xml:space="preserve">                                                                            </w:t>
      </w:r>
      <w:r w:rsidRPr="00FB6571">
        <w:rPr>
          <w:rFonts w:ascii="Calibri" w:hAnsi="Calibri" w:cs="Calibri"/>
          <w:i/>
          <w:iCs/>
          <w:sz w:val="16"/>
          <w:szCs w:val="16"/>
        </w:rPr>
        <w:t>CM =&gt; 30/03/2026</w:t>
      </w:r>
    </w:p>
    <w:p w14:paraId="430F58FD" w14:textId="3240A97B" w:rsidR="00B67ABC" w:rsidRPr="009C6E44" w:rsidRDefault="00B67ABC" w:rsidP="00B67ABC">
      <w:pPr>
        <w:shd w:val="clear" w:color="auto" w:fill="77206D" w:themeFill="accent5" w:themeFillShade="BF"/>
        <w:tabs>
          <w:tab w:val="left" w:pos="807"/>
          <w:tab w:val="center" w:pos="5230"/>
        </w:tabs>
        <w:jc w:val="center"/>
        <w:rPr>
          <w:rFonts w:ascii="Baguet Script" w:hAnsi="Baguet Script"/>
          <w:color w:val="E59EDC" w:themeColor="accent5" w:themeTint="66"/>
          <w:kern w:val="2"/>
          <w:sz w:val="84"/>
          <w:szCs w:val="84"/>
          <w14:ligatures w14:val="standardContextual"/>
        </w:rPr>
      </w:pPr>
      <w:r w:rsidRPr="009C6E44">
        <w:rPr>
          <w:rFonts w:ascii="Baguet Script" w:hAnsi="Baguet Script"/>
          <w:color w:val="E59EDC" w:themeColor="accent5" w:themeTint="66"/>
          <w:kern w:val="2"/>
          <w:sz w:val="84"/>
          <w:szCs w:val="84"/>
          <w14:ligatures w14:val="standardContextual"/>
        </w:rPr>
        <w:t>Ch</w:t>
      </w:r>
      <w:r>
        <w:rPr>
          <w:rFonts w:ascii="Baguet Script" w:hAnsi="Baguet Script"/>
          <w:color w:val="E59EDC" w:themeColor="accent5" w:themeTint="66"/>
          <w:kern w:val="2"/>
          <w:sz w:val="84"/>
          <w:szCs w:val="84"/>
          <w14:ligatures w14:val="standardContextual"/>
        </w:rPr>
        <w:t>7</w:t>
      </w:r>
      <w:r w:rsidRPr="009C6E44">
        <w:rPr>
          <w:rFonts w:ascii="Cambria" w:hAnsi="Cambria" w:cs="Cambria"/>
          <w:color w:val="E59EDC" w:themeColor="accent5" w:themeTint="66"/>
          <w:kern w:val="2"/>
          <w:sz w:val="84"/>
          <w:szCs w:val="84"/>
          <w14:ligatures w14:val="standardContextual"/>
        </w:rPr>
        <w:t> </w:t>
      </w:r>
      <w:r w:rsidRPr="009C6E44">
        <w:rPr>
          <w:rFonts w:ascii="Baguet Script" w:hAnsi="Baguet Script"/>
          <w:color w:val="E59EDC" w:themeColor="accent5" w:themeTint="66"/>
          <w:kern w:val="2"/>
          <w:sz w:val="84"/>
          <w:szCs w:val="84"/>
          <w14:ligatures w14:val="standardContextual"/>
        </w:rPr>
        <w:t xml:space="preserve">: </w:t>
      </w:r>
      <w:r>
        <w:rPr>
          <w:rFonts w:ascii="Baguet Script" w:hAnsi="Baguet Script"/>
          <w:color w:val="E59EDC" w:themeColor="accent5" w:themeTint="66"/>
          <w:kern w:val="2"/>
          <w:sz w:val="84"/>
          <w:szCs w:val="84"/>
          <w14:ligatures w14:val="standardContextual"/>
        </w:rPr>
        <w:t xml:space="preserve">Sensibilité </w:t>
      </w:r>
      <w:proofErr w:type="spellStart"/>
      <w:r>
        <w:rPr>
          <w:rFonts w:ascii="Baguet Script" w:hAnsi="Baguet Script"/>
          <w:color w:val="E59EDC" w:themeColor="accent5" w:themeTint="66"/>
          <w:kern w:val="2"/>
          <w:sz w:val="84"/>
          <w:szCs w:val="84"/>
          <w14:ligatures w14:val="standardContextual"/>
        </w:rPr>
        <w:t>Trigeminale</w:t>
      </w:r>
      <w:proofErr w:type="spellEnd"/>
    </w:p>
    <w:p w14:paraId="6D6A8AA8" w14:textId="77777777" w:rsidR="00B67ABC" w:rsidRDefault="00B67ABC" w:rsidP="00B67ABC">
      <w:pPr>
        <w:pStyle w:val="p1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0E38352C" w14:textId="59DC307B" w:rsidR="00B67ABC" w:rsidRPr="00B67ABC" w:rsidRDefault="00B67ABC" w:rsidP="00B67ABC">
      <w:pPr>
        <w:pStyle w:val="p1"/>
        <w:jc w:val="both"/>
        <w:rPr>
          <w:rFonts w:ascii="Calibri" w:hAnsi="Calibri" w:cs="Calibri"/>
          <w:sz w:val="20"/>
          <w:szCs w:val="20"/>
        </w:rPr>
      </w:pPr>
      <w:r w:rsidRPr="00B67ABC">
        <w:rPr>
          <w:rFonts w:ascii="Calibri" w:hAnsi="Calibri" w:cs="Calibri"/>
          <w:sz w:val="20"/>
          <w:szCs w:val="20"/>
        </w:rPr>
        <w:t>La sensibilité trigéminale est une sensibilité diffuse, qui n’est associée à aucun organe sensoriel</w:t>
      </w:r>
      <w:r w:rsidRPr="00B67ABC">
        <w:rPr>
          <w:rFonts w:ascii="Calibri" w:hAnsi="Calibri" w:cs="Calibri"/>
          <w:sz w:val="20"/>
          <w:szCs w:val="20"/>
        </w:rPr>
        <w:t xml:space="preserve"> </w:t>
      </w:r>
      <w:r w:rsidRPr="00B67ABC">
        <w:rPr>
          <w:rFonts w:ascii="Calibri" w:hAnsi="Calibri" w:cs="Calibri"/>
          <w:sz w:val="20"/>
          <w:szCs w:val="20"/>
        </w:rPr>
        <w:t>différencié mais à la sensibilité chimique du nerf trijumeau, nerf crânien très polyvalent qui</w:t>
      </w:r>
      <w:r w:rsidRPr="00B67ABC">
        <w:rPr>
          <w:rFonts w:ascii="Calibri" w:hAnsi="Calibri" w:cs="Calibri"/>
          <w:sz w:val="20"/>
          <w:szCs w:val="20"/>
        </w:rPr>
        <w:t xml:space="preserve"> </w:t>
      </w:r>
      <w:r w:rsidRPr="00B67ABC">
        <w:rPr>
          <w:rFonts w:ascii="Calibri" w:hAnsi="Calibri" w:cs="Calibri"/>
          <w:sz w:val="20"/>
          <w:szCs w:val="20"/>
        </w:rPr>
        <w:t>innerve toutes les muqueuses de la face.</w:t>
      </w:r>
    </w:p>
    <w:p w14:paraId="0B7C3072" w14:textId="77777777" w:rsidR="00B67ABC" w:rsidRPr="00B67ABC" w:rsidRDefault="00B67ABC" w:rsidP="00B67ABC">
      <w:pPr>
        <w:pStyle w:val="p1"/>
        <w:jc w:val="both"/>
        <w:rPr>
          <w:rFonts w:ascii="Calibri" w:hAnsi="Calibri" w:cs="Calibri"/>
          <w:sz w:val="20"/>
          <w:szCs w:val="20"/>
        </w:rPr>
      </w:pPr>
    </w:p>
    <w:p w14:paraId="049644BF" w14:textId="63CD9E11" w:rsidR="00B67ABC" w:rsidRPr="00B67ABC" w:rsidRDefault="00B67ABC" w:rsidP="00B67ABC">
      <w:pPr>
        <w:pStyle w:val="p1"/>
        <w:jc w:val="both"/>
        <w:rPr>
          <w:rFonts w:ascii="Calibri" w:hAnsi="Calibri" w:cs="Calibri"/>
          <w:sz w:val="20"/>
          <w:szCs w:val="20"/>
        </w:rPr>
      </w:pPr>
      <w:r w:rsidRPr="00B67ABC">
        <w:rPr>
          <w:rFonts w:ascii="Calibri" w:hAnsi="Calibri" w:cs="Calibri"/>
          <w:sz w:val="20"/>
          <w:szCs w:val="20"/>
        </w:rPr>
        <w:t>Elle correspond, entre autres, au piquant du poivre, au brûlant du piment, du gingembre ou de</w:t>
      </w:r>
      <w:r w:rsidRPr="00B67ABC">
        <w:rPr>
          <w:rFonts w:ascii="Calibri" w:hAnsi="Calibri" w:cs="Calibri"/>
          <w:sz w:val="20"/>
          <w:szCs w:val="20"/>
        </w:rPr>
        <w:t xml:space="preserve"> </w:t>
      </w:r>
      <w:r w:rsidRPr="00B67ABC">
        <w:rPr>
          <w:rFonts w:ascii="Calibri" w:hAnsi="Calibri" w:cs="Calibri"/>
          <w:sz w:val="20"/>
          <w:szCs w:val="20"/>
        </w:rPr>
        <w:t>l’alcool, au rafraîchissant du menthol, à l’astringence des vins rouges tanniques.</w:t>
      </w:r>
    </w:p>
    <w:p w14:paraId="4A44490C" w14:textId="77777777" w:rsidR="00B67ABC" w:rsidRPr="00B67ABC" w:rsidRDefault="00B67ABC" w:rsidP="00B67ABC">
      <w:pPr>
        <w:pStyle w:val="p1"/>
        <w:jc w:val="both"/>
        <w:rPr>
          <w:rFonts w:ascii="Calibri" w:hAnsi="Calibri" w:cs="Calibri"/>
          <w:sz w:val="20"/>
          <w:szCs w:val="20"/>
        </w:rPr>
      </w:pPr>
    </w:p>
    <w:p w14:paraId="62D3CF36" w14:textId="4EFFB901" w:rsidR="00B67ABC" w:rsidRPr="00B67ABC" w:rsidRDefault="00B67ABC" w:rsidP="00B67ABC">
      <w:pPr>
        <w:pStyle w:val="p1"/>
        <w:jc w:val="both"/>
        <w:rPr>
          <w:rFonts w:ascii="Calibri" w:hAnsi="Calibri" w:cs="Calibri"/>
          <w:sz w:val="20"/>
          <w:szCs w:val="20"/>
        </w:rPr>
      </w:pPr>
      <w:r w:rsidRPr="00B67ABC">
        <w:rPr>
          <w:rFonts w:ascii="Calibri" w:hAnsi="Calibri" w:cs="Calibri"/>
          <w:sz w:val="20"/>
          <w:szCs w:val="20"/>
        </w:rPr>
        <w:t>En outre, elle répond à une majorité de molécules odorantes et de molécules sapides présentées</w:t>
      </w:r>
      <w:r w:rsidRPr="00B67ABC">
        <w:rPr>
          <w:rFonts w:ascii="Calibri" w:hAnsi="Calibri" w:cs="Calibri"/>
          <w:sz w:val="20"/>
          <w:szCs w:val="20"/>
        </w:rPr>
        <w:t xml:space="preserve"> </w:t>
      </w:r>
      <w:r w:rsidRPr="00B67ABC">
        <w:rPr>
          <w:rFonts w:ascii="Calibri" w:hAnsi="Calibri" w:cs="Calibri"/>
          <w:sz w:val="20"/>
          <w:szCs w:val="20"/>
        </w:rPr>
        <w:t>à forte concentration.</w:t>
      </w:r>
    </w:p>
    <w:p w14:paraId="72C140ED" w14:textId="77777777" w:rsidR="00B67ABC" w:rsidRPr="00B67ABC" w:rsidRDefault="00B67ABC" w:rsidP="00B67ABC">
      <w:pPr>
        <w:pStyle w:val="p1"/>
        <w:jc w:val="both"/>
        <w:rPr>
          <w:rFonts w:ascii="Calibri" w:hAnsi="Calibri" w:cs="Calibri"/>
          <w:sz w:val="20"/>
          <w:szCs w:val="20"/>
        </w:rPr>
      </w:pPr>
      <w:r w:rsidRPr="00B67ABC">
        <w:rPr>
          <w:rFonts w:ascii="Calibri" w:hAnsi="Calibri" w:cs="Calibri"/>
          <w:sz w:val="20"/>
          <w:szCs w:val="20"/>
        </w:rPr>
        <w:t xml:space="preserve">Par exemple le </w:t>
      </w:r>
      <w:proofErr w:type="spellStart"/>
      <w:r w:rsidRPr="00B67ABC">
        <w:rPr>
          <w:rFonts w:ascii="Calibri" w:hAnsi="Calibri" w:cs="Calibri"/>
          <w:sz w:val="20"/>
          <w:szCs w:val="20"/>
        </w:rPr>
        <w:t>NaCl</w:t>
      </w:r>
      <w:proofErr w:type="spellEnd"/>
      <w:r w:rsidRPr="00B67ABC">
        <w:rPr>
          <w:rFonts w:ascii="Calibri" w:hAnsi="Calibri" w:cs="Calibri"/>
          <w:sz w:val="20"/>
          <w:szCs w:val="20"/>
        </w:rPr>
        <w:t xml:space="preserve"> à 0.1 M est détecté comme salé mais à 1M est irritant.</w:t>
      </w:r>
    </w:p>
    <w:p w14:paraId="2B564A11" w14:textId="77777777" w:rsidR="00B67ABC" w:rsidRDefault="00B67ABC" w:rsidP="00B67ABC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50AA1AA7" w14:textId="68840FA7" w:rsidR="00B67ABC" w:rsidRPr="00B67ABC" w:rsidRDefault="00B67ABC" w:rsidP="00B67ABC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noProof/>
          <w:color w:val="808080" w:themeColor="background1" w:themeShade="80"/>
          <w:sz w:val="20"/>
          <w:szCs w:val="20"/>
          <w:lang w:eastAsia="fr-FR"/>
          <w14:ligatures w14:val="standardContextual"/>
        </w:rPr>
        <w:drawing>
          <wp:inline distT="0" distB="0" distL="0" distR="0" wp14:anchorId="2D5978D3" wp14:editId="58C3721E">
            <wp:extent cx="6197600" cy="3987800"/>
            <wp:effectExtent l="0" t="0" r="0" b="0"/>
            <wp:docPr id="718816315" name="Image 1" descr="Une image contenant text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16315" name="Image 1" descr="Une image contenant texte, diagramme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B3F8" w14:textId="77777777" w:rsidR="00B67ABC" w:rsidRPr="004D2317" w:rsidRDefault="00B67ABC" w:rsidP="00B67ABC">
      <w:pPr>
        <w:pStyle w:val="Paragraphedeliste"/>
        <w:ind w:hanging="360"/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5E6080AD" w14:textId="642CBCE7" w:rsidR="003D2ADF" w:rsidRPr="003F12B0" w:rsidRDefault="003F12B0" w:rsidP="003F12B0">
      <w:pPr>
        <w:pStyle w:val="p1"/>
        <w:jc w:val="both"/>
        <w:rPr>
          <w:rFonts w:ascii="Calibri" w:hAnsi="Calibri" w:cs="Calibri"/>
          <w:sz w:val="20"/>
          <w:szCs w:val="20"/>
        </w:rPr>
      </w:pPr>
      <w:r w:rsidRPr="003F12B0">
        <w:rPr>
          <w:rFonts w:ascii="Calibri" w:hAnsi="Calibri" w:cs="Calibri"/>
          <w:sz w:val="20"/>
          <w:szCs w:val="20"/>
        </w:rPr>
        <w:t xml:space="preserve">Les réponses physiologiques représentent une protection : pleur, salivation, sueur. </w:t>
      </w:r>
    </w:p>
    <w:sectPr w:rsidR="003D2ADF" w:rsidRPr="003F12B0" w:rsidSect="00B67ABC">
      <w:pgSz w:w="11900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guet Script">
    <w:panose1 w:val="00000500000000000000"/>
    <w:charset w:val="4D"/>
    <w:family w:val="auto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F1720"/>
    <w:multiLevelType w:val="hybridMultilevel"/>
    <w:tmpl w:val="C7604D14"/>
    <w:lvl w:ilvl="0" w:tplc="75C2F510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8652BA"/>
    <w:multiLevelType w:val="hybridMultilevel"/>
    <w:tmpl w:val="96E2CD04"/>
    <w:lvl w:ilvl="0" w:tplc="8BF47C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542039">
    <w:abstractNumId w:val="1"/>
  </w:num>
  <w:num w:numId="2" w16cid:durableId="17878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BC"/>
    <w:rsid w:val="003D2ADF"/>
    <w:rsid w:val="003F12B0"/>
    <w:rsid w:val="005A72EC"/>
    <w:rsid w:val="005C627F"/>
    <w:rsid w:val="0060019D"/>
    <w:rsid w:val="0064308D"/>
    <w:rsid w:val="007F4FAD"/>
    <w:rsid w:val="008C5F0B"/>
    <w:rsid w:val="009D00C4"/>
    <w:rsid w:val="00A43769"/>
    <w:rsid w:val="00AF79A9"/>
    <w:rsid w:val="00B67ABC"/>
    <w:rsid w:val="00B9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CAE39F"/>
  <w15:chartTrackingRefBased/>
  <w15:docId w15:val="{D6F662B1-8D6D-8148-B57E-93FD2B02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ABC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67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7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7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7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7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7A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7A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7A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7A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7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7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7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7A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7A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7A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7A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7A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7A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7A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7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7A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7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7A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7A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7A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7A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7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7A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7AB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67ABC"/>
    <w:rPr>
      <w:rFonts w:ascii="Times New Roman" w:eastAsia="Times New Roman" w:hAnsi="Times New Roman" w:cs="Times New Roman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LUCA</dc:creator>
  <cp:keywords/>
  <dc:description/>
  <cp:lastModifiedBy>Camille LUCA</cp:lastModifiedBy>
  <cp:revision>2</cp:revision>
  <dcterms:created xsi:type="dcterms:W3CDTF">2026-03-30T09:32:00Z</dcterms:created>
  <dcterms:modified xsi:type="dcterms:W3CDTF">2026-03-30T12:58:00Z</dcterms:modified>
</cp:coreProperties>
</file>