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Universidad Nacional de Costa Rica</w:t>
      </w:r>
    </w:p>
    <w:p>
      <w:pPr>
        <w:spacing w:after="60"/>
        <w:jc w:val="center"/>
      </w:pPr>
      <w:r>
        <w:rPr>
          <w:rFonts w:ascii="Calibri" w:cs="Calibri" w:eastAsia="Calibri" w:hAnsi="Calibri"/>
          <w:sz w:val="22"/>
          <w:szCs w:val="22"/>
        </w:rPr>
        <w:t xml:space="preserve">Sede Regional Brunca — Campus Coto y Pérez Zeledón</w:t>
      </w:r>
    </w:p>
    <w:p>
      <w:pPr>
        <w:spacing w:after="300"/>
        <w:jc w:val="center"/>
      </w:pPr>
      <w:r>
        <w:rPr>
          <w:rFonts w:ascii="Calibri" w:cs="Calibri" w:eastAsia="Calibri" w:hAnsi="Calibri"/>
          <w:b/>
          <w:bCs/>
          <w:sz w:val="22"/>
          <w:szCs w:val="22"/>
        </w:rPr>
        <w:t xml:space="preserve">EIF207 Estructuras de Datos — Proyecto I (15 %)</w:t>
      </w:r>
    </w:p>
    <w:p>
      <w:pPr>
        <w:pStyle w:val="Title"/>
        <w:spacing w:after="300"/>
        <w:jc w:val="center"/>
      </w:pPr>
      <w:r>
        <w:rPr>
          <w:rFonts w:ascii="Calibri" w:cs="Calibri" w:eastAsia="Calibri" w:hAnsi="Calibri"/>
          <w:sz w:val="32"/>
          <w:szCs w:val="32"/>
        </w:rPr>
        <w:t xml:space="preserve">Informe oficial del proyecto</w:t>
      </w:r>
    </w:p>
    <w:p>
      <w:pPr>
        <w:pStyle w:val="Heading1"/>
        <w:spacing w:after="150" w:before="300"/>
      </w:pPr>
      <w:r>
        <w:t xml:space="preserve">1. Nombre y datos del estudiante</w:t>
      </w:r>
    </w:p>
    <w:p>
      <w:pPr>
        <w:spacing w:after="120"/>
      </w:pPr>
      <w:r>
        <w:rPr>
          <w:rFonts w:ascii="Calibri" w:cs="Calibri" w:eastAsia="Calibri" w:hAnsi="Calibri"/>
          <w:b/>
          <w:bCs/>
          <w:sz w:val="22"/>
          <w:szCs w:val="22"/>
        </w:rPr>
        <w:t xml:space="preserve">Nombre completo: </w:t>
      </w:r>
      <w:r>
        <w:rPr>
          <w:rFonts w:ascii="Calibri" w:cs="Calibri" w:eastAsia="Calibri" w:hAnsi="Calibri"/>
          <w:sz w:val="22"/>
          <w:szCs w:val="22"/>
        </w:rPr>
        <w:t xml:space="preserve">Dylan Mauricio Vargas Azofeifa</w:t>
      </w:r>
    </w:p>
    <w:p>
      <w:pPr>
        <w:spacing w:after="120"/>
      </w:pPr>
      <w:r>
        <w:rPr>
          <w:rFonts w:ascii="Calibri" w:cs="Calibri" w:eastAsia="Calibri" w:hAnsi="Calibri"/>
          <w:b/>
          <w:bCs/>
          <w:sz w:val="22"/>
          <w:szCs w:val="22"/>
        </w:rPr>
        <w:t xml:space="preserve">Cédula: </w:t>
      </w:r>
      <w:r>
        <w:rPr>
          <w:rFonts w:ascii="Calibri" w:cs="Calibri" w:eastAsia="Calibri" w:hAnsi="Calibri"/>
          <w:sz w:val="22"/>
          <w:szCs w:val="22"/>
        </w:rPr>
        <w:t xml:space="preserve">119530672</w:t>
      </w:r>
    </w:p>
    <w:p>
      <w:pPr>
        <w:spacing w:after="120"/>
      </w:pPr>
      <w:r>
        <w:rPr>
          <w:rFonts w:ascii="Calibri" w:cs="Calibri" w:eastAsia="Calibri" w:hAnsi="Calibri"/>
          <w:b/>
          <w:bCs/>
          <w:sz w:val="22"/>
          <w:szCs w:val="22"/>
        </w:rPr>
        <w:t xml:space="preserve">Grupo: </w:t>
      </w:r>
      <w:r>
        <w:rPr>
          <w:rFonts w:ascii="Calibri" w:cs="Calibri" w:eastAsia="Calibri" w:hAnsi="Calibri"/>
          <w:sz w:val="22"/>
          <w:szCs w:val="22"/>
        </w:rPr>
        <w:t xml:space="preserve">___________  (completar)</w:t>
      </w:r>
    </w:p>
    <w:p>
      <w:pPr>
        <w:pStyle w:val="Heading1"/>
        <w:spacing w:after="150" w:before="300"/>
      </w:pPr>
      <w:r>
        <w:t xml:space="preserve">2. Relación entre las estructuras utilizadas</w:t>
      </w:r>
    </w:p>
    <w:p>
      <w:pPr>
        <w:spacing w:after="120"/>
      </w:pPr>
      <w:r>
        <w:rPr>
          <w:rFonts w:ascii="Calibri" w:cs="Calibri" w:eastAsia="Calibri" w:hAnsi="Calibri"/>
          <w:sz w:val="22"/>
          <w:szCs w:val="22"/>
        </w:rPr>
        <w:t xml:space="preserve">Diagrama de alto nivel:</w:t>
      </w:r>
    </w:p>
    <w:p>
      <w:pPr>
        <w:spacing w:after="0"/>
      </w:pPr>
      <w:r>
        <w:rPr>
          <w:rFonts w:ascii="Consolas" w:cs="Consolas" w:eastAsia="Consolas" w:hAnsi="Consolas"/>
          <w:sz w:val="19"/>
          <w:szCs w:val="19"/>
        </w:rPr>
        <w:t xml:space="preserve">PieceQueue (cola) --&gt; GameEngine --&gt; Board (lista de filas)</w:t>
      </w:r>
    </w:p>
    <w:p>
      <w:pPr>
        <w:spacing w:after="0"/>
      </w:pPr>
      <w:r>
        <w:rPr>
          <w:rFonts w:ascii="Consolas" w:cs="Consolas" w:eastAsia="Consolas" w:hAnsi="Consolas"/>
          <w:sz w:val="19"/>
          <w:szCs w:val="19"/>
        </w:rPr>
        <w:t xml:space="preserve">HoldStack (pila)  --------^              ^</w:t>
      </w:r>
    </w:p>
    <w:p>
      <w:pPr>
        <w:spacing w:after="0"/>
      </w:pPr>
      <w:r>
        <w:rPr>
          <w:rFonts w:ascii="Consolas" w:cs="Consolas" w:eastAsia="Consolas" w:hAnsi="Consolas"/>
          <w:sz w:val="19"/>
          <w:szCs w:val="19"/>
        </w:rPr>
        <w:t xml:space="preserve">MoveList (lista doble) ---^              |</w:t>
      </w:r>
    </w:p>
    <w:p>
      <w:pPr>
        <w:spacing w:after="0"/>
      </w:pPr>
      <w:r>
        <w:rPr>
          <w:rFonts w:ascii="Consolas" w:cs="Consolas" w:eastAsia="Consolas" w:hAnsi="Consolas"/>
          <w:sz w:val="19"/>
          <w:szCs w:val="19"/>
        </w:rPr>
        <w:t xml:space="preserve">EventQueue (cola ordenada) --------------+</w:t>
      </w:r>
    </w:p>
    <w:p>
      <w:pPr>
        <w:spacing w:after="0"/>
      </w:pPr>
      <w:r>
        <w:rPr>
          <w:rFonts w:ascii="Consolas" w:cs="Consolas" w:eastAsia="Consolas" w:hAnsi="Consolas"/>
          <w:sz w:val="19"/>
          <w:szCs w:val="19"/>
        </w:rPr>
        <w:t xml:space="preserve">ScoreBoard (arreglo + sort) --------------(al finalizar la partida)</w:t>
      </w:r>
    </w:p>
    <w:p>
      <w:pPr>
        <w:spacing w:after="120" w:before="150"/>
      </w:pPr>
      <w:r>
        <w:rPr>
          <w:rFonts w:ascii="Calibri" w:cs="Calibri" w:eastAsia="Calibri" w:hAnsi="Calibri"/>
          <w:sz w:val="22"/>
          <w:szCs w:val="22"/>
        </w:rPr>
        <w:t xml:space="preserve">GameEngine es el único componente que conoce y coordina las 6 estructuras; ninguna estructura depende de otra directamente. La capa de render (SFML) solo lee el estado de GameEngine para dibujar.</w:t>
      </w:r>
    </w:p>
    <w:p>
      <w:pPr>
        <w:pStyle w:val="Heading1"/>
        <w:spacing w:after="150" w:before="300"/>
      </w:pPr>
      <w:r>
        <w:t xml:space="preserve">3. Complejidad teórica (notación asintótica) por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shd w:fill="2471A3"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Estructura</w:t>
            </w:r>
          </w:p>
        </w:tc>
        <w:tc>
          <w:tcPr>
            <w:tcW w:type="dxa" w:w="2200"/>
            <w:shd w:fill="2471A3"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Operación</w:t>
            </w:r>
          </w:p>
        </w:tc>
        <w:tc>
          <w:tcPr>
            <w:tcW w:type="dxa" w:w="2200"/>
            <w:shd w:fill="2471A3"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Complejidad</w:t>
            </w:r>
          </w:p>
        </w:tc>
        <w:tc>
          <w:tcPr>
            <w:tcW w:type="dxa" w:w="3460"/>
            <w:shd w:fill="2471A3"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Explicación breve</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PieceQueue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encolar</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O(1)</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puntero al final</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PieceQueue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desencolar</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O(1)</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puntero al frente</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PieceQueue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consultar(i)</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O(i)</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recorrido desde el frente</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HoldStack</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push / pop / peek</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O(1)</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acceso directo, capacidad 1</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MoveList</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registrar</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O(1) amortizado*</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*O(k) si trunca k nodos de un redo pendiente</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MoveList</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deshacer / rehacer</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O(1)</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mover el cursor un nodo</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EventQueue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insertarOrdenado</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O(n) peor caso</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recorrido hasta la posición correcta</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EventQueue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extraerFrente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O(1)</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el frente ya es el mínimo</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Board</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obtenerFila(i)</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O(i)</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recorrido desde la primera fila</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Board</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filaCompleta</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O(10) = O(1)</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número fijo de columnas</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Board</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limpiarFilasCompletas</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O(20×10) = O(1) amortizado</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tamaño fijo del tablero</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insertionSort</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ordenar n elementos</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O(n²) peor/prom., O(n) mejor caso</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arreglo casi ordenado</w:t>
            </w:r>
          </w:p>
        </w:tc>
      </w:tr>
      <w:tr>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mergeSort</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ordenar n elementos</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O(n log n) en todos los casos</w:t>
            </w:r>
          </w:p>
        </w:tc>
        <w:tc>
          <w:tcPr>
            <w:tcW w:type="dxa" w:w="346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divide y vencerás</w:t>
            </w:r>
          </w:p>
        </w:tc>
      </w:tr>
    </w:tbl>
    <w:p>
      <w:pPr>
        <w:pStyle w:val="Heading1"/>
        <w:spacing w:after="150" w:before="300"/>
      </w:pPr>
      <w:r>
        <w:t xml:space="preserve">4. Tiempos medidos</w:t>
      </w:r>
    </w:p>
    <w:p>
      <w:pPr>
        <w:spacing w:after="120"/>
      </w:pPr>
      <w:r>
        <w:rPr>
          <w:rFonts w:ascii="Calibri" w:cs="Calibri" w:eastAsia="Calibri" w:hAnsi="Calibri"/>
          <w:sz w:val="22"/>
          <w:szCs w:val="22"/>
        </w:rPr>
        <w:t xml:space="preserve">Tabla generada con Benchmark::ejecutarComparacion (modo --benchmark), tamaños {10, 100, 1000, 10000}, promediando múltiples repeticiones por medición: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shd w:fill="2471A3"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w:t>
            </w:r>
          </w:p>
        </w:tc>
        <w:tc>
          <w:tcPr>
            <w:tcW w:type="dxa" w:w="3900"/>
            <w:shd w:fill="2471A3"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insertion sort (ms)</w:t>
            </w:r>
          </w:p>
        </w:tc>
        <w:tc>
          <w:tcPr>
            <w:tcW w:type="dxa" w:w="3900"/>
            <w:shd w:fill="2471A3"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merge sort (ms)</w:t>
            </w:r>
          </w:p>
        </w:tc>
      </w:tr>
      <w:tr>
        <w:tc>
          <w:tcPr>
            <w:tcW w:type="dxa" w:w="156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0.000143</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0.000406</w:t>
            </w:r>
          </w:p>
        </w:tc>
      </w:tr>
      <w:tr>
        <w:tc>
          <w:tcPr>
            <w:tcW w:type="dxa" w:w="156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100</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0.00706</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0.00474</w:t>
            </w:r>
          </w:p>
        </w:tc>
      </w:tr>
      <w:tr>
        <w:tc>
          <w:tcPr>
            <w:tcW w:type="dxa" w:w="156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1000</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0.950211</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0.120244</w:t>
            </w:r>
          </w:p>
        </w:tc>
      </w:tr>
      <w:tr>
        <w:tc>
          <w:tcPr>
            <w:tcW w:type="dxa" w:w="1560"/>
            <w:tcMar>
              <w:top w:type="dxa" w:w="60"/>
              <w:left w:type="dxa" w:w="100"/>
              <w:bottom w:type="dxa" w:w="60"/>
              <w:right w:type="dxa" w:w="100"/>
            </w:tcMar>
            <w:vAlign w:val="center"/>
          </w:tcPr>
          <w:p>
            <w:pPr>
              <w:jc w:val="center"/>
            </w:pPr>
            <w:r>
              <w:rPr>
                <w:rFonts w:ascii="Calibri" w:cs="Calibri" w:eastAsia="Calibri" w:hAnsi="Calibri"/>
                <w:b w:val="false"/>
                <w:bCs w:val="false"/>
                <w:color w:val="000000"/>
                <w:sz w:val="20"/>
                <w:szCs w:val="20"/>
              </w:rPr>
              <w:t xml:space="preserve">10000</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74.179</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2.280</w:t>
            </w:r>
          </w:p>
        </w:tc>
      </w:tr>
    </w:tbl>
    <w:p>
      <w:pPr>
        <w:spacing w:after="100" w:before="200"/>
      </w:pPr>
      <w:r>
        <w:rPr>
          <w:rFonts w:ascii="Calibri" w:cs="Calibri" w:eastAsia="Calibri" w:hAnsi="Calibri"/>
          <w:sz w:val="22"/>
          <w:szCs w:val="22"/>
        </w:rPr>
        <w:t xml:space="preserve">Gráfico (escala logarítmica en ambos ejes, para poder comparar tiempos de magnitudes tan distintas en un mismo plano):</w:t>
      </w:r>
    </w:p>
    <w:p>
      <w:pPr>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857500"/>
                    </a:xfrm>
                    <a:prstGeom prst="rect">
                      <a:avLst/>
                    </a:prstGeom>
                  </pic:spPr>
                </pic:pic>
              </a:graphicData>
            </a:graphic>
          </wp:inline>
        </w:drawing>
      </w:r>
    </w:p>
    <w:p>
      <w:pPr>
        <w:pStyle w:val="Heading1"/>
        <w:spacing w:after="150" w:before="300"/>
      </w:pPr>
      <w:r>
        <w:t xml:space="preserve">5. Respuestas a las preguntas de análisis (sección 7 del enunciado)</w:t>
      </w:r>
    </w:p>
    <w:p>
      <w:pPr>
        <w:pStyle w:val="Heading2"/>
        <w:spacing w:after="100" w:before="200"/>
      </w:pPr>
      <w:r>
        <w:t xml:space="preserve">5.1 Compare O(n²) vs O(n log n) para tamaños crecientes. ¿A partir de qué tamaño se nota la diferencia? ¿Coincide con la notación asintótica?</w:t>
      </w:r>
    </w:p>
    <w:p>
      <w:pPr>
        <w:spacing w:after="120"/>
      </w:pPr>
      <w:r>
        <w:rPr>
          <w:rFonts w:ascii="Calibri" w:cs="Calibri" w:eastAsia="Calibri" w:hAnsi="Calibri"/>
          <w:sz w:val="22"/>
          <w:szCs w:val="22"/>
        </w:rPr>
        <w:t xml:space="preserve">Para n=10 y n=100 los tiempos son prácticamente indistinguibles entre sí (fracciones de milisegundo en ambos algoritmos), e incluso insertion sort es un poco más rápido en algunos de esos tamaños: con tan pocos datos, el costo fijo de mergeSort (dividir el arreglo y hacer merge de sublistas) pesa más que su ventaja asintótica.</w:t>
      </w:r>
    </w:p>
    <w:p>
      <w:pPr>
        <w:spacing w:after="120"/>
      </w:pPr>
      <w:r>
        <w:rPr>
          <w:rFonts w:ascii="Calibri" w:cs="Calibri" w:eastAsia="Calibri" w:hAnsi="Calibri"/>
          <w:sz w:val="22"/>
          <w:szCs w:val="22"/>
        </w:rPr>
        <w:t xml:space="preserve">La diferencia se empieza a notar claramente a partir de n=1000: insertion sort tarda 0.950 ms contra 0.120 ms de merge sort, es decir, insertion sort ya es cerca de 7.9 veces más lento. Para n=10000 la diferencia se vuelve dramática: 74.179 ms contra 2.280 ms, unas 32.5 veces más lento.</w:t>
      </w:r>
    </w:p>
    <w:p>
      <w:pPr>
        <w:spacing w:after="120"/>
      </w:pPr>
      <w:r>
        <w:rPr>
          <w:rFonts w:ascii="Calibri" w:cs="Calibri" w:eastAsia="Calibri" w:hAnsi="Calibri"/>
          <w:sz w:val="22"/>
          <w:szCs w:val="22"/>
        </w:rPr>
        <w:t xml:space="preserve">Esto coincide con la notación asintótica: al multiplicar n por 10 (de 1000 a 10000), insertion sort (O(n²)) multiplica su tiempo por cerca de 78 (cercano al 100 teórico), mientras que merge sort (O(n log n)) solo lo multiplica por cerca de 19, mucho más cerca del crecimiento logarítmico adicional esperado que del crecimiento cuadrático. En otras palabras, mientras más crece n, más domina el término n² de insertion sort frente al término n·log(n) de merge sort, exactamente como predice la teoría.</w:t>
      </w:r>
    </w:p>
    <w:p>
      <w:pPr>
        <w:pStyle w:val="Heading2"/>
        <w:spacing w:after="100" w:before="200"/>
      </w:pPr>
      <w:r>
        <w:t xml:space="preserve">5.2 ¿Por qué representar el tablero como lista enlazada de filas es razonable, y qué costo tiene insertar una fila vacía y eliminar una fila completa?</w:t>
      </w:r>
    </w:p>
    <w:p>
      <w:pPr>
        <w:spacing w:after="120"/>
      </w:pPr>
      <w:r>
        <w:rPr>
          <w:rFonts w:ascii="Calibri" w:cs="Calibri" w:eastAsia="Calibri" w:hAnsi="Calibri"/>
          <w:sz w:val="22"/>
          <w:szCs w:val="22"/>
        </w:rPr>
        <w:t xml:space="preserve">Es razonable porque el tablero cambia de tamaño de forma estructural (se "pierden" filas completas y aparecen filas vacías arriba) en vez de solo modificar contenido celda por celda; una lista enlazada modela ese cambio estructural como una operación de punteros en O(1) por fila, sin necesidad de desplazar memoria de las demás filas — a diferencia de un arreglo 2D, donde ese mismo efecto requiere mover (memmove) todas las celdas de las filas superiores.</w:t>
      </w:r>
    </w:p>
    <w:p>
      <w:pPr>
        <w:pStyle w:val="Heading2"/>
        <w:spacing w:after="100" w:before="200"/>
      </w:pPr>
      <w:r>
        <w:t xml:space="preserve">5.3 ¿Por qué el replay requiere lista doblemente enlazada y no simplemente enlazada? ¿Qué costo tiene retroceder o avanzar un paso?</w:t>
      </w:r>
    </w:p>
    <w:p>
      <w:pPr>
        <w:spacing w:after="120"/>
      </w:pPr>
      <w:r>
        <w:rPr>
          <w:rFonts w:ascii="Calibri" w:cs="Calibri" w:eastAsia="Calibri" w:hAnsi="Calibri"/>
          <w:sz w:val="22"/>
          <w:szCs w:val="22"/>
        </w:rPr>
        <w:t xml:space="preserve">Retroceder un paso requiere ir del nodo actual al anterior. Con enlace simple, la única forma de "retroceder" sería recorrer de nuevo desde la cabeza hasta el nodo previo al actual, en O(n). Con enlace doble, el puntero anterior permite hacerlo directamente en O(1). Avanzar (redo) es O(1) en ambos casos porque solo requiere el puntero siguiente, que sí existe en una lista simple — pero como también se necesita retroceder, la lista debe ser doble.</w:t>
      </w:r>
    </w:p>
    <w:p>
      <w:pPr>
        <w:pStyle w:val="Heading2"/>
        <w:spacing w:after="100" w:before="200"/>
      </w:pPr>
      <w:r>
        <w:t xml:space="preserve">5.4 ¿Cómo garantiza la cola de eventos que el frente sea siempre el próximo en dispararse? ¿Qué complejidad tiene insertar un evento?</w:t>
      </w:r>
    </w:p>
    <w:p>
      <w:pPr>
        <w:spacing w:after="120"/>
      </w:pPr>
      <w:r>
        <w:rPr>
          <w:rFonts w:ascii="Calibri" w:cs="Calibri" w:eastAsia="Calibri" w:hAnsi="Calibri"/>
          <w:sz w:val="22"/>
          <w:szCs w:val="22"/>
        </w:rPr>
        <w:t xml:space="preserve">Cada inserción busca activamente la posición correcta según momentoDisparo (nunca se inserta al final sin más), de modo que la cola queda ordenada de menor a mayor tiempo en todo momento; por construcción, el nodo al frente es siempre el de menor tiempo, es decir, el próximo en dispararse. Insertar cuesta O(1) en el mejor caso (el nuevo evento va al frente) y O(n) en el peor caso (debe recorrerse toda la cola porque va al final).</w:t>
      </w:r>
    </w:p>
    <w:p>
      <w:pPr>
        <w:pStyle w:val="Heading1"/>
        <w:spacing w:after="150" w:before="300"/>
      </w:pPr>
      <w:r>
        <w:t xml:space="preserve">6. Limitaciones conocidas</w:t>
      </w:r>
    </w:p>
    <w:p>
      <w:pPr>
        <w:pStyle w:val="ListParagraph"/>
        <w:numPr>
          <w:ilvl w:val="0"/>
          <w:numId w:val="1"/>
        </w:numPr>
        <w:spacing w:after="80"/>
      </w:pPr>
      <w:r>
        <w:rPr>
          <w:rFonts w:ascii="Calibri" w:cs="Calibri" w:eastAsia="Calibri" w:hAnsi="Calibri"/>
          <w:sz w:val="22"/>
          <w:szCs w:val="22"/>
        </w:rPr>
        <w:t xml:space="preserve">La rotación no implementa sistema de wall kick: si la pieza no cabe en la orientación siguiente, simplemente no rota.</w:t>
      </w:r>
    </w:p>
    <w:p>
      <w:pPr>
        <w:pStyle w:val="ListParagraph"/>
        <w:numPr>
          <w:ilvl w:val="0"/>
          <w:numId w:val="1"/>
        </w:numPr>
        <w:spacing w:after="80"/>
      </w:pPr>
      <w:r>
        <w:rPr>
          <w:rFonts w:ascii="Calibri" w:cs="Calibri" w:eastAsia="Calibri" w:hAnsi="Calibri"/>
          <w:sz w:val="22"/>
          <w:szCs w:val="22"/>
        </w:rPr>
        <w:t xml:space="preserve">El deshacer/rehacer (Z/X) solo aplica a la pieza actualmente en juego; no retrocede piezas que ya se fijaron al tablero.</w:t>
      </w:r>
    </w:p>
    <w:p>
      <w:pPr>
        <w:pStyle w:val="ListParagraph"/>
        <w:numPr>
          <w:ilvl w:val="0"/>
          <w:numId w:val="1"/>
        </w:numPr>
        <w:spacing w:after="80"/>
      </w:pPr>
      <w:r>
        <w:rPr>
          <w:rFonts w:ascii="Calibri" w:cs="Calibri" w:eastAsia="Calibri" w:hAnsi="Calibri"/>
          <w:sz w:val="22"/>
          <w:szCs w:val="22"/>
        </w:rPr>
        <w:t xml:space="preserve">Se implementó la animación de parpadeo al limpiar líneas completas, pero no una animación de caída suave de la pieza activa (esta se dibuja en su posición exacta de cuadrícula en cada paso).</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b4cc34e46e38b41205ff1b3f073d07589842d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2026-09-26T20:28:17.494Z</dcterms:created>
  <dcterms:modified xsi:type="dcterms:W3CDTF">2026-09-26T20:28:17.502Z</dcterms:modified>
</cp:coreProperties>
</file>

<file path=docProps/custom.xml><?xml version="1.0" encoding="utf-8"?>
<Properties xmlns="http://schemas.openxmlformats.org/officeDocument/2006/custom-properties" xmlns:vt="http://schemas.openxmlformats.org/officeDocument/2006/docPropsVTypes"/>
</file>