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CC2F6">
      <w:pPr>
        <w:bidi w:val="0"/>
        <w:jc w:val="center"/>
        <w:rPr>
          <w:rFonts w:hint="eastAsia"/>
          <w:sz w:val="72"/>
          <w:szCs w:val="72"/>
          <w:lang w:eastAsia="en-US"/>
        </w:rPr>
      </w:pPr>
    </w:p>
    <w:p w14:paraId="0E1494FF">
      <w:pPr>
        <w:bidi w:val="0"/>
        <w:jc w:val="center"/>
        <w:rPr>
          <w:rFonts w:hint="eastAsia"/>
          <w:sz w:val="72"/>
          <w:szCs w:val="72"/>
          <w:lang w:eastAsia="en-US"/>
        </w:rPr>
      </w:pPr>
      <w:r>
        <w:rPr>
          <w:rFonts w:hint="eastAsia"/>
          <w:sz w:val="72"/>
          <w:szCs w:val="72"/>
          <w:lang w:eastAsia="en-US"/>
        </w:rPr>
        <w:t>扫码点餐不该成为入场券：数字生活需要保留“非智能</w:t>
      </w:r>
      <w:r>
        <w:rPr>
          <w:rFonts w:hint="eastAsia"/>
          <w:sz w:val="72"/>
          <w:szCs w:val="72"/>
          <w:lang w:eastAsia="zh-CN"/>
        </w:rPr>
        <w:t>”</w:t>
      </w:r>
      <w:r>
        <w:rPr>
          <w:rFonts w:hint="eastAsia"/>
          <w:sz w:val="72"/>
          <w:szCs w:val="72"/>
          <w:lang w:eastAsia="en-US"/>
        </w:rPr>
        <w:t>的选择</w:t>
      </w:r>
    </w:p>
    <w:p w14:paraId="74B1EF20">
      <w:pPr>
        <w:bidi w:val="0"/>
        <w:jc w:val="left"/>
        <w:rPr>
          <w:rFonts w:hint="eastAsia"/>
          <w:sz w:val="28"/>
          <w:szCs w:val="28"/>
          <w:lang w:eastAsia="en-US"/>
        </w:rPr>
      </w:pPr>
    </w:p>
    <w:p w14:paraId="1D31F748">
      <w:pPr>
        <w:bidi w:val="0"/>
        <w:jc w:val="left"/>
        <w:rPr>
          <w:rFonts w:hint="eastAsia"/>
          <w:sz w:val="28"/>
          <w:szCs w:val="28"/>
          <w:lang w:eastAsia="en-US"/>
        </w:rPr>
      </w:pPr>
    </w:p>
    <w:p w14:paraId="63AB6578">
      <w:pPr>
        <w:bidi w:val="0"/>
        <w:jc w:val="left"/>
        <w:rPr>
          <w:rFonts w:hint="eastAsia"/>
          <w:sz w:val="28"/>
          <w:szCs w:val="28"/>
          <w:lang w:eastAsia="en-US"/>
        </w:rPr>
      </w:pPr>
    </w:p>
    <w:p w14:paraId="6D858F7C">
      <w:pPr>
        <w:bidi w:val="0"/>
        <w:jc w:val="left"/>
        <w:rPr>
          <w:rFonts w:hint="eastAsia"/>
          <w:sz w:val="28"/>
          <w:szCs w:val="28"/>
          <w:lang w:eastAsia="en-US"/>
        </w:rPr>
      </w:pPr>
    </w:p>
    <w:p w14:paraId="1B02BDC1">
      <w:pPr>
        <w:bidi w:val="0"/>
        <w:jc w:val="left"/>
        <w:rPr>
          <w:rFonts w:hint="eastAsia"/>
          <w:sz w:val="28"/>
          <w:szCs w:val="28"/>
          <w:lang w:eastAsia="en-US"/>
        </w:rPr>
      </w:pPr>
    </w:p>
    <w:p w14:paraId="6C4BCB86">
      <w:pPr>
        <w:bidi w:val="0"/>
        <w:jc w:val="left"/>
        <w:rPr>
          <w:rFonts w:hint="eastAsia"/>
          <w:sz w:val="28"/>
          <w:szCs w:val="28"/>
          <w:lang w:eastAsia="en-US"/>
        </w:rPr>
      </w:pPr>
    </w:p>
    <w:p w14:paraId="7C42D47A">
      <w:pPr>
        <w:bidi w:val="0"/>
        <w:jc w:val="left"/>
        <w:rPr>
          <w:rFonts w:hint="eastAsia"/>
          <w:sz w:val="28"/>
          <w:szCs w:val="28"/>
          <w:lang w:eastAsia="en-US"/>
        </w:rPr>
      </w:pPr>
    </w:p>
    <w:p w14:paraId="45C4C015">
      <w:pPr>
        <w:bidi w:val="0"/>
        <w:jc w:val="left"/>
        <w:rPr>
          <w:rFonts w:hint="eastAsia"/>
          <w:sz w:val="28"/>
          <w:szCs w:val="28"/>
          <w:lang w:eastAsia="en-US"/>
        </w:rPr>
      </w:pPr>
    </w:p>
    <w:p w14:paraId="504A1C2E">
      <w:pPr>
        <w:bidi w:val="0"/>
        <w:jc w:val="left"/>
        <w:rPr>
          <w:rFonts w:hint="eastAsia"/>
          <w:sz w:val="28"/>
          <w:szCs w:val="28"/>
          <w:lang w:eastAsia="en-US"/>
        </w:rPr>
      </w:pPr>
    </w:p>
    <w:p w14:paraId="5D9F5253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学生姓名：李昀橦 LI Yuntong</w:t>
      </w:r>
    </w:p>
    <w:p w14:paraId="70766131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学生证编号：20944800</w:t>
      </w:r>
    </w:p>
    <w:p w14:paraId="55C42709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所属课程及班级：LANG1424P (T04)</w:t>
      </w:r>
    </w:p>
    <w:p w14:paraId="6757FD64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选材范围：科技与文化</w:t>
      </w:r>
    </w:p>
    <w:p w14:paraId="7588C890">
      <w:pPr>
        <w:rPr>
          <w:rFonts w:hint="eastAsia"/>
          <w:lang w:eastAsia="en-US"/>
        </w:rPr>
      </w:pPr>
      <w:r>
        <w:rPr>
          <w:rFonts w:hint="eastAsia"/>
          <w:lang w:eastAsia="en-US"/>
        </w:rPr>
        <w:br w:type="page"/>
      </w:r>
    </w:p>
    <w:p w14:paraId="4DCAFFF5">
      <w:pPr>
        <w:bidi w:val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b/>
          <w:color w:val="000000"/>
          <w:kern w:val="0"/>
          <w:sz w:val="28"/>
          <w:szCs w:val="22"/>
          <w:lang w:eastAsia="en-US"/>
        </w:rPr>
        <w:t>扫</w:t>
      </w:r>
      <w:r>
        <w:rPr>
          <w:rFonts w:ascii="Times New Roman" w:hAnsi="Times New Roman" w:eastAsia="宋体" w:cs="Times New Roman"/>
          <w:b/>
          <w:color w:val="000000"/>
          <w:kern w:val="0"/>
          <w:sz w:val="28"/>
          <w:szCs w:val="22"/>
          <w:highlight w:val="none"/>
          <w:lang w:eastAsia="en-US"/>
        </w:rPr>
        <w:t>码点餐不该成为入场券：数字生活需要保留“非智能”的选择</w:t>
      </w:r>
    </w:p>
    <w:p w14:paraId="083702E1">
      <w:pPr>
        <w:widowControl/>
        <w:spacing w:after="120" w:line="276" w:lineRule="auto"/>
        <w:ind w:firstLine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如今，在大学校园和商场用餐时，扫码点餐已经成为常见动作。对熟悉手机应用的大学生而言，二维码确实节省时间：不用等服务员，不必反复确认菜单，也能快速付款。然而，一个技术在年轻人手中显得自然，并不代表它可以成为所有人的默认入口。本文的立场是：扫码点餐和移动支付的价值在于提升效率，不应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val="en-US" w:eastAsia="zh-CN"/>
        </w:rPr>
        <w:t>该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把智能手机变成参与日常消费的门槛。数字生活可以更方便，但不应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val="en-US" w:eastAsia="zh-CN"/>
        </w:rPr>
        <w:t>该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让不会扫码、不能扫码或不愿交出个人资料的人被排除在外。</w:t>
      </w:r>
    </w:p>
    <w:p w14:paraId="0038AA69">
      <w:pPr>
        <w:widowControl/>
        <w:spacing w:after="120" w:line="276" w:lineRule="auto"/>
        <w:ind w:firstLine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val="en-US" w:eastAsia="zh-CN"/>
        </w:rPr>
        <w:t>首先，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这个议题值得放在“文化”层面讨论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zh-CN"/>
        </w:rPr>
        <w:t>。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因为扫码点餐不只是餐厅管理工具，也改变了我们对服务、效率和“正常消费者”的想象。过去，顾客进入餐厅后只需阅读餐牌、向职员表达选择；现在，顾客往往要先完成扫码、授权、登录和选择支付方式等操作，才能进入点餐流程。技术在这里重新定义了“会消费”的标准：理想顾客被假定为有智能手机、有流量、有电量、懂应用界面，并愿意被平台记录的人。正是这种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val="en-US" w:eastAsia="zh-CN"/>
        </w:rPr>
        <w:t>社会中的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默认假设，使一个细小的消费环节具有文化评论的意义。《法治日报》关于“万物皆扫码”的讨论也指出，强制扫码背后常伴随过度收集个人信息和隐私安全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争议（法治日报，2024）。因此，扫码点餐的争议不只是操作问题，而是数字化生活如何安排人与服务之间的关系。</w:t>
      </w:r>
    </w:p>
    <w:p w14:paraId="58E8F459">
      <w:pPr>
        <w:widowControl/>
        <w:spacing w:after="120" w:line="276" w:lineRule="auto"/>
        <w:ind w:firstLine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扫码点餐最容易被合理化的理由是效率。餐厅人手不足时，电子系统可以减少落单错误和等待时间；消费者也能直接查看图片、价格和优惠。因此，我并不主张回到完全人工点餐的旧模式。问题在于，一些餐厅并不是把二维码作为选择之一，而是把它变成唯一通道。香港消费者委员会在2023年指出，二维码点餐曾引发收费争议，并提醒食肆必须在交易前清楚显示收费，确保餐牌、点餐系统和店内告示内容一致，同时也应照顾不熟悉电子落单系统的人士，提供传统点餐方式或相关协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助（香港消费者委员会，2023）。这说明争议并不只是“会不会用手机”，还包括消费者是否能在电子界面中获得清晰、公平的信息。</w:t>
      </w:r>
    </w:p>
    <w:p w14:paraId="62653C2E">
      <w:pPr>
        <w:widowControl/>
        <w:spacing w:after="120" w:line="276" w:lineRule="auto"/>
        <w:ind w:firstLine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更值得注意的是，高普及率并不等于没有排除。香港政府统计处的调查显示，2024年香港10岁及以上人士的智能手机拥有率为96.3%，65岁及以上人士的拥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有率为88.0%；但15岁及以上人士过去12个月曾使用流动支付的比例为65.6%（香港政府统计处，2025）。换言之，拥有智能手机、会稳定上网、懂得使用餐厅小程序、愿意绑定支付工具，是几件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不同的事情。内地近年也把支付包容性列为公共议题。国务院办公厅2024年提出，应推动移动支付、银行卡和现金并行发展，以满足老年人、外籍来华人员等群体的多样化支付需求（国务院办公厅，2024）。人民日报/人民网也报道，人民银行通过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公布拒收现金处罚案例维护人民币法定地位，提醒经营主体不得对现金支付设置门槛（人民日报/人民网，2024）。这些资料共同说明，数字化若缺少替代路径，便利就会变成新的不便。</w:t>
      </w:r>
    </w:p>
    <w:p w14:paraId="697925C9">
      <w:pPr>
        <w:widowControl/>
        <w:spacing w:after="120" w:line="276" w:lineRule="auto"/>
        <w:ind w:firstLine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扫码点餐还改变了消费中的资料关系。传统点餐只需要说出菜名，电子点餐却常常要求关注公众号、注册会员、授权手机号或接受定位。中国日报曾报道，部分餐厅取消纸质菜单和传统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点餐方式，引发长者不满；文章也提到强制登录餐厅账户可能造成个人资料被过度收集的问题（Liang, 2023）。2025年，中央网信办等部门将“扫码点餐”等线下消费场景中的强制关注公众号、强制注册会员、强制收集非必要信息列入个人信息保护专项行动重点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（中央网信办等，2025）。同年，全国网络安全标准化技术委员会秘书处发布《扫码点餐个人信息保护要求》，针对到店扫码点餐中超范围收集个人信息的问题提出实践指引（全国网络安全标准化技术委员会秘书处，2025）。这些治理动作表明，扫码点餐不是单纯的技术升级，也是一种把线下消费数据化的制度安排。</w:t>
      </w:r>
    </w:p>
    <w:p w14:paraId="01C377C7">
      <w:pPr>
        <w:widowControl/>
        <w:spacing w:after="120" w:line="276" w:lineRule="auto"/>
        <w:ind w:firstLine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有人或许会认为，餐厅有经营压力，消费者也应适应数字时代。这个观点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val="en-US" w:eastAsia="zh-CN"/>
        </w:rPr>
        <w:t>确实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有合理之处。尤其在香港，租金和人工成本高，电子点餐确实能帮助小店维持运营。但“降低成本”不能成为取消基本选择权的理由。技术文化的进步，不应该只以速度和节省人手来衡量，还应该看它是否让更多人能够平等进入同一个生活场景。对大多数年轻学生来说，扫码点餐是一种习惯；对没有智能手机的长者、手机没电的旅客、视力不便者，或不愿无故注册会员的人来说，它可能是一道门槛。如果餐厅要求每位顾客都先成为数据用户，才有资格成为消费者，这种便利就已经越界。</w:t>
      </w:r>
    </w:p>
    <w:p w14:paraId="2D4A5D68">
      <w:pPr>
        <w:widowControl/>
        <w:spacing w:after="120" w:line="276" w:lineRule="auto"/>
        <w:ind w:firstLine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因此，较可取的方向不是反对扫码，而是重新规定扫码在服务中的位置。第一，餐厅可以默认提供二维码，但应保留纸质或大字版菜单，并允许顾客向职员点餐。第二，价格、服务费、最低消费和优惠限制应在电子界面与店内标示中同步显示，避免把错误归咎于“系统未更新”。第三，付款方式应保持多元，现金、银行卡和移动支付可以并行。第四，扫码点餐应提供“游客模式”或“匿名点餐”选项，除非与配送、退款或会员权益直接相关，否则不应强制收集手机号、生日、性别等资料。对餐厅而言，这些做法未必会显著降低效率，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val="en-US" w:eastAsia="zh-CN"/>
        </w:rPr>
        <w:t>反而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能让服务对象从“熟练用户”重新扩展为“所有顾客”。</w:t>
      </w:r>
    </w:p>
    <w:p w14:paraId="685AE619">
      <w:pPr>
        <w:widowControl/>
        <w:spacing w:after="120" w:line="276" w:lineRule="auto"/>
        <w:ind w:firstLine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t>扫码点餐之所以值得评论，是因为它把当代技术文化的矛盾集中到一张餐桌上：我们一方面追求效率，另一方面又容易忽略效率背后所排除的东西。作为一名学生，我理解技术优化流程的价值；但也正因为理解技术，才更应警惕把“能做到”误认为“应该这样做”。如果一项技术的成功依赖于取消其他选择，它体现的就不是智能，而是单一化的管理逻辑。一个真正成熟的智慧城市，不是让每个市民都必须时时刻刻保持“智能”，而是在大多数人享受数字便利时，也允许少数人保留非数字的选择。技术应当降低生活门槛，而不是把生活门槛重新包装成二维码。</w:t>
      </w:r>
    </w:p>
    <w:p w14:paraId="16B84ED6">
      <w:pP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4"/>
          <w:szCs w:val="22"/>
          <w:highlight w:val="none"/>
          <w:lang w:eastAsia="en-US"/>
        </w:rPr>
        <w:br w:type="page"/>
      </w:r>
    </w:p>
    <w:p w14:paraId="31E2D8A5">
      <w:pPr>
        <w:keepNext/>
        <w:keepLines/>
        <w:spacing w:before="200" w:after="120" w:line="276" w:lineRule="auto"/>
        <w:jc w:val="center"/>
        <w:outlineLvl w:val="0"/>
        <w:rPr>
          <w:rFonts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</w:pPr>
      <w:r>
        <w:rPr>
          <w:rFonts w:ascii="Times New Roman" w:hAnsi="Times New Roman" w:eastAsia="宋体" w:cs="Times New Roman"/>
          <w:b/>
          <w:color w:val="000000"/>
          <w:kern w:val="0"/>
          <w:sz w:val="28"/>
          <w:szCs w:val="22"/>
          <w:highlight w:val="none"/>
          <w:lang w:val="en-US" w:eastAsia="en-US" w:bidi="ar-SA"/>
        </w:rPr>
        <w:t>参考文献</w:t>
      </w:r>
    </w:p>
    <w:p w14:paraId="6D786173">
      <w:pPr>
        <w:widowControl/>
        <w:spacing w:after="80" w:line="276" w:lineRule="auto"/>
        <w:ind w:left="480" w:hanging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 xml:space="preserve">香港消费者委员会. (2023, 5月15日). 电子点餐系统标示与实际收费不同惹争拗 正确资讯属基本消费权利. 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instrText xml:space="preserve"> HYPERLINK "https://www.consumer.org.hk/sc/press-release/p-restaurant_price_disputes" </w:instrTex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fldChar w:fldCharType="separate"/>
      </w:r>
      <w:r>
        <w:rPr>
          <w:rStyle w:val="5"/>
          <w:rFonts w:hint="eastAsia" w:ascii="Times New Roman" w:hAnsi="Times New Roman" w:eastAsia="宋体" w:cs="Times New Roman"/>
          <w:b w:val="0"/>
          <w:kern w:val="0"/>
          <w:sz w:val="21"/>
          <w:szCs w:val="22"/>
          <w:highlight w:val="none"/>
          <w:lang w:eastAsia="en-US"/>
        </w:rPr>
        <w:t>https://www.consumer.org.hk/sc/press-release/p-restaurant_price_disputes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fldChar w:fldCharType="end"/>
      </w:r>
    </w:p>
    <w:p w14:paraId="3DF16C51">
      <w:pPr>
        <w:widowControl/>
        <w:spacing w:after="80" w:line="276" w:lineRule="auto"/>
        <w:ind w:left="480" w:hanging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>Liang, S. (2023, June 14). Mandatory QR code ordering draws criticism. China Daily. https://www.chinadaily.com.cn/a/202306/14/WS6489ce46a31033ad3f7bc421.html</w:t>
      </w:r>
    </w:p>
    <w:p w14:paraId="5A607FCD">
      <w:pPr>
        <w:widowControl/>
        <w:spacing w:after="80" w:line="276" w:lineRule="auto"/>
        <w:ind w:left="480" w:hanging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>法治日报. (2024, 2月4日).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 xml:space="preserve"> 万物皆“扫码”是便利还是负担. https://www.legaldaily.com.cn/sylm/content/2024-02/04/content_8958631.html</w:t>
      </w:r>
    </w:p>
    <w:p w14:paraId="601E671A">
      <w:pPr>
        <w:widowControl/>
        <w:spacing w:after="80" w:line="276" w:lineRule="auto"/>
        <w:ind w:left="480" w:hanging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>国务院办公厅. (202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 xml:space="preserve">4, 3月7日). 国务院办公厅关于进一步优化支付服务提升支付便利性的意见. 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instrText xml:space="preserve"> HYPERLINK "https://www.nhc.gov.cn/bgt/gwywj2/202403/9a6fca47f6aa4fea86517c9ab68207b9.shtml" </w:instrTex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fldChar w:fldCharType="separate"/>
      </w:r>
      <w:r>
        <w:rPr>
          <w:rStyle w:val="4"/>
          <w:rFonts w:hint="eastAsia" w:ascii="Times New Roman" w:hAnsi="Times New Roman" w:eastAsia="宋体" w:cs="Times New Roman"/>
          <w:b w:val="0"/>
          <w:kern w:val="0"/>
          <w:sz w:val="21"/>
          <w:szCs w:val="22"/>
          <w:highlight w:val="none"/>
          <w:lang w:eastAsia="en-US"/>
        </w:rPr>
        <w:t>https://www.nhc.gov.cn/bgt/gwywj2/202403/9a6fca47f6aa4fea86517c9ab68207b9.shtml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fldChar w:fldCharType="end"/>
      </w:r>
    </w:p>
    <w:p w14:paraId="382A543E">
      <w:pPr>
        <w:widowControl/>
        <w:spacing w:after="80" w:line="276" w:lineRule="auto"/>
        <w:ind w:left="480" w:hanging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 xml:space="preserve">人民日报/人民网. (2024, 5月7日). 央行发布拒收现金处罚案例维护人民币法定地位. 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instrText xml:space="preserve"> HYPERLINK "https://finance.people.com.cn/n1/2024/0507/c1004-40230562.html" </w:instrTex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fldChar w:fldCharType="separate"/>
      </w:r>
      <w:r>
        <w:rPr>
          <w:rStyle w:val="5"/>
          <w:rFonts w:hint="eastAsia" w:ascii="Times New Roman" w:hAnsi="Times New Roman" w:eastAsia="宋体" w:cs="Times New Roman"/>
          <w:b w:val="0"/>
          <w:kern w:val="0"/>
          <w:sz w:val="21"/>
          <w:szCs w:val="22"/>
          <w:highlight w:val="none"/>
          <w:lang w:eastAsia="en-US"/>
        </w:rPr>
        <w:t>https://finance.people.com.cn/n1/2024/0507/c1004-40230562.html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fldChar w:fldCharType="end"/>
      </w:r>
    </w:p>
    <w:p w14:paraId="28E1DDC4">
      <w:pPr>
        <w:widowControl/>
        <w:spacing w:after="80" w:line="276" w:lineRule="auto"/>
        <w:ind w:left="480" w:hanging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>中央网信办、工业和信息化部、公安部、市场监管总局. (2025, 3月28日). 关于开展2025年个人信息保护系列专项行动的公告. https://www.cac.gov.cn/2025-03/28/c_1744867353112759.htm</w:t>
      </w:r>
    </w:p>
    <w:p w14:paraId="28D5D9EA">
      <w:pPr>
        <w:widowControl/>
        <w:spacing w:after="80" w:line="276" w:lineRule="auto"/>
        <w:ind w:left="480" w:hanging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>香港政府统计处</w:t>
      </w: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>. (2025, 6月12日). Thematic Household Survey Report No. 82: Information Technology Usage and Penetration. https://www.censtatd.gov.hk/wbr/B1130201/B11302012025XX02/att/en/B11302012025XX02.pdf</w:t>
      </w:r>
    </w:p>
    <w:p w14:paraId="44B2D95D">
      <w:pPr>
        <w:widowControl/>
        <w:spacing w:after="80" w:line="276" w:lineRule="auto"/>
        <w:ind w:left="480" w:hanging="480"/>
        <w:jc w:val="left"/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</w:pPr>
      <w:r>
        <w:rPr>
          <w:rFonts w:hint="eastAsia" w:ascii="Times New Roman" w:hAnsi="Times New Roman" w:eastAsia="宋体" w:cs="Times New Roman"/>
          <w:b w:val="0"/>
          <w:color w:val="000000"/>
          <w:kern w:val="0"/>
          <w:sz w:val="21"/>
          <w:szCs w:val="22"/>
          <w:highlight w:val="none"/>
          <w:lang w:eastAsia="en-US"/>
        </w:rPr>
        <w:t>全国网络安全标准化技术委员会秘书处. (2025, 9月15日). 网络安全标准实践指南——扫码点餐个人信息保护要求. https://www.tc260.org.cn/upload/2025-09-15/1757913424949012232.pdf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D7817"/>
    <w:rsid w:val="162C4310"/>
    <w:rsid w:val="18400EC9"/>
    <w:rsid w:val="3183186B"/>
    <w:rsid w:val="38524F93"/>
    <w:rsid w:val="3E401CB9"/>
    <w:rsid w:val="56965EDA"/>
    <w:rsid w:val="640C41E6"/>
    <w:rsid w:val="66A650D9"/>
    <w:rsid w:val="6E3637AF"/>
    <w:rsid w:val="78BF4801"/>
    <w:rsid w:val="79FC7092"/>
    <w:rsid w:val="7AE83ABA"/>
    <w:rsid w:val="7BE8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2026-05-10T17:58:21Z</dcterms:created>
  <dc:creator>pc</dc:creator>
  <cp:lastModifiedBy>昀</cp:lastModifiedBy>
  <dcterms:modified xsi:type="dcterms:W3CDTF">2026-05-10T20:46:17Z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eyJoZGlkIjoiYzc5N2ZlZThjMjgyMmZhMGQyZDU5OWY2MTFiZWU5ZmYiLCJ1c2VySWQiOiIxMjM3MjY2NTYwIn0=</vt:lpwstr>
  </property>
  <property fmtid="{D5CDD505-2E9C-101B-9397-08002B2CF9AE}" pid="4" name="ICV">
    <vt:lpwstr>41F00053939248578C9A9EF61383DD19_12</vt:lpwstr>
  </property>
</Properties>
</file>