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4700"/>
      </w:tblGrid>
      <w:tr>
        <w:tc>
          <w:tcPr>
            <w:tcW w:type="dxa" w:w="5100"/>
            <w:tcBorders>
              <w:top w:val="single" w:color="14293D" w:sz="4"/>
              <w:left w:val="single" w:color="14293D" w:sz="4"/>
              <w:bottom w:val="single" w:color="14293D" w:sz="4"/>
              <w:right w:val="dashed" w:color="FFFFFF" w:sz="8"/>
            </w:tcBorders>
            <w:shd w:fill="14293D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34"/>
                <w:szCs w:val="34"/>
              </w:rPr>
              <w:t xml:space="preserve">TRANSERVILOG</w:t>
            </w:r>
          </w:p>
          <w:p>
            <w:r>
              <w:rPr>
                <w:rFonts w:ascii="Calibri" w:cs="Calibri" w:eastAsia="Calibri" w:hAnsi="Calibri"/>
                <w:color w:val="C9D3DC"/>
                <w:sz w:val="17"/>
                <w:szCs w:val="17"/>
              </w:rPr>
              <w:t xml:space="preserve">Transporte y logística de encomiendas a nivel nacional</w:t>
            </w:r>
          </w:p>
        </w:tc>
        <w:tc>
          <w:tcPr>
            <w:tcW w:type="dxa" w:w="4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Gerente: Silvia Panchi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Tel: 0986820326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Email: transervilogi@gmail.com</w:t>
            </w:r>
          </w:p>
        </w:tc>
      </w:tr>
    </w:tbl>
    <w:p>
      <w:pPr>
        <w:spacing w:after="60" w:before="28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COTIZACIÓN DE RUTAS</w:t>
      </w:r>
    </w:p>
    <w:p>
      <w:pPr>
        <w:spacing w:after="20"/>
      </w:pPr>
      <w:r>
        <w:rPr>
          <w:rFonts w:ascii="Calibri" w:cs="Calibri" w:eastAsia="Calibri" w:hAnsi="Calibri"/>
          <w:color w:val="202B36"/>
          <w:sz w:val="20"/>
          <w:szCs w:val="20"/>
        </w:rPr>
        <w:t xml:space="preserve">Fecha: {{FECHA}}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A6B7A"/>
          <w:sz w:val="18"/>
          <w:szCs w:val="18"/>
        </w:rPr>
        <w:t xml:space="preserve">Tarifario referencial por ruta fija, según kilometraje.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1350"/>
        <w:gridCol w:w="1450"/>
      </w:tblGrid>
      <w:tr>
        <w:trPr>
          <w:tblHeader/>
        </w:trPr>
        <w:tc>
          <w:tcPr>
            <w:tcW w:type="dxa" w:w="2100"/>
            <w:tcBorders>
              <w:top w:val="single" w:color="12283F" w:sz="4"/>
              <w:left w:val="single" w:color="12283F" w:sz="4"/>
              <w:bottom w:val="single" w:color="12283F" w:sz="4"/>
              <w:right w:val="single" w:color="12283F" w:sz="4"/>
            </w:tcBorders>
            <w:shd w:fill="1B3A5C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900"/>
            <w:tcBorders>
              <w:top w:val="single" w:color="12283F" w:sz="4"/>
              <w:left w:val="single" w:color="12283F" w:sz="4"/>
              <w:bottom w:val="single" w:color="12283F" w:sz="4"/>
              <w:right w:val="single" w:color="12283F" w:sz="4"/>
            </w:tcBorders>
            <w:shd w:fill="1B3A5C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Ciudades</w:t>
            </w:r>
          </w:p>
        </w:tc>
        <w:tc>
          <w:tcPr>
            <w:tcW w:type="dxa" w:w="1350"/>
            <w:tcBorders>
              <w:top w:val="single" w:color="12283F" w:sz="4"/>
              <w:left w:val="single" w:color="12283F" w:sz="4"/>
              <w:bottom w:val="single" w:color="12283F" w:sz="4"/>
              <w:right w:val="single" w:color="12283F" w:sz="4"/>
            </w:tcBorders>
            <w:shd w:fill="1B3A5C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Toneladas</w:t>
            </w:r>
          </w:p>
        </w:tc>
        <w:tc>
          <w:tcPr>
            <w:tcW w:type="dxa" w:w="1450"/>
            <w:tcBorders>
              <w:top w:val="single" w:color="12283F" w:sz="4"/>
              <w:left w:val="single" w:color="12283F" w:sz="4"/>
              <w:bottom w:val="single" w:color="12283F" w:sz="4"/>
              <w:right w:val="single" w:color="12283F" w:sz="4"/>
            </w:tcBorders>
            <w:shd w:fill="1B3A5C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Ruta 1 – Sierra</w:t>
            </w:r>
          </w:p>
        </w:tc>
        <w:tc>
          <w:tcPr>
            <w:tcW w:type="dxa" w:w="49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Latacunga, Pujilí, Ambato, Pelileo, Riobamba, Cuenca, Loja</w:t>
            </w:r>
          </w:p>
        </w:tc>
        <w:tc>
          <w:tcPr>
            <w:tcW w:type="dxa" w:w="13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{{T_ruta1_sierra}}</w:t>
            </w:r>
          </w:p>
        </w:tc>
        <w:tc>
          <w:tcPr>
            <w:tcW w:type="dxa" w:w="14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B36"/>
                <w:sz w:val="20"/>
                <w:szCs w:val="20"/>
              </w:rPr>
              <w:t xml:space="preserve">{{P_ruta1_sierra}}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Ruta 1 – Costa</w:t>
            </w:r>
          </w:p>
        </w:tc>
        <w:tc>
          <w:tcPr>
            <w:tcW w:type="dxa" w:w="49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El Empalme, Milagro, Bucay, Alfredo Baquerizo Moreno (Jujan), Guayaquil, La Libertad, Machala, Piñas</w:t>
            </w:r>
          </w:p>
        </w:tc>
        <w:tc>
          <w:tcPr>
            <w:tcW w:type="dxa" w:w="13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{{T_ruta1_costa}}</w:t>
            </w:r>
          </w:p>
        </w:tc>
        <w:tc>
          <w:tcPr>
            <w:tcW w:type="dxa" w:w="14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B36"/>
                <w:sz w:val="20"/>
                <w:szCs w:val="20"/>
              </w:rPr>
              <w:t xml:space="preserve">{{P_ruta1_costa}}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Ruta 1 – Oriente</w:t>
            </w:r>
          </w:p>
        </w:tc>
        <w:tc>
          <w:tcPr>
            <w:tcW w:type="dxa" w:w="49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Cuyabeno</w:t>
            </w:r>
          </w:p>
        </w:tc>
        <w:tc>
          <w:tcPr>
            <w:tcW w:type="dxa" w:w="13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{{T_ruta1_oriente}}</w:t>
            </w:r>
          </w:p>
        </w:tc>
        <w:tc>
          <w:tcPr>
            <w:tcW w:type="dxa" w:w="14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B36"/>
                <w:sz w:val="20"/>
                <w:szCs w:val="20"/>
              </w:rPr>
              <w:t xml:space="preserve">{{P_ruta1_oriente}}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Ruta 2</w:t>
            </w:r>
          </w:p>
        </w:tc>
        <w:tc>
          <w:tcPr>
            <w:tcW w:type="dxa" w:w="49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Santo Domingo, Chone, Manta</w:t>
            </w:r>
          </w:p>
        </w:tc>
        <w:tc>
          <w:tcPr>
            <w:tcW w:type="dxa" w:w="13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{{T_ruta2}}</w:t>
            </w:r>
          </w:p>
        </w:tc>
        <w:tc>
          <w:tcPr>
            <w:tcW w:type="dxa" w:w="14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B36"/>
                <w:sz w:val="20"/>
                <w:szCs w:val="20"/>
              </w:rPr>
              <w:t xml:space="preserve">{{P_ruta2}}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Ruta Interna – Pichincha</w:t>
            </w:r>
          </w:p>
        </w:tc>
        <w:tc>
          <w:tcPr>
            <w:tcW w:type="dxa" w:w="49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Quito</w:t>
            </w:r>
          </w:p>
        </w:tc>
        <w:tc>
          <w:tcPr>
            <w:tcW w:type="dxa" w:w="13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{{T_ruta_pichincha}}</w:t>
            </w:r>
          </w:p>
        </w:tc>
        <w:tc>
          <w:tcPr>
            <w:tcW w:type="dxa" w:w="14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B36"/>
                <w:sz w:val="20"/>
                <w:szCs w:val="20"/>
              </w:rPr>
              <w:t xml:space="preserve">{{P_ruta_pichincha}}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Individual – Cayambe</w:t>
            </w:r>
          </w:p>
        </w:tc>
        <w:tc>
          <w:tcPr>
            <w:tcW w:type="dxa" w:w="490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Cayambe</w:t>
            </w:r>
          </w:p>
        </w:tc>
        <w:tc>
          <w:tcPr>
            <w:tcW w:type="dxa" w:w="13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02B36"/>
                <w:sz w:val="20"/>
                <w:szCs w:val="20"/>
              </w:rPr>
              <w:t xml:space="preserve">{{T_ruta_individual}}</w:t>
            </w:r>
          </w:p>
        </w:tc>
        <w:tc>
          <w:tcPr>
            <w:tcW w:type="dxa" w:w="1450"/>
            <w:tcBorders>
              <w:top w:val="single" w:color="D6DCE2" w:sz="4"/>
              <w:left w:val="single" w:color="D6DCE2" w:sz="4"/>
              <w:bottom w:val="single" w:color="D6DCE2" w:sz="4"/>
              <w:right w:val="single" w:color="D6DCE2" w:sz="4"/>
            </w:tcBorders>
            <w:shd w:fill="F4F6F8" w:color="auto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02B36"/>
                <w:sz w:val="20"/>
                <w:szCs w:val="20"/>
              </w:rPr>
              <w:t xml:space="preserve">{{P_ruta_individual}}</w:t>
            </w:r>
          </w:p>
        </w:tc>
      </w:tr>
      <w:tr>
        <w:tc>
          <w:tcPr>
            <w:tcW w:type="dxa" w:w="7000"/>
            <w:gridSpan w:val="2"/>
            <w:tcBorders>
              <w:top w:val="single" w:color="12283F" w:sz="4"/>
              <w:left w:val="single" w:color="12283F" w:sz="4"/>
              <w:bottom w:val="single" w:color="12283F" w:sz="4"/>
              <w:right w:val="single" w:color="12283F" w:sz="4"/>
            </w:tcBorders>
            <w:shd w:fill="12283F" w:color="auto" w:val="clear"/>
            <w:tcMar>
              <w:top w:type="dxa" w:w="150"/>
              <w:left w:type="dxa" w:w="160"/>
              <w:bottom w:type="dxa" w:w="15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1"/>
                <w:szCs w:val="21"/>
              </w:rPr>
              <w:t xml:space="preserve">TOTAL GENERAL</w:t>
            </w:r>
          </w:p>
        </w:tc>
        <w:tc>
          <w:tcPr>
            <w:tcW w:type="dxa" w:w="1350"/>
            <w:tcBorders>
              <w:top w:val="single" w:color="12283F" w:sz="4"/>
              <w:left w:val="single" w:color="12283F" w:sz="4"/>
              <w:bottom w:val="single" w:color="12283F" w:sz="4"/>
              <w:right w:val="single" w:color="12283F" w:sz="4"/>
            </w:tcBorders>
            <w:shd w:fill="12283F" w:color="auto" w:val="clear"/>
            <w:tcMar>
              <w:top w:type="dxa" w:w="150"/>
              <w:left w:type="dxa" w:w="160"/>
              <w:bottom w:type="dxa" w:w="15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{{T_TOTAL}}</w:t>
            </w:r>
          </w:p>
        </w:tc>
        <w:tc>
          <w:tcPr>
            <w:tcW w:type="dxa" w:w="1450"/>
            <w:tcBorders>
              <w:top w:val="single" w:color="12283F" w:sz="4"/>
              <w:left w:val="single" w:color="12283F" w:sz="4"/>
              <w:bottom w:val="single" w:color="12283F" w:sz="4"/>
              <w:right w:val="single" w:color="12283F" w:sz="4"/>
            </w:tcBorders>
            <w:shd w:fill="B08D57" w:color="auto" w:val="clear"/>
            <w:tcMar>
              <w:top w:type="dxa" w:w="150"/>
              <w:left w:type="dxa" w:w="160"/>
              <w:bottom w:type="dxa" w:w="15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{{P_TOTAL}}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5A6B7A"/>
          <w:sz w:val="16"/>
          <w:szCs w:val="16"/>
        </w:rPr>
        <w:t xml:space="preserve">* Costos calculados según recorrido real por destinatario (ida) — $1,00 por km, salvo Oriente ($1,25 por km).</w:t>
      </w:r>
    </w:p>
    <w:p>
      <w:pPr>
        <w:spacing w:after="20" w:before="480"/>
      </w:pPr>
      <w:r>
        <w:rPr>
          <w:rFonts w:ascii="Calibri" w:cs="Calibri" w:eastAsia="Calibri" w:hAnsi="Calibri"/>
          <w:color w:val="202B36"/>
          <w:sz w:val="20"/>
          <w:szCs w:val="20"/>
        </w:rPr>
        <w:t xml:space="preserve">Gracias por confiar en Transervilog. Quedamos atentos a cualquier consulta adicional sobre esta cotización.</w:t>
      </w:r>
    </w:p>
    <w:p>
      <w:pPr>
        <w:spacing w:after="0" w:before="200"/>
      </w:pPr>
      <w:r>
        <w:rPr>
          <w:rFonts w:ascii="Calibri" w:cs="Calibri" w:eastAsia="Calibri" w:hAnsi="Calibri"/>
          <w:color w:val="202B36"/>
          <w:sz w:val="20"/>
          <w:szCs w:val="20"/>
        </w:rPr>
        <w:t xml:space="preserve">Atentamente,</w:t>
      </w:r>
    </w:p>
    <w:p>
      <w:pPr>
        <w:spacing w:before="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Silvia Panchi</w:t>
      </w:r>
    </w:p>
    <w:sectPr>
      <w:footerReference w:type="default" r:id="rId7"/>
      <w:pgSz w:w="12240" w:h="15840" w:orient="portrait"/>
      <w:pgMar w:top="72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2" w:sz="4" w:space="6"/>
      </w:pBdr>
      <w:tabs>
        <w:tab w:val="right" w:pos="9026"/>
      </w:tabs>
    </w:pPr>
    <w:r>
      <w:rPr>
        <w:rFonts w:ascii="Calibri" w:cs="Calibri" w:eastAsia="Calibri" w:hAnsi="Calibri"/>
        <w:color w:val="8A97A3"/>
        <w:sz w:val="15"/>
        <w:szCs w:val="15"/>
      </w:rPr>
      <w:t xml:space="preserve">Cotización de Rutas – Documento interno</w:t>
    </w:r>
    <w:r>
      <w:rPr>
        <w:rFonts w:ascii="Calibri" w:cs="Calibri" w:eastAsia="Calibri" w:hAnsi="Calibri"/>
        <w:color w:val="8A97A3"/>
        <w:sz w:val="15"/>
        <w:szCs w:val="15"/>
      </w:rPr>
      <w:t xml:space="preserve">	Página </w:t>
    </w:r>
    <w:r>
      <w:rPr>
        <w:rFonts w:ascii="Calibri" w:cs="Calibri" w:eastAsia="Calibri" w:hAnsi="Calibri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7A3"/>
        <w:sz w:val="15"/>
        <w:szCs w:val="15"/>
      </w:rPr>
      <w:t xml:space="preserve"> de </w:t>
    </w:r>
    <w:r>
      <w:rPr>
        <w:rFonts w:ascii="Calibri" w:cs="Calibri" w:eastAsia="Calibri" w:hAnsi="Calibri"/>
        <w:color w:val="8A97A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2026-08-31T14:25:30.640Z</dcterms:created>
  <dcterms:modified xsi:type="dcterms:W3CDTF">2026-08-31T14:25:30.641Z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