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bottom w:val="single" w:sz="4" w:space="1" w:color="000000"/>
        </w:pBdr>
        <w:spacing w:before="40" w:after="0"/>
        <w:rPr>
          <w:rFonts w:ascii="Georgia" w:hAnsi="Georgia"/>
          <w:color w:val="002060"/>
          <w:sz w:val="52"/>
        </w:rPr>
      </w:pPr>
      <w:r>
        <w:drawing>
          <wp:anchor behindDoc="0" distT="0" distB="0" distL="114300" distR="114300" simplePos="0" locked="0" layoutInCell="0" allowOverlap="1" relativeHeight="2">
            <wp:simplePos x="0" y="0"/>
            <wp:positionH relativeFrom="column">
              <wp:posOffset>8063230</wp:posOffset>
            </wp:positionH>
            <wp:positionV relativeFrom="paragraph">
              <wp:posOffset>-1116330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_master_blue_rgb_"/>
                    <pic:cNvPicPr>
                      <a:picLocks noChangeAspect="1" noChangeArrowheads="1"/>
                    </pic:cNvPicPr>
                  </pic:nvPicPr>
                  <pic:blipFill>
                    <a:blip r:embed="rId2"/>
                    <a:stretch>
                      <a:fillRect/>
                    </a:stretch>
                  </pic:blipFill>
                  <pic:spPr bwMode="auto">
                    <a:xfrm>
                      <a:off x="0" y="0"/>
                      <a:ext cx="1714500" cy="1200150"/>
                    </a:xfrm>
                    <a:prstGeom prst="rect">
                      <a:avLst/>
                    </a:prstGeom>
                  </pic:spPr>
                </pic:pic>
              </a:graphicData>
            </a:graphic>
          </wp:anchor>
        </w:drawing>
      </w:r>
      <w:r>
        <w:rPr>
          <w:rFonts w:ascii="Georgia" w:hAnsi="Georgia"/>
          <w:color w:val="002060"/>
          <w:sz w:val="52"/>
        </w:rPr>
        <w:t>DPIA – user registration</w:t>
      </w:r>
    </w:p>
    <w:p>
      <w:pPr>
        <w:pStyle w:val="Normal"/>
        <w:spacing w:lineRule="auto" w:line="240"/>
        <w:rPr>
          <w:b/>
          <w:b/>
          <w:sz w:val="24"/>
          <w:szCs w:val="24"/>
          <w:lang w:val="en-US"/>
        </w:rPr>
      </w:pPr>
      <w:r>
        <w:rPr>
          <w:b/>
          <w:sz w:val="24"/>
          <w:szCs w:val="24"/>
          <w:lang w:val="en-US"/>
        </w:rPr>
      </w:r>
    </w:p>
    <w:p>
      <w:pPr>
        <w:pStyle w:val="Normal"/>
        <w:spacing w:lineRule="auto" w:line="240"/>
        <w:rPr>
          <w:sz w:val="24"/>
          <w:szCs w:val="24"/>
          <w:lang w:val="en-US"/>
        </w:rPr>
      </w:pPr>
      <w:r>
        <w:rPr>
          <w:sz w:val="24"/>
          <w:szCs w:val="24"/>
          <w:lang w:val="en-US"/>
        </w:rPr>
      </w:r>
    </w:p>
    <w:p>
      <w:pPr>
        <w:pStyle w:val="Normal"/>
        <w:rPr>
          <w:szCs w:val="23"/>
          <w:lang w:val="en-US"/>
        </w:rPr>
      </w:pPr>
      <w:r>
        <w:rPr/>
        <w:t xml:space="preserve">This template is an </w:t>
      </w:r>
      <w:r>
        <w:rPr>
          <w:szCs w:val="23"/>
        </w:rPr>
        <w:t>example of how you can record your DPIA process and outcome. It follows the process set out in our DPIA guidance, and should be read alongside that guidance and the</w:t>
      </w:r>
      <w:r>
        <w:rPr>
          <w:szCs w:val="23"/>
          <w:lang w:val="en-US"/>
        </w:rPr>
        <w:t xml:space="preserve"> </w:t>
      </w:r>
      <w:hyperlink r:id="rId3">
        <w:r>
          <w:rPr>
            <w:rStyle w:val="InternetLink"/>
            <w:szCs w:val="23"/>
          </w:rPr>
          <w:t>Criteria for an acceptable DPIA</w:t>
        </w:r>
      </w:hyperlink>
      <w:r>
        <w:rPr>
          <w:szCs w:val="23"/>
        </w:rPr>
        <w:t xml:space="preserve"> set out in European guidelines</w:t>
      </w:r>
      <w:r>
        <w:rPr>
          <w:szCs w:val="23"/>
          <w:lang w:val="en-US"/>
        </w:rPr>
        <w:t xml:space="preserve"> on DPIAs. </w:t>
      </w:r>
    </w:p>
    <w:p>
      <w:pPr>
        <w:pStyle w:val="Normal"/>
        <w:rPr>
          <w:szCs w:val="23"/>
          <w:lang w:val="en-US"/>
        </w:rPr>
      </w:pPr>
      <w:r>
        <w:rPr>
          <w:szCs w:val="23"/>
          <w:lang w:val="en-US"/>
        </w:rPr>
      </w:r>
    </w:p>
    <w:p>
      <w:pPr>
        <w:pStyle w:val="Normal"/>
        <w:rPr>
          <w:szCs w:val="23"/>
          <w:lang w:val="en-US"/>
        </w:rPr>
      </w:pPr>
      <w:r>
        <w:rPr>
          <w:szCs w:val="23"/>
          <w:lang w:val="en-US"/>
        </w:rPr>
        <w:t>You should start to fill out the template at the start of any major project involving the use of personal data, or if you are making a significant change to an existing process. The final outcomes should be integrated back into your project plan.</w:t>
      </w:r>
    </w:p>
    <w:p>
      <w:pPr>
        <w:pStyle w:val="Normal"/>
        <w:rPr>
          <w:szCs w:val="23"/>
          <w:lang w:val="en-US"/>
        </w:rPr>
      </w:pPr>
      <w:r>
        <w:rPr>
          <w:szCs w:val="23"/>
          <w:lang w:val="en-US"/>
        </w:rPr>
      </w:r>
    </w:p>
    <w:p>
      <w:pPr>
        <w:pStyle w:val="Heading1"/>
        <w:rPr/>
      </w:pPr>
      <w:r>
        <w:rPr/>
        <w:t>Submitting controller details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97"/>
        <w:gridCol w:w="4996"/>
      </w:tblGrid>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Alexandra CLOOS</w:t>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Subject/title of DPO</w:t>
            </w:r>
          </w:p>
        </w:tc>
        <w:tc>
          <w:tcPr>
            <w:tcW w:w="4996" w:type="dxa"/>
            <w:tcBorders/>
          </w:tcPr>
          <w:p>
            <w:pPr>
              <w:pStyle w:val="Normal"/>
              <w:widowControl w:val="false"/>
              <w:suppressAutoHyphens w:val="true"/>
              <w:spacing w:lineRule="auto" w:line="240" w:before="0" w:after="0"/>
              <w:jc w:val="left"/>
              <w:rPr>
                <w:rFonts w:ascii="Verdana" w:hAnsi="Verdana"/>
                <w:lang w:val="en-US"/>
              </w:rPr>
            </w:pPr>
            <w:r>
              <w:rPr>
                <w:lang w:val="en-US"/>
              </w:rPr>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 contact /DPO</w:t>
            </w:r>
          </w:p>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(delete as appropriate)</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acloos@stud.42.fr</w:t>
            </w:r>
          </w:p>
        </w:tc>
      </w:tr>
    </w:tbl>
    <w:p>
      <w:pPr>
        <w:pStyle w:val="Normal"/>
        <w:rPr>
          <w:szCs w:val="23"/>
          <w:lang w:val="en-US"/>
        </w:rPr>
      </w:pPr>
      <w:r>
        <w:rPr>
          <w:szCs w:val="23"/>
          <w:lang w:val="en-US"/>
        </w:rPr>
      </w:r>
    </w:p>
    <w:p>
      <w:pPr>
        <w:pStyle w:val="Normal"/>
        <w:rPr>
          <w:szCs w:val="23"/>
          <w:lang w:val="en-US"/>
        </w:rPr>
      </w:pPr>
      <w:r>
        <w:rPr>
          <w:szCs w:val="23"/>
          <w:lang w:val="en-US"/>
        </w:rPr>
      </w:r>
    </w:p>
    <w:p>
      <w:pPr>
        <w:pStyle w:val="Heading1"/>
        <w:rPr/>
      </w:pPr>
      <w:r>
        <w:rPr/>
        <w:t>Step 1: Identify the need for a DPIA</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Explain broadly what project aims to achieve and what type of processing it involves. You may find it helpful to refer or link to other documents, such as a project proposal. Summarise why you identified the need for a DPIA.</w:t>
            </w:r>
          </w:p>
        </w:tc>
      </w:tr>
      <w:tr>
        <w:trPr>
          <w:trHeight w:val="2099"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We want to allow users who have a Ecole42 account to visually reflect/customize their account with the 42 intranet info. This means letting them use the 42Auth authentication, and from there retrieve some of their data found on the 42 intranet.</w:t>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p>
      <w:pPr>
        <w:pStyle w:val="Heading1"/>
        <w:rPr>
          <w:lang w:eastAsia="en-GB"/>
        </w:rPr>
      </w:pPr>
      <w:r>
        <w:rPr>
          <w:lang w:eastAsia="en-GB"/>
        </w:rPr>
        <w:t>Step 2: Describe the processing</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nature of the processing: </w:t>
            </w:r>
            <w:r>
              <w:rPr>
                <w:rFonts w:eastAsia="Times New Roman" w:cs="Times New Roman"/>
                <w:kern w:val="0"/>
                <w:szCs w:val="20"/>
                <w:lang w:val="en-US" w:eastAsia="en-GB" w:bidi="ar-SA"/>
              </w:rPr>
              <w:t>how will you collect, use, store and delete data? What is the source of the data? Will you be sharing data with anyone? You might find it useful to refer to a flow diagram or other way of describing data flows. What types of processing identified as likely high risk are involved?</w:t>
            </w:r>
          </w:p>
        </w:tc>
      </w:tr>
      <w:tr>
        <w:trPr>
          <w:trHeight w:val="425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processed data is collected </w:t>
            </w:r>
            <w:r>
              <w:rPr>
                <w:rFonts w:eastAsia="Times New Roman" w:cs="Times New Roman"/>
                <w:kern w:val="0"/>
                <w:szCs w:val="20"/>
                <w:lang w:val="en-US" w:eastAsia="en-GB" w:bidi="ar-SA"/>
              </w:rPr>
              <w:t>when using the 42Auth authentication technology.</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It is used in order to further the profile customization</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data needed to successfully authenticate with 42auth is only used for the authentication process and deleted immediately, the rest is stored in our database.</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All remaining data will be deleted as soon as the user decides to “unlink” (really : to purge the database of the data collected through 42Auth) their 42 account, or at most when the account is deleted.</w:t>
            </w:r>
          </w:p>
          <w:p>
            <w:pPr>
              <w:pStyle w:val="Normal"/>
              <w:widowControl w:val="false"/>
              <w:suppressAutoHyphens w:val="true"/>
              <w:spacing w:lineRule="auto" w:line="240" w:before="120" w:after="120"/>
              <w:jc w:val="left"/>
              <w:rPr>
                <w:rFonts w:ascii="Verdana" w:hAnsi="Verdana" w:eastAsia="Times New Roman" w:cs="Times New Roman"/>
                <w:kern w:val="0"/>
                <w:szCs w:val="20"/>
                <w:highlight w:val="none"/>
                <w:shd w:fill="auto" w:val="clear"/>
                <w:lang w:val="en-GB" w:eastAsia="en-GB" w:bidi="ar-SA"/>
              </w:rPr>
            </w:pPr>
            <w:r>
              <w:rPr>
                <w:rFonts w:eastAsia="Times New Roman" w:cs="Times New Roman"/>
                <w:kern w:val="0"/>
                <w:szCs w:val="20"/>
                <w:shd w:fill="auto" w:val="clear"/>
                <w:lang w:val="en-GB" w:eastAsia="en-GB" w:bidi="ar-SA"/>
              </w:rPr>
              <w:t>It is not to be shared with any entity, and processing it does not involve any high risk to the rights and/or privacy to the user.</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scope of the processing: </w:t>
            </w:r>
            <w:r>
              <w:rPr>
                <w:rFonts w:eastAsia="Times New Roman" w:cs="Times New Roman"/>
                <w:kern w:val="0"/>
                <w:szCs w:val="20"/>
                <w:lang w:val="en-US" w:eastAsia="en-GB" w:bidi="ar-SA"/>
              </w:rPr>
              <w:t>what is the nature of the data, and does it include special category or criminal offence data? How much data will you be collecting and using? How often? How long will you keep it? How many individuals are affected? What geographical area does it cover?</w:t>
            </w:r>
          </w:p>
        </w:tc>
      </w:tr>
      <w:tr>
        <w:trPr>
          <w:trHeight w:val="510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processed data </w:t>
            </w:r>
            <w:r>
              <w:rPr>
                <w:rFonts w:eastAsia="Times New Roman" w:cs="Times New Roman"/>
                <w:kern w:val="0"/>
                <w:szCs w:val="20"/>
                <w:lang w:val="en-GB" w:eastAsia="en-GB" w:bidi="ar-SA"/>
              </w:rPr>
              <w:t>comes from the 42 intranet account of the user, it consists of the user’s profile picture, and the banner and color scheme of their “coalition”</w:t>
            </w:r>
            <w:r>
              <w:rPr>
                <w:rFonts w:eastAsia="Times New Roman" w:cs="Times New Roman"/>
                <w:kern w:val="0"/>
                <w:szCs w:val="20"/>
                <w:lang w:val="en-GB" w:eastAsia="en-GB" w:bidi="ar-SA"/>
              </w:rPr>
              <w:t>. It does not fall under any special category, and is not considered a sensitive data.</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It is collected once, </w:t>
            </w:r>
            <w:r>
              <w:rPr>
                <w:rFonts w:eastAsia="Times New Roman" w:cs="Times New Roman"/>
                <w:kern w:val="0"/>
                <w:szCs w:val="20"/>
                <w:lang w:val="en-GB" w:eastAsia="en-GB" w:bidi="ar-SA"/>
              </w:rPr>
              <w:t>when authenticating with 42Auth</w:t>
            </w:r>
            <w:r>
              <w:rPr>
                <w:rFonts w:eastAsia="Times New Roman" w:cs="Times New Roman"/>
                <w:kern w:val="0"/>
                <w:szCs w:val="20"/>
                <w:lang w:val="en-GB" w:eastAsia="en-GB" w:bidi="ar-SA"/>
              </w:rPr>
              <w:t xml:space="preserve">. </w:t>
            </w:r>
            <w:r>
              <w:rPr>
                <w:rFonts w:eastAsia="Times New Roman" w:cs="Times New Roman"/>
                <w:kern w:val="0"/>
                <w:szCs w:val="20"/>
                <w:lang w:val="en-GB" w:eastAsia="en-GB" w:bidi="ar-SA"/>
              </w:rPr>
              <w:t xml:space="preserve">It only affects </w:t>
            </w:r>
            <w:r>
              <w:rPr>
                <w:rFonts w:eastAsia="Times New Roman" w:cs="Times New Roman"/>
                <w:kern w:val="0"/>
                <w:szCs w:val="20"/>
                <w:lang w:val="en-GB" w:eastAsia="en-GB" w:bidi="ar-SA"/>
              </w:rPr>
              <w:t xml:space="preserve">users </w:t>
            </w:r>
            <w:r>
              <w:rPr>
                <w:rFonts w:eastAsia="Times New Roman" w:cs="Times New Roman"/>
                <w:kern w:val="0"/>
                <w:szCs w:val="20"/>
                <w:lang w:val="en-GB" w:eastAsia="en-GB" w:bidi="ar-SA"/>
              </w:rPr>
              <w:t>who have a 42 intranet account and are willing to authenticate with it.</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context of the processing: </w:t>
            </w:r>
            <w:r>
              <w:rPr>
                <w:rFonts w:eastAsia="Times New Roman" w:cs="Times New Roman"/>
                <w:kern w:val="0"/>
                <w:szCs w:val="20"/>
                <w:lang w:val="en-US" w:eastAsia="en-GB" w:bidi="ar-SA"/>
              </w:rPr>
              <w:t>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w:t>
            </w:r>
          </w:p>
        </w:tc>
      </w:tr>
      <w:tr>
        <w:trPr>
          <w:trHeight w:val="5527"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individuals are considered customers of the website. </w:t>
            </w:r>
            <w:r>
              <w:rPr>
                <w:rFonts w:eastAsia="Times New Roman" w:cs="Times New Roman"/>
                <w:kern w:val="0"/>
                <w:szCs w:val="20"/>
                <w:lang w:val="en-GB" w:eastAsia="en-GB" w:bidi="ar-SA"/>
              </w:rPr>
              <w:t>They can decide at any time to authenticate with 42 ot to remove all info from their 42 account. Students at 42 are required to be either of age, or within a year of it. Employees are of age. Therefore there shall be very little data processing for minors.</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The only data that would be directly</w:t>
            </w:r>
            <w:r>
              <w:rPr>
                <w:rFonts w:eastAsia="Times New Roman" w:cs="Times New Roman"/>
                <w:kern w:val="0"/>
                <w:szCs w:val="20"/>
                <w:lang w:val="en-US" w:eastAsia="en-GB" w:bidi="ar-SA"/>
              </w:rPr>
              <w:t xml:space="preserve"> identifying the user </w:t>
            </w:r>
            <w:r>
              <w:rPr>
                <w:rFonts w:eastAsia="Times New Roman" w:cs="Times New Roman"/>
                <w:kern w:val="0"/>
                <w:szCs w:val="20"/>
                <w:lang w:val="en-US" w:eastAsia="en-GB" w:bidi="ar-SA"/>
              </w:rPr>
              <w:t xml:space="preserve">is the profile picture, </w:t>
            </w:r>
            <w:r>
              <w:rPr>
                <w:rFonts w:eastAsia="Times New Roman" w:cs="Times New Roman"/>
                <w:kern w:val="0"/>
                <w:szCs w:val="20"/>
                <w:lang w:val="en-US" w:eastAsia="en-GB" w:bidi="ar-SA"/>
              </w:rPr>
              <w:t>with no name or other info being stored.</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purposes of the processing: </w:t>
            </w:r>
            <w:r>
              <w:rPr>
                <w:rFonts w:eastAsia="Times New Roman" w:cs="Times New Roman"/>
                <w:kern w:val="0"/>
                <w:szCs w:val="20"/>
                <w:lang w:val="en-US" w:eastAsia="en-GB" w:bidi="ar-SA"/>
              </w:rPr>
              <w:t>what do you want to achieve? What is the intended effect on individuals? What are the benefits of the processing – for  you, and more broadly?</w:t>
            </w:r>
          </w:p>
        </w:tc>
      </w:tr>
      <w:tr>
        <w:trPr>
          <w:trHeight w:val="4365"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We want to </w:t>
            </w:r>
            <w:r>
              <w:rPr>
                <w:rFonts w:eastAsia="Times New Roman" w:cs="Times New Roman"/>
                <w:kern w:val="0"/>
                <w:szCs w:val="20"/>
                <w:lang w:val="en-US" w:eastAsia="en-GB" w:bidi="ar-SA"/>
              </w:rPr>
              <w:t>provide the user with some extra options for visual customization, so as to enhance their user experience.</w:t>
            </w:r>
          </w:p>
        </w:tc>
      </w:tr>
    </w:tbl>
    <w:p>
      <w:pPr>
        <w:pStyle w:val="Heading1"/>
        <w:rPr>
          <w:lang w:eastAsia="en-GB"/>
        </w:rPr>
      </w:pPr>
      <w:r>
        <w:rPr>
          <w:lang w:eastAsia="en-GB"/>
        </w:rPr>
        <w:t>Step 3: Consultation process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Consider how to consult with relevant stakeholders: </w:t>
            </w:r>
            <w:r>
              <w:rPr>
                <w:rFonts w:eastAsia="Times New Roman" w:cs="Times New Roman"/>
                <w:kern w:val="0"/>
                <w:szCs w:val="20"/>
                <w:lang w:val="en-US" w:eastAsia="en-GB" w:bidi="ar-SA"/>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trPr>
          <w:trHeight w:val="3742" w:hRule="atLeast"/>
        </w:trPr>
        <w:tc>
          <w:tcPr>
            <w:tcW w:w="9994" w:type="dxa"/>
            <w:tcBorders/>
          </w:tcPr>
          <w:p>
            <w:pPr>
              <w:pStyle w:val="Normal"/>
              <w:widowControl w:val="false"/>
              <w:suppressAutoHyphens w:val="true"/>
              <w:spacing w:lineRule="auto" w:line="240" w:before="120" w:after="120"/>
              <w:jc w:val="left"/>
              <w:rPr/>
            </w:pPr>
            <w:r>
              <w:rPr>
                <w:rFonts w:eastAsia="Times New Roman" w:cs="Times New Roman"/>
                <w:kern w:val="0"/>
                <w:szCs w:val="20"/>
                <w:shd w:fill="auto" w:val="clear"/>
                <w:lang w:val="en-GB" w:eastAsia="en-GB" w:bidi="ar-SA"/>
              </w:rPr>
              <w:t>As this is a small organization, there is no specific stakeholder – only discussion between members as to how the operations may evolve in any way regarding the handling of users’ accounts. Unless we deem necessary to process more data to expand all and any aspect of account handling, there should be no need to consult experts.</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4: Assess necessity and proportionality</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Describe compliance and proportionality measures, in particular:</w:t>
            </w:r>
            <w:r>
              <w:rPr>
                <w:rFonts w:eastAsia="Times New Roman" w:cs="Times New Roman"/>
                <w:kern w:val="0"/>
                <w:szCs w:val="20"/>
                <w:lang w:val="en-US" w:eastAsia="en-GB" w:bidi="ar-SA"/>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trPr>
          <w:trHeight w:val="3912" w:hRule="atLeast"/>
        </w:trPr>
        <w:tc>
          <w:tcPr>
            <w:tcW w:w="9994" w:type="dxa"/>
            <w:tcBorders/>
          </w:tcPr>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lang w:val="en-US"/>
              </w:rPr>
              <w:t xml:space="preserve">The lawful basis for this data processing is based on the fact that some data is necessary to </w:t>
            </w:r>
            <w:r>
              <w:rPr>
                <w:rFonts w:cstheme="minorBidi" w:eastAsiaTheme="minorHAnsi"/>
                <w:shd w:fill="EC9BA4" w:val="clear"/>
                <w:lang w:val="en-US"/>
              </w:rPr>
              <w:t xml:space="preserve">access the 42 </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lang w:val="en-US"/>
              </w:rPr>
              <w:t xml:space="preserve"> </w:t>
            </w:r>
            <w:r>
              <w:rPr>
                <w:rFonts w:cstheme="minorBidi" w:eastAsiaTheme="minorHAnsi"/>
                <w:shd w:fill="EC9BA4" w:val="clear"/>
                <w:lang w:val="en-US"/>
              </w:rPr>
              <w:t>create an account, in order to ensure that whoever accesses an account (and modifies its info) is the person who created it. There is no need for the address to reflect the name (or any identifying piece of information) of the user. The registering process specifically asks for the email address, so the future user can decide to stop the process immediately of they do not want to give an email address. No other data is asked from the user. Data processing info are given in the email sent to complete registration. Also, a Privacy Notice is available on the website, and the data is not shared with external organizations.</w:t>
            </w:r>
          </w:p>
        </w:tc>
      </w:tr>
    </w:tbl>
    <w:p>
      <w:pPr>
        <w:pStyle w:val="Heading1"/>
        <w:rPr>
          <w:lang w:eastAsia="en-GB"/>
        </w:rPr>
      </w:pPr>
      <w:r>
        <w:rPr>
          <w:lang w:eastAsia="en-GB"/>
        </w:rPr>
        <w:t>Step 5: Identify and assess risks</w:t>
      </w:r>
    </w:p>
    <w:tbl>
      <w:tblPr>
        <w:tblStyle w:val="TableGrid"/>
        <w:tblW w:w="10074"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5919"/>
        <w:gridCol w:w="1417"/>
        <w:gridCol w:w="1379"/>
        <w:gridCol w:w="1358"/>
      </w:tblGrid>
      <w:tr>
        <w:trPr/>
        <w:tc>
          <w:tcPr>
            <w:tcW w:w="591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Desc</w:t>
            </w:r>
            <w:r>
              <w:rPr>
                <w:rFonts w:eastAsia="Times New Roman" w:cs="Times New Roman"/>
                <w:b/>
                <w:kern w:val="0"/>
                <w:szCs w:val="20"/>
                <w:shd w:fill="EC9BA4" w:val="clear"/>
                <w:lang w:val="en-US" w:eastAsia="en-GB" w:bidi="ar-SA"/>
              </w:rPr>
              <w:t xml:space="preserve">ribe source of risk and nature of potential impact on individuals. </w:t>
            </w:r>
            <w:r>
              <w:rPr>
                <w:rFonts w:eastAsia="Times New Roman" w:cs="Times New Roman"/>
                <w:kern w:val="0"/>
                <w:szCs w:val="20"/>
                <w:shd w:fill="EC9BA4" w:val="clear"/>
                <w:lang w:val="en-US" w:eastAsia="en-GB" w:bidi="ar-SA"/>
              </w:rPr>
              <w:t>Include associated compli</w:t>
            </w:r>
            <w:r>
              <w:rPr>
                <w:rFonts w:eastAsia="Times New Roman" w:cs="Times New Roman"/>
                <w:kern w:val="0"/>
                <w:szCs w:val="20"/>
                <w:lang w:val="en-US" w:eastAsia="en-GB" w:bidi="ar-SA"/>
              </w:rPr>
              <w:t>ance and corporate risks</w:t>
            </w:r>
            <w:r>
              <w:rPr>
                <w:rFonts w:eastAsia="Times New Roman" w:cs="Times New Roman"/>
                <w:b/>
                <w:kern w:val="0"/>
                <w:szCs w:val="20"/>
                <w:lang w:val="en-US" w:eastAsia="en-GB" w:bidi="ar-SA"/>
              </w:rPr>
              <w:t xml:space="preserve"> </w:t>
            </w:r>
            <w:r>
              <w:rPr>
                <w:rFonts w:eastAsia="Times New Roman" w:cs="Times New Roman"/>
                <w:kern w:val="0"/>
                <w:szCs w:val="20"/>
                <w:lang w:val="en-US" w:eastAsia="en-GB" w:bidi="ar-SA"/>
              </w:rPr>
              <w:t>as necessary.</w:t>
            </w:r>
          </w:p>
        </w:tc>
        <w:tc>
          <w:tcPr>
            <w:tcW w:w="1417"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Likelihood of harm</w:t>
            </w:r>
          </w:p>
        </w:tc>
        <w:tc>
          <w:tcPr>
            <w:tcW w:w="137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Severity of harm</w:t>
            </w:r>
          </w:p>
        </w:tc>
        <w:tc>
          <w:tcPr>
            <w:tcW w:w="1358"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Overall risk</w:t>
            </w:r>
          </w:p>
        </w:tc>
      </w:tr>
      <w:tr>
        <w:trPr>
          <w:trHeight w:val="11104" w:hRule="atLeast"/>
        </w:trPr>
        <w:tc>
          <w:tcPr>
            <w:tcW w:w="5919" w:type="dxa"/>
            <w:tcBorders/>
          </w:tcPr>
          <w:p>
            <w:pPr>
              <w:pStyle w:val="Normal"/>
              <w:widowControl w:val="false"/>
              <w:suppressAutoHyphens w:val="true"/>
              <w:spacing w:lineRule="auto" w:line="240" w:before="120" w:after="120"/>
              <w:jc w:val="left"/>
              <w:rPr>
                <w:rFonts w:ascii="Verdana" w:hAnsi="Verdana"/>
                <w:lang w:val="en-US"/>
              </w:rPr>
            </w:pPr>
            <w:r>
              <w:rPr>
                <w:lang w:val="en-US"/>
              </w:rPr>
              <w:t>Privacy-related risks : unauthorized access/modification/deletion of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threats making it possible :</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computer stolen</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hacking</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human error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threat source: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employee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virus</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hacker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lang w:val="en-US"/>
              </w:rPr>
              <w:t>impact on user’s life :</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lang w:val="en-US"/>
              </w:rPr>
              <w:t xml:space="preserve">          </w:t>
            </w:r>
            <w:r>
              <w:rPr>
                <w:rFonts w:cstheme="minorBidi" w:eastAsiaTheme="minorHAnsi"/>
                <w:shd w:fill="EC9BA4" w:val="clear"/>
                <w:lang w:val="en-US"/>
              </w:rPr>
              <w:t xml:space="preserve">inability to </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lang w:val="en-US"/>
              </w:rPr>
              <w:t xml:space="preserve">          </w:t>
            </w:r>
            <w:r>
              <w:rPr>
                <w:rFonts w:cstheme="minorBidi" w:eastAsiaTheme="minorHAnsi"/>
                <w:shd w:fill="EC9BA4" w:val="clear"/>
                <w:lang w:val="en-US"/>
              </w:rPr>
              <w:t>data</w:t>
            </w:r>
            <w:r>
              <w:rPr>
                <w:rFonts w:cstheme="minorBidi" w:eastAsiaTheme="minorHAnsi"/>
                <w:shd w:fill="EC9BA4" w:val="clear"/>
                <w:lang w:val="en-US"/>
              </w:rPr>
              <w:t xml:space="preserve"> distributed to others</w:t>
            </w:r>
          </w:p>
        </w:tc>
        <w:tc>
          <w:tcPr>
            <w:tcW w:w="1417"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 xml:space="preserve">Remote </w:t>
            </w:r>
            <w:r>
              <w:rPr>
                <w:rFonts w:eastAsia="Times New Roman" w:cs="Times New Roman"/>
                <w:kern w:val="0"/>
                <w:sz w:val="22"/>
                <w:szCs w:val="20"/>
                <w:shd w:fill="EC9BA4" w:val="clear"/>
                <w:lang w:val="en-US" w:eastAsia="en-GB" w:bidi="ar-SA"/>
              </w:rPr>
              <w:t>(if data cannot be accessed by employee)</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w:t>
            </w:r>
            <w:r>
              <w:rPr>
                <w:rFonts w:eastAsia="Times New Roman" w:cs="Times New Roman"/>
                <w:kern w:val="0"/>
                <w:sz w:val="22"/>
                <w:szCs w:val="20"/>
                <w:shd w:fill="EC9BA4" w:val="clear"/>
                <w:lang w:val="en-US" w:eastAsia="en-GB" w:bidi="ar-SA"/>
              </w:rPr>
              <w:t>te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 ?</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shd w:fill="EC9BA4" w:val="clear"/>
                <w:lang w:val="en-US" w:eastAsia="en-GB" w:bidi="ar-SA"/>
              </w:rPr>
              <w:t>Probabl</w:t>
            </w:r>
            <w:r>
              <w:rPr>
                <w:rFonts w:eastAsia="Times New Roman" w:cs="Times New Roman"/>
                <w:kern w:val="0"/>
                <w:sz w:val="22"/>
                <w:szCs w:val="20"/>
                <w:lang w:val="en-US" w:eastAsia="en-GB" w:bidi="ar-SA"/>
              </w:rPr>
              <w:t>e?</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Remote, possible or probable</w:t>
            </w:r>
          </w:p>
        </w:tc>
        <w:tc>
          <w:tcPr>
            <w:tcW w:w="1379"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 significant or severe</w:t>
            </w:r>
          </w:p>
        </w:tc>
        <w:tc>
          <w:tcPr>
            <w:tcW w:w="1358"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 medium or high</w:t>
            </w:r>
          </w:p>
        </w:tc>
      </w:tr>
    </w:tbl>
    <w:p>
      <w:pPr>
        <w:pStyle w:val="Heading1"/>
        <w:rPr>
          <w:lang w:eastAsia="en-GB"/>
        </w:rPr>
      </w:pPr>
      <w:r>
        <w:rPr>
          <w:lang w:eastAsia="en-GB"/>
        </w:rPr>
        <w:t>Step 6: Identify measures to reduce risk</w:t>
      </w:r>
    </w:p>
    <w:tbl>
      <w:tblPr>
        <w:tblStyle w:val="TableGrid"/>
        <w:tblW w:w="99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928"/>
        <w:gridCol w:w="1493"/>
        <w:gridCol w:w="1429"/>
        <w:gridCol w:w="1430"/>
      </w:tblGrid>
      <w:tr>
        <w:trPr/>
        <w:tc>
          <w:tcPr>
            <w:tcW w:w="9996" w:type="dxa"/>
            <w:gridSpan w:val="5"/>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Identify additional m</w:t>
            </w:r>
            <w:r>
              <w:rPr>
                <w:rFonts w:eastAsia="Times New Roman" w:cs="Times New Roman"/>
                <w:b/>
                <w:kern w:val="0"/>
                <w:szCs w:val="20"/>
                <w:shd w:fill="EC9BA4" w:val="clear"/>
                <w:lang w:val="en-US" w:eastAsia="en-GB" w:bidi="ar-SA"/>
              </w:rPr>
              <w:t xml:space="preserve">easures you could take to reduce or eliminate risks identified as medium or high risk in </w:t>
            </w:r>
            <w:r>
              <w:rPr>
                <w:rFonts w:eastAsia="Times New Roman" w:cs="Times New Roman"/>
                <w:b/>
                <w:kern w:val="0"/>
                <w:szCs w:val="20"/>
                <w:lang w:val="en-US" w:eastAsia="en-GB" w:bidi="ar-SA"/>
              </w:rPr>
              <w:t>step 5</w:t>
            </w:r>
          </w:p>
        </w:tc>
      </w:tr>
      <w:tr>
        <w:trPr/>
        <w:tc>
          <w:tcPr>
            <w:tcW w:w="1716"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Risk</w:t>
            </w:r>
          </w:p>
        </w:tc>
        <w:tc>
          <w:tcPr>
            <w:tcW w:w="3928"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Options to reduce or eliminate risk</w:t>
            </w:r>
          </w:p>
        </w:tc>
        <w:tc>
          <w:tcPr>
            <w:tcW w:w="1493"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Effect on risk</w:t>
            </w:r>
          </w:p>
        </w:tc>
        <w:tc>
          <w:tcPr>
            <w:tcW w:w="142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Residual risk</w:t>
            </w:r>
          </w:p>
        </w:tc>
        <w:tc>
          <w:tcPr>
            <w:tcW w:w="1430"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Measure approved</w:t>
            </w:r>
          </w:p>
        </w:tc>
      </w:tr>
      <w:tr>
        <w:trPr>
          <w:trHeight w:val="10512" w:hRule="atLeast"/>
        </w:trPr>
        <w:tc>
          <w:tcPr>
            <w:tcW w:w="1716" w:type="dxa"/>
            <w:tcBorders/>
          </w:tcPr>
          <w:p>
            <w:pPr>
              <w:pStyle w:val="Normal"/>
              <w:widowControl w:val="false"/>
              <w:suppressAutoHyphens w:val="true"/>
              <w:spacing w:lineRule="auto" w:line="240" w:before="120" w:after="120"/>
              <w:jc w:val="left"/>
              <w:rPr>
                <w:rFonts w:ascii="Verdana" w:hAnsi="Verdana"/>
                <w:lang w:val="en-US"/>
              </w:rPr>
            </w:pPr>
            <w:r>
              <w:rPr>
                <w:lang w:val="en-US"/>
              </w:rPr>
              <w:t>access/mod/del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hacking</w:t>
            </w:r>
          </w:p>
        </w:tc>
        <w:tc>
          <w:tcPr>
            <w:tcW w:w="3928" w:type="dxa"/>
            <w:tcBorders/>
          </w:tcPr>
          <w:p>
            <w:pPr>
              <w:pStyle w:val="Normal"/>
              <w:widowControl w:val="false"/>
              <w:suppressAutoHyphens w:val="true"/>
              <w:spacing w:lineRule="auto" w:line="240" w:before="120" w:after="120"/>
              <w:jc w:val="left"/>
              <w:rPr>
                <w:rFonts w:ascii="Verdana" w:hAnsi="Verdana"/>
                <w:lang w:val="en-US"/>
              </w:rPr>
            </w:pPr>
            <w:r>
              <w:rPr>
                <w:lang w:val="en-US"/>
              </w:rPr>
              <w:t>Minimize access</w:t>
            </w:r>
          </w:p>
          <w:p>
            <w:pPr>
              <w:pStyle w:val="Normal"/>
              <w:widowControl w:val="false"/>
              <w:suppressAutoHyphens w:val="true"/>
              <w:spacing w:lineRule="auto" w:line="240" w:before="120" w:after="120"/>
              <w:jc w:val="left"/>
              <w:rPr>
                <w:rFonts w:ascii="Verdana" w:hAnsi="Verdana"/>
                <w:lang w:val="en-US"/>
              </w:rPr>
            </w:pPr>
            <w:r>
              <w:rPr>
                <w:lang w:val="en-US"/>
              </w:rPr>
              <w:t>cannot modify</w:t>
            </w:r>
          </w:p>
          <w:p>
            <w:pPr>
              <w:pStyle w:val="Normal"/>
              <w:widowControl w:val="false"/>
              <w:suppressAutoHyphens w:val="true"/>
              <w:spacing w:lineRule="auto" w:line="240" w:before="120" w:after="120"/>
              <w:jc w:val="left"/>
              <w:rPr>
                <w:rFonts w:ascii="Verdana" w:hAnsi="Verdana"/>
                <w:lang w:val="en-US"/>
              </w:rPr>
            </w:pPr>
            <w:r>
              <w:rPr>
                <w:lang w:val="en-US"/>
              </w:rPr>
              <w:t>can only delete after account has been reported/noted to not comply with rules</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secure access</w:t>
            </w:r>
          </w:p>
          <w:p>
            <w:pPr>
              <w:pStyle w:val="Normal"/>
              <w:widowControl w:val="false"/>
              <w:suppressAutoHyphens w:val="true"/>
              <w:spacing w:lineRule="auto" w:line="240" w:before="120" w:after="120"/>
              <w:jc w:val="left"/>
              <w:rPr>
                <w:rFonts w:ascii="Verdana" w:hAnsi="Verdana"/>
                <w:lang w:val="en-US"/>
              </w:rPr>
            </w:pPr>
            <w:r>
              <w:rPr>
                <w:lang w:val="en-US"/>
              </w:rPr>
              <w:t xml:space="preserve">data are anonymized </w:t>
            </w:r>
            <w:r>
              <w:rPr>
                <w:rFonts w:eastAsia="Calibri" w:cs="" w:cstheme="minorBidi" w:eastAsiaTheme="minorHAnsi"/>
                <w:shd w:fill="EC9BA4" w:val="clear"/>
                <w:lang w:val="en-US"/>
              </w:rPr>
              <w:t>(are they ?)</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tc>
        <w:tc>
          <w:tcPr>
            <w:tcW w:w="1493"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Eliminated reduced accepted</w:t>
            </w:r>
          </w:p>
        </w:tc>
        <w:tc>
          <w:tcPr>
            <w:tcW w:w="1429"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Low medium high</w:t>
            </w:r>
          </w:p>
        </w:tc>
        <w:tc>
          <w:tcPr>
            <w:tcW w:w="1430"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Yes/no</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7: Sign off and record outcomes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3402"/>
        <w:gridCol w:w="3649"/>
      </w:tblGrid>
      <w:tr>
        <w:trPr/>
        <w:tc>
          <w:tcPr>
            <w:tcW w:w="2943"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Item</w:t>
            </w:r>
          </w:p>
        </w:tc>
        <w:tc>
          <w:tcPr>
            <w:tcW w:w="3402"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Name/position/date</w:t>
            </w:r>
          </w:p>
        </w:tc>
        <w:tc>
          <w:tcPr>
            <w:tcW w:w="3649"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Notes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Measures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Integrate actions back into project plan, with date and responsibility for completion</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Residual risks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accepting any residual high risk, consult the ICO before going ahead</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provided:</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DPO should advise on compliance, step 6 measures and whether processing can proceed</w:t>
            </w:r>
          </w:p>
        </w:tc>
      </w:tr>
      <w:tr>
        <w:trPr>
          <w:trHeight w:val="2160"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0"/>
                <w:lang w:val="en-US" w:eastAsia="en-GB" w:bidi="ar-SA"/>
              </w:rPr>
              <w:t>Summary of DPO advice:</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accepted or overruled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overruled, you must explain your reasons</w:t>
            </w:r>
          </w:p>
        </w:tc>
      </w:tr>
      <w:tr>
        <w:trPr>
          <w:trHeight w:val="1984" w:hRule="atLeast"/>
        </w:trPr>
        <w:tc>
          <w:tcPr>
            <w:tcW w:w="9994" w:type="dxa"/>
            <w:gridSpan w:val="3"/>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Consultation responses reviewed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 w:val="20"/>
                <w:szCs w:val="20"/>
                <w:lang w:val="en-US" w:eastAsia="en-GB" w:bidi="ar-SA"/>
              </w:rPr>
              <w:t>If your decision departs from individuals’ views, you must explain your reasons</w:t>
            </w:r>
          </w:p>
        </w:tc>
      </w:tr>
      <w:tr>
        <w:trPr>
          <w:trHeight w:val="1701"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3"/>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This DPIA will be kept under review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The DPO should also review ongoing compliance with DPIA</w:t>
            </w:r>
          </w:p>
        </w:tc>
      </w:tr>
    </w:tbl>
    <w:p>
      <w:pPr>
        <w:pStyle w:val="Normal"/>
        <w:spacing w:lineRule="auto" w:line="240"/>
        <w:rPr>
          <w:sz w:val="24"/>
          <w:szCs w:val="24"/>
          <w:lang w:val="en-US"/>
        </w:rPr>
      </w:pPr>
      <w:r>
        <w:rPr/>
      </w:r>
    </w:p>
    <w:sectPr>
      <w:footerReference w:type="default" r:id="rId4"/>
      <w:type w:val="nextPage"/>
      <w:pgSz w:w="11906" w:h="16838"/>
      <w:pgMar w:left="1134" w:right="992"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Georgi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tabs>
        <w:tab w:val="clear" w:pos="9026"/>
        <w:tab w:val="center" w:pos="4513" w:leader="none"/>
        <w:tab w:val="right" w:pos="13608" w:leader="none"/>
        <w:tab w:val="left" w:pos="13750" w:leader="none"/>
      </w:tabs>
      <w:rPr>
        <w:sz w:val="20"/>
      </w:rPr>
    </w:pPr>
    <w:r>
      <w:rPr>
        <w:sz w:val="20"/>
      </w:rPr>
      <w:t>DPIA DP1</w:t>
    </w:r>
  </w:p>
  <w:sdt>
    <w:sdtPr>
      <w:docPartObj>
        <w:docPartGallery w:val="Page Numbers (Bottom of Page)"/>
        <w:docPartUnique w:val="true"/>
      </w:docPartObj>
      <w:id w:val="1686170466"/>
    </w:sdtPr>
    <w:sdtContent>
      <w:p>
        <w:pPr>
          <w:pStyle w:val="Footer"/>
          <w:tabs>
            <w:tab w:val="clear" w:pos="9026"/>
            <w:tab w:val="center" w:pos="4513" w:leader="none"/>
            <w:tab w:val="right" w:pos="9603" w:leader="none"/>
            <w:tab w:val="right" w:pos="13608" w:leader="none"/>
            <w:tab w:val="left" w:pos="13750" w:leader="none"/>
          </w:tabs>
          <w:rPr>
            <w:sz w:val="20"/>
          </w:rPr>
        </w:pPr>
        <w:r>
          <w:rPr>
            <w:sz w:val="20"/>
          </w:rPr>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r>
          <w:rPr>
            <w:sz w:val="20"/>
          </w:rPr>
          <w:tab/>
          <w:tab/>
          <w:tab/>
          <w:tab/>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p>
    </w:sdtContent>
  </w:sdt>
</w:ftr>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285"/>
    <w:pPr>
      <w:widowControl/>
      <w:suppressAutoHyphens w:val="true"/>
      <w:bidi w:val="0"/>
      <w:spacing w:lineRule="auto" w:line="276" w:before="0" w:after="0"/>
      <w:jc w:val="left"/>
    </w:pPr>
    <w:rPr>
      <w:rFonts w:ascii="Verdana" w:hAnsi="Verdana" w:eastAsia="Calibri" w:cs="" w:cstheme="minorBidi" w:eastAsiaTheme="minorHAnsi"/>
      <w:color w:val="auto"/>
      <w:kern w:val="0"/>
      <w:sz w:val="23"/>
      <w:szCs w:val="22"/>
      <w:lang w:val="en-GB" w:eastAsia="en-US" w:bidi="ar-SA"/>
    </w:rPr>
  </w:style>
  <w:style w:type="paragraph" w:styleId="Heading1">
    <w:name w:val="Heading 1"/>
    <w:basedOn w:val="Normal"/>
    <w:next w:val="Normal"/>
    <w:link w:val="Heading1Char"/>
    <w:uiPriority w:val="9"/>
    <w:qFormat/>
    <w:rsid w:val="000959ff"/>
    <w:pPr>
      <w:keepNext w:val="true"/>
      <w:pBdr>
        <w:top w:val="single" w:sz="4" w:space="1" w:color="000000"/>
        <w:left w:val="single" w:sz="4" w:space="4" w:color="000000"/>
        <w:bottom w:val="single" w:sz="4" w:space="1" w:color="000000"/>
        <w:right w:val="single" w:sz="4" w:space="4" w:color="000000"/>
      </w:pBdr>
      <w:shd w:val="clear" w:color="auto" w:fill="002060"/>
      <w:spacing w:lineRule="auto" w:line="240" w:before="240" w:after="240"/>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45600"/>
    <w:rPr>
      <w:sz w:val="16"/>
      <w:szCs w:val="16"/>
    </w:rPr>
  </w:style>
  <w:style w:type="character" w:styleId="CommentTextChar" w:customStyle="1">
    <w:name w:val="Comment Text Char"/>
    <w:basedOn w:val="DefaultParagraphFont"/>
    <w:link w:val="Annotationtext"/>
    <w:uiPriority w:val="99"/>
    <w:semiHidden/>
    <w:qFormat/>
    <w:rsid w:val="00245600"/>
    <w:rPr>
      <w:sz w:val="20"/>
      <w:szCs w:val="20"/>
    </w:rPr>
  </w:style>
  <w:style w:type="character" w:styleId="CommentSubjectChar" w:customStyle="1">
    <w:name w:val="Comment Subject Char"/>
    <w:basedOn w:val="CommentTextChar"/>
    <w:link w:val="Annotationsubject"/>
    <w:uiPriority w:val="99"/>
    <w:semiHidden/>
    <w:qFormat/>
    <w:rsid w:val="00245600"/>
    <w:rPr>
      <w:b/>
      <w:bCs/>
      <w:sz w:val="20"/>
      <w:szCs w:val="20"/>
    </w:rPr>
  </w:style>
  <w:style w:type="character" w:styleId="BalloonTextChar" w:customStyle="1">
    <w:name w:val="Balloon Text Char"/>
    <w:basedOn w:val="DefaultParagraphFont"/>
    <w:link w:val="BalloonText"/>
    <w:uiPriority w:val="99"/>
    <w:semiHidden/>
    <w:qFormat/>
    <w:rsid w:val="00245600"/>
    <w:rPr>
      <w:rFonts w:ascii="Tahoma" w:hAnsi="Tahoma" w:cs="Tahoma"/>
      <w:sz w:val="16"/>
      <w:szCs w:val="16"/>
    </w:rPr>
  </w:style>
  <w:style w:type="character" w:styleId="InternetLink">
    <w:name w:val="Hyperlink"/>
    <w:basedOn w:val="DefaultParagraphFont"/>
    <w:uiPriority w:val="99"/>
    <w:unhideWhenUsed/>
    <w:rsid w:val="0039281f"/>
    <w:rPr>
      <w:color w:val="0000FF" w:themeColor="hyperlink"/>
      <w:u w:val="single"/>
    </w:rPr>
  </w:style>
  <w:style w:type="character" w:styleId="Heading1Char" w:customStyle="1">
    <w:name w:val="Heading 1 Char"/>
    <w:basedOn w:val="DefaultParagraphFont"/>
    <w:link w:val="Heading1"/>
    <w:uiPriority w:val="9"/>
    <w:qFormat/>
    <w:rsid w:val="000959ff"/>
    <w:rPr>
      <w:rFonts w:ascii="Georgia" w:hAnsi="Georgia"/>
      <w:color w:val="FFFFFF" w:themeColor="background1"/>
      <w:sz w:val="36"/>
      <w:szCs w:val="24"/>
      <w:shd w:fill="002060" w:val="clear"/>
      <w:lang w:val="en-US"/>
    </w:rPr>
  </w:style>
  <w:style w:type="character" w:styleId="TitleChar" w:customStyle="1">
    <w:name w:val="Title Char"/>
    <w:basedOn w:val="DefaultParagraphFont"/>
    <w:link w:val="Title"/>
    <w:uiPriority w:val="10"/>
    <w:qFormat/>
    <w:rsid w:val="0053350f"/>
    <w:rPr>
      <w:rFonts w:ascii="Georgia" w:hAnsi="Georgia"/>
      <w:color w:val="0070C0"/>
      <w:sz w:val="48"/>
      <w:szCs w:val="24"/>
    </w:rPr>
  </w:style>
  <w:style w:type="character" w:styleId="Heading2Char" w:customStyle="1">
    <w:name w:val="Heading 2 Char"/>
    <w:basedOn w:val="DefaultParagraphFont"/>
    <w:link w:val="Heading2"/>
    <w:uiPriority w:val="9"/>
    <w:qFormat/>
    <w:rsid w:val="000959ff"/>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48248f"/>
    <w:rPr>
      <w:sz w:val="23"/>
    </w:rPr>
  </w:style>
  <w:style w:type="character" w:styleId="FooterChar" w:customStyle="1">
    <w:name w:val="Footer Char"/>
    <w:basedOn w:val="DefaultParagraphFont"/>
    <w:link w:val="Footer"/>
    <w:uiPriority w:val="99"/>
    <w:qFormat/>
    <w:rsid w:val="0048248f"/>
    <w:rPr>
      <w:sz w:val="23"/>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24560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45600"/>
    <w:pPr/>
    <w:rPr>
      <w:b/>
      <w:bCs/>
    </w:rPr>
  </w:style>
  <w:style w:type="paragraph" w:styleId="BalloonText">
    <w:name w:val="Balloon Text"/>
    <w:basedOn w:val="Normal"/>
    <w:link w:val="BalloonTextChar"/>
    <w:uiPriority w:val="99"/>
    <w:semiHidden/>
    <w:unhideWhenUsed/>
    <w:qFormat/>
    <w:rsid w:val="00245600"/>
    <w:pPr>
      <w:spacing w:lineRule="auto" w:line="240"/>
    </w:pPr>
    <w:rPr>
      <w:rFonts w:ascii="Tahoma" w:hAnsi="Tahoma" w:cs="Tahoma"/>
      <w:sz w:val="16"/>
      <w:szCs w:val="16"/>
    </w:rPr>
  </w:style>
  <w:style w:type="paragraph" w:styleId="Title">
    <w:name w:val="Title"/>
    <w:basedOn w:val="Normal"/>
    <w:next w:val="Normal"/>
    <w:link w:val="TitleChar"/>
    <w:uiPriority w:val="10"/>
    <w:qFormat/>
    <w:rsid w:val="0053350f"/>
    <w:pPr>
      <w:spacing w:lineRule="auto" w:line="240"/>
    </w:pPr>
    <w:rPr>
      <w:rFonts w:ascii="Georgia" w:hAnsi="Georgia"/>
      <w:color w:val="0070C0"/>
      <w:sz w:val="48"/>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8248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48248f"/>
    <w:pPr>
      <w:tabs>
        <w:tab w:val="clear" w:pos="720"/>
        <w:tab w:val="center" w:pos="4513" w:leader="none"/>
        <w:tab w:val="right" w:pos="9026"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21f45"/>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c.europa.eu/newsroom/document.cfm?doc_id=47711"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6495cd43-30b7-45da-972d-05dc6321e6bd" xsi:nil="true"/>
    <TaxCatchAll xmlns="5e47d0b3-8113-496a-b81f-22bab7531f6a"/>
    <Security_x0020_classification xmlns="6495cd43-30b7-45da-972d-05dc6321e6bd" xsi:nil="true"/>
    <Email_x0020_Date xmlns="6495cd43-30b7-45da-972d-05dc6321e6bd" xsi:nil="true"/>
    <DLCPolicyLabelLock xmlns="6495cd43-30b7-45da-972d-05dc6321e6bd" xsi:nil="true"/>
    <_dlc_DocId xmlns="5e47d0b3-8113-496a-b81f-22bab7531f6a" xsi:nil="true"/>
    <_dlc_DocIdUrl xmlns="5e47d0b3-8113-496a-b81f-22bab7531f6a">
      <Url xsi:nil="true"/>
      <Description xsi:nil="true"/>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ICO General Document" ma:contentTypeID="0x01010020270C6529EA0544B2EFE190A98965FD00D5483AED48BE444ABA1D07C4FEE9754F" ma:contentTypeVersion="297" ma:contentTypeDescription="Create a new document." ma:contentTypeScope="" ma:versionID="8e4241347827954f44a7e021d07d356a">
  <xsd:schema xmlns:xsd="http://www.w3.org/2001/XMLSchema" xmlns:xs="http://www.w3.org/2001/XMLSchema" xmlns:p="http://schemas.microsoft.com/office/2006/metadata/properties" xmlns:ns2="6495cd43-30b7-45da-972d-05dc6321e6bd" xmlns:ns3="5e47d0b3-8113-496a-b81f-22bab7531f6a" targetNamespace="http://schemas.microsoft.com/office/2006/metadata/properties" ma:root="true" ma:fieldsID="216626807078dd590bf783a048295eda" ns2:_="" ns3:_="">
    <xsd:import namespace="6495cd43-30b7-45da-972d-05dc6321e6bd"/>
    <xsd:import namespace="5e47d0b3-8113-496a-b81f-22bab7531f6a"/>
    <xsd:element name="properties">
      <xsd:complexType>
        <xsd:sequence>
          <xsd:element name="documentManagement">
            <xsd:complexType>
              <xsd:all>
                <xsd:element ref="ns2:Email_x0020_Date" minOccurs="0"/>
                <xsd:element ref="ns2:Security_x0020_classification" minOccurs="0"/>
                <xsd:element ref="ns3:_dlc_DocId" minOccurs="0"/>
                <xsd:element ref="ns3:_dlc_DocIdUrl" minOccurs="0"/>
                <xsd:element ref="ns3:_dlc_DocIdPersistId" minOccurs="0"/>
                <xsd:element ref="ns3:TaxCatchAll" minOccurs="0"/>
                <xsd:element ref="ns3:TaxCatchAllLabel"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Email_x0020_Date" ma:index="2" nillable="true" ma:displayName="Email Date" ma:format="DateOnly" ma:internalName="Email_x0020_Date">
      <xsd:simpleType>
        <xsd:restriction base="dms:DateTime"/>
      </xsd:simpleType>
    </xsd:element>
    <xsd:element name="Security_x0020_classification" ma:index="3" nillable="true"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7d0b3-8113-496a-b81f-22bab7531f6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hidden="true" ma:list="{00F9D136-882E-49CB-9A6E-2B7D91F69A39}" ma:internalName="TaxCatchAll" ma:showField="CatchAllData" ma:web="{e334e981-dc97-4e8c-952f-d8eda2f0729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F9D136-882E-49CB-9A6E-2B7D91F69A39}" ma:internalName="TaxCatchAllLabel" ma:readOnly="true" ma:showField="CatchAllDataLabel" ma:web="{e334e981-dc97-4e8c-952f-d8eda2f07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fc18c49-0394-481a-ba4a-a4ceacd0e392" ContentTypeId="0x01010020270C6529EA0544B2EFE190A98965FD"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40A47-0CE3-466E-9656-438017E7B38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5e47d0b3-8113-496a-b81f-22bab7531f6a"/>
    <ds:schemaRef ds:uri="6495cd43-30b7-45da-972d-05dc6321e6bd"/>
    <ds:schemaRef ds:uri="http://purl.org/dc/terms/"/>
  </ds:schemaRefs>
</ds:datastoreItem>
</file>

<file path=customXml/itemProps2.xml><?xml version="1.0" encoding="utf-8"?>
<ds:datastoreItem xmlns:ds="http://schemas.openxmlformats.org/officeDocument/2006/customXml" ds:itemID="{2ECF0491-76A3-400B-B4A4-67848614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5e47d0b3-8113-496a-b81f-22bab753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F30E8-9503-462E-AF86-573A5A04844E}">
  <ds:schemaRefs>
    <ds:schemaRef ds:uri="Microsoft.SharePoint.Taxonomy.ContentTypeSync"/>
  </ds:schemaRefs>
</ds:datastoreItem>
</file>

<file path=customXml/itemProps4.xml><?xml version="1.0" encoding="utf-8"?>
<ds:datastoreItem xmlns:ds="http://schemas.openxmlformats.org/officeDocument/2006/customXml" ds:itemID="{D91BA5CF-986F-4EB2-ABBD-1C5724213E26}">
  <ds:schemaRefs>
    <ds:schemaRef ds:uri="http://schemas.openxmlformats.org/officeDocument/2006/bibliography"/>
  </ds:schemaRefs>
</ds:datastoreItem>
</file>

<file path=customXml/itemProps5.xml><?xml version="1.0" encoding="utf-8"?>
<ds:datastoreItem xmlns:ds="http://schemas.openxmlformats.org/officeDocument/2006/customXml" ds:itemID="{5778B5AC-EDCA-4BB5-9998-AEB774D24F7E}">
  <ds:schemaRefs>
    <ds:schemaRef ds:uri="http://schemas.microsoft.com/sharepoint/events"/>
  </ds:schemaRefs>
</ds:datastoreItem>
</file>

<file path=customXml/itemProps6.xml><?xml version="1.0" encoding="utf-8"?>
<ds:datastoreItem xmlns:ds="http://schemas.openxmlformats.org/officeDocument/2006/customXml" ds:itemID="{E8C7711F-5296-474A-9193-3213806CD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1E54FE23</Template>
  <TotalTime>66</TotalTime>
  <Application>LibreOffice/7.3.7.2$Linux_X86_64 LibreOffice_project/30$Build-2</Application>
  <AppVersion>15.0000</AppVersion>
  <DocSecurity>4</DocSecurity>
  <Pages>7</Pages>
  <Words>1341</Words>
  <Characters>6712</Characters>
  <CharactersWithSpaces>8043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2018-12-13T09:01:00Z</dcterms:created>
  <dc:creator>Katharine Hanrahan</dc:creator>
  <dc:description/>
  <dc:language>en-US</dc:language>
  <cp:lastModifiedBy/>
  <dcterms:modified xsi:type="dcterms:W3CDTF">2024-08-28T15:35:14Z</dcterms:modified>
  <cp:revision>15</cp:revision>
  <dc:subject/>
  <dc:title>DPIA suggested process and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TaxKeyword">
    <vt:lpwstr/>
  </property>
  <property fmtid="{D5CDD505-2E9C-101B-9397-08002B2CF9AE}" pid="4" name="TaxKeywordTaxHTField">
    <vt:lpwstr/>
  </property>
  <property fmtid="{D5CDD505-2E9C-101B-9397-08002B2CF9AE}" pid="5" name="_dlc_DocIdItemGuid">
    <vt:lpwstr>0bad0418-77ea-4ecd-966a-dec3f7718644</vt:lpwstr>
  </property>
</Properties>
</file>