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Перевірка технічного завдання</w:t>
      </w:r>
    </w:p>
    <w:p>
      <w:pPr>
        <w:jc w:val="center"/>
      </w:pPr>
      <w:r>
        <w:rPr>
          <w:i/>
          <w:sz w:val="26"/>
        </w:rPr>
        <w:t>Логістична біржа з шістьма видами транспорту — рамкове ТЗ (версія 2.5) + Додаток A (версія 3.14)</w:t>
      </w:r>
    </w:p>
    <w:p>
      <w:pPr>
        <w:jc w:val="center"/>
      </w:pPr>
      <w:r>
        <w:rPr>
          <w:color w:val="666666"/>
          <w:sz w:val="20"/>
        </w:rPr>
        <w:t>Дата перевірки: 30.08.2026</w:t>
      </w:r>
    </w:p>
    <w:p/>
    <w:p>
      <w:r>
        <w:rPr>
          <w:b/>
          <w:i w:val="0"/>
          <w:sz w:val="22"/>
        </w:rPr>
        <w:t>Предмет перевірки</w:t>
      </w:r>
    </w:p>
    <w:p>
      <w:pPr>
        <w:pStyle w:val="ListBullet"/>
      </w:pPr>
      <w:r>
        <w:t>«ТЗ — логістична біржа з шістьма видами транспорту (рамковий документ)» (версія 2.5)</w:t>
      </w:r>
    </w:p>
    <w:p>
      <w:pPr>
        <w:pStyle w:val="ListBullet"/>
      </w:pPr>
      <w:r>
        <w:t>Додаток A. «Підсистема пошуку вантажів, транспорту та маршрутів» (версія 3.14)</w:t>
      </w:r>
    </w:p>
    <w:p>
      <w:pPr>
        <w:pStyle w:val="ListBullet"/>
      </w:pPr>
      <w:r>
        <w:t>JSON Schema контракту POST_DRONE (post-drone-1.0.json)</w:t>
      </w:r>
    </w:p>
    <w:p>
      <w:pPr>
        <w:pStyle w:val="ListBullet"/>
      </w:pPr>
      <w:r>
        <w:t>check_schema.py — скрипт перевірки схеми на сценаріях T16–T27</w:t>
      </w:r>
    </w:p>
    <w:p/>
    <w:p>
      <w:r>
        <w:rPr>
          <w:b w:val="0"/>
          <w:i/>
          <w:sz w:val="22"/>
        </w:rPr>
        <w:t>Мета перевірки: виявити внутрішні протиріччя, розбіжності в термінології/іменуванні полів між документами комплекту та фактичні помилки в наведених прикладах — перед тим, як на основі цього ТЗ продовжувати розробку сайту.</w:t>
      </w:r>
    </w:p>
    <w:p>
      <w:r>
        <w:br w:type="page"/>
      </w:r>
    </w:p>
    <w:p>
      <w:pPr>
        <w:pStyle w:val="Heading1"/>
      </w:pPr>
      <w:r>
        <w:t>Загальний висновок</w:t>
      </w:r>
    </w:p>
    <w:p>
      <w:r>
        <w:rPr>
          <w:b w:val="0"/>
          <w:i w:val="0"/>
          <w:sz w:val="22"/>
        </w:rPr>
        <w:t>Комплект документів структурований і в переважній більшості внутрішньо узгоджений: перехресні посилання між рамковим ТЗ і Додатком A коректні, ваги ранжування в розділі A.7 сумуються в 1.0 для всіх трьох критеріїв, а таблиця результатів перевірки схеми (A.8.4.3) арифметично збігається з переліком мутацій у check_schema.py (37 мутацій, 31 упіймана схемою, 6 — програмними перевірками). Водночас знайдено шість зауважень, з яких два (№1 і №2) є фактичними помилками в тексті, що можуть напряму вплинути на реалізацію алгоритму та схему бази даних, якщо їх не виправити перед розробкою.</w:t>
      </w:r>
    </w:p>
    <w:p>
      <w:pPr>
        <w:pStyle w:val="Heading1"/>
      </w:pPr>
      <w:r>
        <w:t>Перелік зауважень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Зауваження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</w:rPr>
              <w:t>Рівень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Дублювання схеми маршруту та зсув термінології «плечі / перевантаження» в A.6.9</w:t>
            </w:r>
          </w:p>
        </w:tc>
        <w:tc>
          <w:tcPr>
            <w:tcW w:type="dxa" w:w="2880"/>
          </w:tcPr>
          <w:p>
            <w:r>
              <w:t>Критичне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Розбіжність назви типу пункту: port (рамкове ТЗ) проти seaport (Додаток A)</w:t>
            </w:r>
          </w:p>
        </w:tc>
        <w:tc>
          <w:tcPr>
            <w:tcW w:type="dxa" w:w="2880"/>
          </w:tcPr>
          <w:p>
            <w:r>
              <w:t>Критичне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Неоднозначний статус USDT у валютній моделі — 8 чи 9 валют</w:t>
            </w:r>
          </w:p>
        </w:tc>
        <w:tc>
          <w:tcPr>
            <w:tcW w:type="dxa" w:w="2880"/>
          </w:tcPr>
          <w:p>
            <w:r>
              <w:t>Середнє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Повторне використання поля weight_t для ваги вантажу дрона в кг</w:t>
            </w:r>
          </w:p>
        </w:tc>
        <w:tc>
          <w:tcPr>
            <w:tcW w:type="dxa" w:w="2880"/>
          </w:tcPr>
          <w:p>
            <w:r>
              <w:t>Середнє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Розділи A.13.4–A.13.6 написані як звіт про вже виконане впровадження, а не як вимоги</w:t>
            </w:r>
          </w:p>
        </w:tc>
        <w:tc>
          <w:tcPr>
            <w:tcW w:type="dxa" w:w="2880"/>
          </w:tcPr>
          <w:p>
            <w:r>
              <w:t>Незначне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Не проговорено, чи вимога «один HTML-файл» стосується лише фронтенду production-версії</w:t>
            </w:r>
          </w:p>
        </w:tc>
        <w:tc>
          <w:tcPr>
            <w:tcW w:type="dxa" w:w="2880"/>
          </w:tcPr>
          <w:p>
            <w:r>
              <w:t>Незначне</w:t>
            </w:r>
          </w:p>
        </w:tc>
      </w:tr>
    </w:tbl>
    <w:p>
      <w:r>
        <w:br w:type="page"/>
      </w:r>
    </w:p>
    <w:p>
      <w:pPr>
        <w:pStyle w:val="Heading1"/>
      </w:pPr>
      <w:r>
        <w:t>Детальний розбір зауважень</w:t>
      </w:r>
    </w:p>
    <w:p>
      <w:pPr>
        <w:pStyle w:val="Heading2"/>
      </w:pPr>
      <w:r>
        <w:t>1. Дублювання схеми маршруту та зсув термінології в A.6.9 (Критичне)</w:t>
      </w:r>
    </w:p>
    <w:p>
      <w:r>
        <w:rPr>
          <w:b w:val="0"/>
          <w:i/>
          <w:sz w:val="22"/>
        </w:rPr>
        <w:t>Джерело: Додаток A, розділ A.6.9 «Групи схем маршрутів і графічні ешелони».</w:t>
      </w:r>
    </w:p>
    <w:p>
      <w:r>
        <w:rPr>
          <w:b w:val="0"/>
          <w:i w:val="0"/>
          <w:sz w:val="22"/>
        </w:rPr>
        <w:t>Цитата з документа:</w:t>
      </w:r>
    </w:p>
    <w:p>
      <w:pPr>
        <w:ind w:left="567"/>
      </w:pPr>
      <w:r>
        <w:rPr>
          <w:i/>
        </w:rPr>
        <w:t>«Схеми з чотирма перевантаженнями (авто → жд → море → жд, жд → море → жд → авто, авто → жд → море → авто, авто → жд → море → авто) генеруються цим самим графом при max_transships = 3 й отримують коефіцієнти переваги 1, 1, 2 та 2 відповідно. […] п'ять перевантажень означали б п'ять плечей, що суперечить max_legs = 4»</w:t>
      </w:r>
    </w:p>
    <w:p>
      <w:r>
        <w:rPr>
          <w:b w:val="0"/>
          <w:i w:val="0"/>
          <w:sz w:val="22"/>
        </w:rPr>
        <w:t>Проблема:</w:t>
      </w:r>
    </w:p>
    <w:p>
      <w:pPr>
        <w:pStyle w:val="ListBullet"/>
      </w:pPr>
      <w:r>
        <w:t>Третій і четвертий елементи переліку схем буквально однакові — «авто → жд → море → авто» повторено двічі. Тобто для чотирьох заявлених коефіцієнтів переваги (1, 1, 2, 2) наведено лише три різні схеми — четверта пропущена.</w:t>
      </w:r>
    </w:p>
    <w:p>
      <w:pPr>
        <w:pStyle w:val="ListBullet"/>
      </w:pPr>
      <w:r>
        <w:t>За формулою N_tr = k − 1 (розділ A.3.4) ланцюг із чотирьох плечей (наприклад, «авто → жд → море → жд») має три перевантаження, а не чотири — заголовок підрозділу і перше речення суперечать власній формулі документа.</w:t>
      </w:r>
    </w:p>
    <w:p>
      <w:pPr>
        <w:pStyle w:val="ListBullet"/>
      </w:pPr>
      <w:r>
        <w:t>У реченні «п'ять перевантажень означали б п'ять плечей» так само порушено ту саму формулу: п'ять перевантажень відповідають шести плечам (k = N_tr + 1), а не п'яти. Наведений приклад-ілюстрація «авто → жд → море → жд → авто» має п'ять плечей і, відповідно, чотири перевантаження — не п'ять, як стверджує сусіднє речення.</w:t>
      </w:r>
    </w:p>
    <w:p>
      <w:r>
        <w:rPr>
          <w:b w:val="0"/>
          <w:i w:val="0"/>
          <w:sz w:val="22"/>
        </w:rPr>
        <w:t>Наслідок для розробки: якщо цей підрозділ переносити в код чи в тест-кейси «як є», ешелон маршрутів із трьома перевантаженнями (4 плеча) залишиться описаним лише трьома, а не чотирма схемами, і межа max_legs = 4 буде обґрунтована невірною арифметикою.</w:t>
      </w:r>
    </w:p>
    <w:p>
      <w:r>
        <w:rPr>
          <w:b/>
          <w:i w:val="0"/>
          <w:sz w:val="22"/>
        </w:rPr>
        <w:t>Рекомендація: відновити четверту (відсутню) схему — за контекстом і симетрією з описаними раніше ешелонами s22/s23/s24 це, найімовірніше, «авто → море → жд → авто» — і виправити «чотирма перевантаженнями» → «трьома перевантаженнями», а «п'ять перевантажень означали б п'ять плечей» → «п'ять перевантажень означали б шість плечей».</w:t>
      </w:r>
    </w:p>
    <w:p/>
    <w:p>
      <w:pPr>
        <w:pStyle w:val="Heading2"/>
      </w:pPr>
      <w:r>
        <w:t>2. Розбіжність назви типу пункту: port проти seaport (Критичне)</w:t>
      </w:r>
    </w:p>
    <w:p>
      <w:r>
        <w:rPr>
          <w:b w:val="0"/>
          <w:i/>
          <w:sz w:val="22"/>
        </w:rPr>
        <w:t>Джерела:</w:t>
      </w:r>
    </w:p>
    <w:p>
      <w:pPr>
        <w:pStyle w:val="ListBullet"/>
      </w:pPr>
      <w:r>
        <w:t>Рамкове ТЗ, розділ 6.3: «типи пунктів city, port, rail_station, airport, drone_pad»</w:t>
      </w:r>
    </w:p>
    <w:p>
      <w:pPr>
        <w:pStyle w:val="ListBullet"/>
      </w:pPr>
      <w:r>
        <w:t>Додаток A, розділ A.4.1 (CREATE TABLE points): CHECK (kind IN ('city','rail_station','seaport','airport','drone_pad','warehouse','border_crossing'))</w:t>
      </w:r>
    </w:p>
    <w:p>
      <w:pPr>
        <w:pStyle w:val="ListBullet"/>
      </w:pPr>
      <w:r>
        <w:t>Додаток A, розділ A.3.1: «Базова база пунктів … порти (seaport)»</w:t>
      </w:r>
    </w:p>
    <w:p>
      <w:r>
        <w:rPr>
          <w:b w:val="0"/>
          <w:i w:val="0"/>
          <w:sz w:val="22"/>
        </w:rPr>
        <w:t>Проблема: рамкове ТЗ називає тип пункту для морського плеча port, тоді як Додаток A — джерело, якому за правилами самого комплекту («на розбіжність… пріоритет має додаток A») належить пріоритет, — послідовно використовує seaport, причому це значення зафіксоване в SQL-обмеженні (CHECK) і, отже, у фактичній структурі бази даних.</w:t>
      </w:r>
    </w:p>
    <w:p>
      <w:r>
        <w:rPr>
          <w:b w:val="0"/>
          <w:i w:val="0"/>
          <w:sz w:val="22"/>
        </w:rPr>
        <w:t>Наслідок для розробки: якщо розробник орієнтуватиметься на формулювання розділу 6.3 рамкового ТЗ, довідник points або конектори до нього отримають невалідне значення kind='port', яке не пройде CHECK-обмеження з A.4.1.</w:t>
      </w:r>
    </w:p>
    <w:p>
      <w:r>
        <w:rPr>
          <w:b/>
          <w:i w:val="0"/>
          <w:sz w:val="22"/>
        </w:rPr>
        <w:t>Рекомендація: у розділі 6.3 рамкового ТЗ замінити port на seaport, привівши термінологію у відповідність до Додатка A.</w:t>
      </w:r>
    </w:p>
    <w:p/>
    <w:p>
      <w:pPr>
        <w:pStyle w:val="Heading2"/>
      </w:pPr>
      <w:r>
        <w:t>3. Неоднозначний статус USDT у валютній моделі (Середнє)</w:t>
      </w:r>
    </w:p>
    <w:p>
      <w:r>
        <w:rPr>
          <w:b w:val="0"/>
          <w:i/>
          <w:sz w:val="22"/>
        </w:rPr>
        <w:t>Джерело: рамкове ТЗ, розділ 13.1 «Перелік валют MVP» та розділ 13.7, сценарій C1.</w:t>
      </w:r>
    </w:p>
    <w:p>
      <w:r>
        <w:rPr>
          <w:b w:val="0"/>
          <w:i w:val="0"/>
          <w:sz w:val="22"/>
        </w:rPr>
        <w:t>Проблема:</w:t>
      </w:r>
    </w:p>
    <w:p>
      <w:pPr>
        <w:pStyle w:val="ListBullet"/>
      </w:pPr>
      <w:r>
        <w:t>Таблиця розділу 13.1 містить рівно вісім валют (EUR, USD, UAH, PLN, CZK, RON, GBP, USDC). Одразу після таблиці USDT додається окремим реченням як «альтернативний актив» ескроу.</w:t>
      </w:r>
    </w:p>
    <w:p>
      <w:pPr>
        <w:pStyle w:val="ListBullet"/>
      </w:pPr>
      <w:r>
        <w:t>Сценарій C1 (розділ 13.7) формулює перевірку як «перелік валют у i18n/currencies.json збігається з таблицею 13.1 (вісім валют MVP)» — тобто буквально вимагає рівно вісім записів.</w:t>
      </w:r>
    </w:p>
    <w:p>
      <w:pPr>
        <w:pStyle w:val="ListBullet"/>
      </w:pPr>
      <w:r>
        <w:t>Водночас розділ 13.5 (блокчейн-ескроу) описує USDT як актив, доступний користувачу нарівні з USDC, а розділ 8, пункт 11 доручає адміністратору «перелік дозволених активів (USDC як основний, USDT як додатковий)» — формулювання, що передбачає керування USDT саме як активом, а не побічним явищем.</w:t>
      </w:r>
    </w:p>
    <w:p>
      <w:r>
        <w:rPr>
          <w:b w:val="0"/>
          <w:i w:val="0"/>
          <w:sz w:val="22"/>
        </w:rPr>
        <w:t>Незрозуміло: чи USDT — це (а) дев'ята валюта, що має потрапити до currencies.json понад вісім табличних, і тоді формулювання сценарію C1 «вісім валют» застаріле; чи (б) USDT — суто розрахунковий актив ескроу, який ніколи не є валютою ставки/відображення і тому в currencies.json взагалі не входить. Поточний текст не виключає жодного з двох прочитань.</w:t>
      </w:r>
    </w:p>
    <w:p>
      <w:r>
        <w:rPr>
          <w:b/>
          <w:i w:val="0"/>
          <w:sz w:val="22"/>
        </w:rPr>
        <w:t>Рекомендація: явно вказати в розділі 13.1 одне з двох — або додати USDT дев'ятим рядком таблиці з приміткою «лише ескроу, недоступний як валюта ставки», або прямо написати в розділі 13.5, що USDT не є записом currencies.json, а керується окремим переліком (розділ 8, п. 11), і привести формулювання сценарію C1 у відповідність.</w:t>
      </w:r>
    </w:p>
    <w:p/>
    <w:p>
      <w:pPr>
        <w:pStyle w:val="Heading2"/>
      </w:pPr>
      <w:r>
        <w:t>4. Повторне використання поля weight_t для ваги вантажу дрона в кілограмах (Середнє)</w:t>
      </w:r>
    </w:p>
    <w:p>
      <w:r>
        <w:rPr>
          <w:b w:val="0"/>
          <w:i/>
          <w:sz w:val="22"/>
        </w:rPr>
        <w:t>Джерело: Додаток A, розділ A.3.2 (вхідні дані запиту) та розділ 5.1 рамкового ТЗ.</w:t>
      </w:r>
    </w:p>
    <w:p>
      <w:r>
        <w:rPr>
          <w:b w:val="0"/>
          <w:i w:val="0"/>
          <w:sz w:val="22"/>
        </w:rPr>
        <w:t>Проблема:</w:t>
      </w:r>
    </w:p>
    <w:p>
      <w:pPr>
        <w:pStyle w:val="ListBullet"/>
      </w:pPr>
      <w:r>
        <w:t>Розділ A.3.2 визначає поле Vaga → API-поле weight_t з описом «Вага, т (для дронів — кг)». Назва поля (суфікс _t, тобто «тонни») зберігається незмінною, але для розділу дронів те саме поле трактується в інших одиницях виміру (кілограми) без зміни назви чи типу.</w:t>
      </w:r>
    </w:p>
    <w:p>
      <w:pPr>
        <w:pStyle w:val="ListBullet"/>
      </w:pPr>
      <w:r>
        <w:t>Розділ 5.1 рамкового ТЗ окремо визначає поле шаблону заявки «Вага вантажу (кг)» для дронів, не вказуючи явно, чи це те саме weight_t з A.3.2, чи окреме поле бізнес-шаблону заявки, яке потім конвертується в weight_t.</w:t>
      </w:r>
    </w:p>
    <w:p>
      <w:r>
        <w:rPr>
          <w:b w:val="0"/>
          <w:i w:val="0"/>
          <w:sz w:val="22"/>
        </w:rPr>
        <w:t>Наслідок для розробки: реалізація «в лоба» (одне числове поле weight_t, значення якого означає тонни для п'яти видів транспорту й кілограми для дрона) — типове джерело помилок у валідації (наприклад, ADR/ваговий ліміт з розділу A.6.8 порівнюватиме max_payload_kg із значенням, що зберігається під назвою «тонни»), особливо якщо код чи адміністративна панель колись почнуть уніфіковано форматувати чи конвертувати всі *_t поля.</w:t>
      </w:r>
    </w:p>
    <w:p>
      <w:r>
        <w:rPr>
          <w:b/>
          <w:i w:val="0"/>
          <w:sz w:val="22"/>
        </w:rPr>
        <w:t>Рекомендація: для розділу дронів використовувати окреме поле (наприклад, weight_kg або payload_kg) замість перевантаження weight_t, або явно задокументувати правило конвертації та звідки саме береться одиниця виміру для кожного виду транспорту.</w:t>
      </w:r>
    </w:p>
    <w:p/>
    <w:p>
      <w:pPr>
        <w:pStyle w:val="Heading2"/>
      </w:pPr>
      <w:r>
        <w:t>5. Розділи A.13.4–A.13.6 написані як звіт про вже виконане впровадження (Незначне)</w:t>
      </w:r>
    </w:p>
    <w:p>
      <w:r>
        <w:rPr>
          <w:b w:val="0"/>
          <w:i/>
          <w:sz w:val="22"/>
        </w:rPr>
        <w:t>Джерело: Додаток A, розділи A.13.4–A.13.6.</w:t>
      </w:r>
    </w:p>
    <w:p>
      <w:r>
        <w:rPr>
          <w:b w:val="0"/>
          <w:i w:val="0"/>
          <w:sz w:val="22"/>
        </w:rPr>
        <w:t>Ці розділи містять не вимоги на майбутнє, а розповідь про вже проведену роботу: назву конкретного репозиторію (Dymytrii524/TA), фактичні номери й тексти помилок GitHub («GH013: Repository rule violations found»), результати одинадцяти реальних pull request'ів і підсумок «станом на цю редакцію: перевірок 10, мутацій 14, виявлено 14 з 14». Для документа зі статусом «технічне завдання» це нетипово — ТЗ зазвичай описує, що має бути зроблено, а не журналює вже виконані дії з чужого репозиторію.</w:t>
      </w:r>
    </w:p>
    <w:p>
      <w:r>
        <w:rPr>
          <w:b w:val="0"/>
          <w:i w:val="0"/>
          <w:sz w:val="22"/>
        </w:rPr>
        <w:t>Наслідок: виконавець, що вперше читає документ, може сплутати цей опис із чинним станом свого проєкту (адже репозиторій, зазначений у тексті, — не той, над яким ведеться поточна робота) або витратити час на відтворення вже описаних тестових прогонів.</w:t>
      </w:r>
    </w:p>
    <w:p>
      <w:r>
        <w:rPr>
          <w:b/>
          <w:i w:val="0"/>
          <w:sz w:val="22"/>
        </w:rPr>
        <w:t>Рекомендація: винести розділи A.13.4–A.13.6 в окремий додаток «Журнал перевірки CI-конфігурації» або явно позначити на початку розділу, що це приклад-звіт з іншого репозиторію, наведений для ілюстрації методики, а не опис поточного стану проєкту.</w:t>
      </w:r>
    </w:p>
    <w:p/>
    <w:p>
      <w:pPr>
        <w:pStyle w:val="Heading2"/>
      </w:pPr>
      <w:r>
        <w:t>6. Не проговорено обсяг вимоги «один HTML-файл» для production-версії (Незначне)</w:t>
      </w:r>
    </w:p>
    <w:p>
      <w:r>
        <w:rPr>
          <w:b w:val="0"/>
          <w:i/>
          <w:sz w:val="22"/>
        </w:rPr>
        <w:t>Джерело: рамкове ТЗ, розділ 9.2.</w:t>
      </w:r>
    </w:p>
    <w:p>
      <w:r>
        <w:rPr>
          <w:b w:val="0"/>
          <w:i w:val="0"/>
          <w:sz w:val="22"/>
        </w:rPr>
        <w:t>Розділ одночасно стверджує, що SPA в єдиному файлі index.html — це технічна база, яку «має бути збережено й розширено», і що для production «localStorage повністю відмовляється» на користь реальної реляційної БД, а модуль SEARCH (Додаток A) вимагає PostgreSQL/PostGIS і Redis, «і вони мають вищий пріоритет». Прямо не сказано, чи вимога «один файл» стосується лише фронтенду (що сумісно з окремим бекендом на реальній БД) чи знімається повністю разом із переходом на production-архітектуру.</w:t>
      </w:r>
    </w:p>
    <w:p>
      <w:r>
        <w:rPr>
          <w:b/>
          <w:i w:val="0"/>
          <w:sz w:val="22"/>
        </w:rPr>
        <w:t>Рекомендація: додати одне речення, що явно закриває це питання — наприклад, «вимога «один файл» застосовується лише до клієнтського SPA; бекенд і сховище даних завжди є окремими компонентами незалежно від стадії розробки».</w:t>
      </w:r>
    </w:p>
    <w:p>
      <w:r>
        <w:br w:type="page"/>
      </w:r>
    </w:p>
    <w:p>
      <w:pPr>
        <w:pStyle w:val="Heading1"/>
      </w:pPr>
      <w:r>
        <w:t>Підсумок і наступний крок</w:t>
      </w:r>
    </w:p>
    <w:p>
      <w:r>
        <w:rPr>
          <w:b w:val="0"/>
          <w:i w:val="0"/>
          <w:sz w:val="22"/>
        </w:rPr>
        <w:t>Знайдені зауваження не ставлять під сумнів загальну архітектуру ТЗ — алгоритм пошуку маршрутів (A.6), контракт POST_DRONE (A.8.4) і схема ранжування (A.7) внутрішньо узгоджені й арифметично перевірені. Перед тим, як розширювати поточну демо-версію сайту відповідно до цього ТЗ, рекомендується усунути зауваження №1 і №2 (вони впливають на структуру даних і алгоритм), а зауваження №3–4 — узгодити з замовником як явні рішення, а не залишати на розсуд розробника.</w:t>
      </w:r>
    </w:p>
    <w:p>
      <w:r>
        <w:rPr>
          <w:b w:val="0"/>
          <w:i w:val="0"/>
          <w:sz w:val="22"/>
        </w:rPr>
        <w:t>Окремо звертаю увагу: цей комплект ТЗ описує промислову систему (реляційна СУБД з PostGIS, Redis-кеш, JSON Schema-контракт із CI-перевіркою на GitHub Actions, блокчейн-ескроу на USDC/USDT, розширення до 24 мов). Поточний стан сайту — односторінковий демонстраційний застосунок на localStorage з легким Node.js-бекендом лише для кількох сервісів (погода, кордони, довідник, Q&amp;A). «Дописати повну версію сайту» за цим ТЗ буквально означає розробку промислового бекенду, чого не можна чесно імітувати в межах демо без вигаданих даних — тому обсяг подальшої роботи над сайтом варто узгодити окремо, перш ніж продовжувати.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