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C76" w:rsidRDefault="00C22111">
      <w:pPr>
        <w:pStyle w:val="Titre"/>
      </w:pPr>
      <w:bookmarkStart w:id="0" w:name="_GoBack"/>
      <w:bookmarkEnd w:id="0"/>
      <w:r>
        <w:t>D365FO Berechtigungskonzept &amp; Lizenzoptimierungs-Strategie</w:t>
      </w:r>
    </w:p>
    <w:p w:rsidR="00020C76" w:rsidRDefault="00C22111">
      <w:pPr>
        <w:pStyle w:val="Sous-titre"/>
      </w:pPr>
      <w:r>
        <w:t>Strategisches Vorgehen, Rollendesign, Deliverables und Governance für Rollout &amp; Bestand</w:t>
      </w:r>
    </w:p>
    <w:p w:rsidR="00020C76" w:rsidRDefault="00C22111">
      <w:pPr>
        <w:pStyle w:val="Author"/>
      </w:pPr>
      <w:r>
        <w:t>Lead D365 Security &amp; Licensing Architect</w:t>
      </w:r>
    </w:p>
    <w:p w:rsidR="00020C76" w:rsidRDefault="00C22111">
      <w:pPr>
        <w:pStyle w:val="Date"/>
      </w:pPr>
      <w:r>
        <w:t>2026-10-21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558941250"/>
        <w:docPartObj>
          <w:docPartGallery w:val="Table of Contents"/>
          <w:docPartUnique/>
        </w:docPartObj>
      </w:sdtPr>
      <w:sdtEndPr/>
      <w:sdtContent>
        <w:p w:rsidR="00020C76" w:rsidRDefault="00C22111">
          <w:pPr>
            <w:pStyle w:val="En-ttedetabledesmatires"/>
          </w:pPr>
          <w:r>
            <w:t>Table of Contents</w:t>
          </w:r>
        </w:p>
        <w:p w:rsidR="00FF1082" w:rsidRDefault="00C22111">
          <w:pPr>
            <w:pStyle w:val="TM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FF1082">
            <w:fldChar w:fldCharType="separate"/>
          </w:r>
          <w:hyperlink w:anchor="_Toc243475958" w:history="1">
            <w:r w:rsidR="00FF1082" w:rsidRPr="00CB0625">
              <w:rPr>
                <w:rStyle w:val="Lienhypertexte"/>
                <w:noProof/>
              </w:rPr>
              <w:t>1. Zusammenfassung und Ausgangslage</w:t>
            </w:r>
            <w:r w:rsidR="00FF1082">
              <w:rPr>
                <w:noProof/>
                <w:webHidden/>
              </w:rPr>
              <w:tab/>
            </w:r>
            <w:r w:rsidR="00FF1082">
              <w:rPr>
                <w:noProof/>
                <w:webHidden/>
              </w:rPr>
              <w:fldChar w:fldCharType="begin"/>
            </w:r>
            <w:r w:rsidR="00FF1082">
              <w:rPr>
                <w:noProof/>
                <w:webHidden/>
              </w:rPr>
              <w:instrText xml:space="preserve"> PAGEREF _Toc243475958 \h </w:instrText>
            </w:r>
            <w:r w:rsidR="00FF1082">
              <w:rPr>
                <w:noProof/>
                <w:webHidden/>
              </w:rPr>
            </w:r>
            <w:r w:rsidR="00FF1082">
              <w:rPr>
                <w:noProof/>
                <w:webHidden/>
              </w:rPr>
              <w:fldChar w:fldCharType="separate"/>
            </w:r>
            <w:r w:rsidR="00FF1082">
              <w:rPr>
                <w:noProof/>
                <w:webHidden/>
              </w:rPr>
              <w:t>2</w:t>
            </w:r>
            <w:r w:rsidR="00FF1082"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59" w:history="1">
            <w:r w:rsidRPr="00CB0625">
              <w:rPr>
                <w:rStyle w:val="Lienhypertexte"/>
                <w:noProof/>
              </w:rPr>
              <w:t>Worum es geht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60" w:history="1">
            <w:r w:rsidRPr="00CB0625">
              <w:rPr>
                <w:rStyle w:val="Lienhypertexte"/>
                <w:noProof/>
              </w:rPr>
              <w:t>Die Strategie in einem Satz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61" w:history="1">
            <w:r w:rsidRPr="00CB0625">
              <w:rPr>
                <w:rStyle w:val="Lienhypertexte"/>
                <w:noProof/>
              </w:rPr>
              <w:t>Ausgangslage: die zwei Stränge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62" w:history="1">
            <w:r w:rsidRPr="00CB0625">
              <w:rPr>
                <w:rStyle w:val="Lienhypertexte"/>
                <w:noProof/>
              </w:rPr>
              <w:t>Bekannte Probleme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63" w:history="1">
            <w:r w:rsidRPr="00CB0625">
              <w:rPr>
                <w:rStyle w:val="Lienhypertexte"/>
                <w:noProof/>
              </w:rPr>
              <w:t>Das Wichtigste in Kürze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64" w:history="1">
            <w:r w:rsidRPr="00CB0625">
              <w:rPr>
                <w:rStyle w:val="Lienhypertexte"/>
                <w:noProof/>
              </w:rPr>
              <w:t>Was jetzt zu entscheiden 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43475965" w:history="1">
            <w:r w:rsidRPr="00CB0625">
              <w:rPr>
                <w:rStyle w:val="Lienhypertexte"/>
                <w:noProof/>
              </w:rPr>
              <w:t>2. Leitprinzipien der Berechtigungsarchitektur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43475966" w:history="1">
            <w:r w:rsidRPr="00CB0625">
              <w:rPr>
                <w:rStyle w:val="Lienhypertexte"/>
                <w:noProof/>
              </w:rPr>
              <w:t>3. Phasenplan &amp; Strategisches Vorgehen (Step-by-Step)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67" w:history="1">
            <w:r w:rsidRPr="00CB0625">
              <w:rPr>
                <w:rStyle w:val="Lienhypertexte"/>
                <w:noProof/>
              </w:rPr>
              <w:t>Phase 0: Mobilisierung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68" w:history="1">
            <w:r w:rsidRPr="00CB0625">
              <w:rPr>
                <w:rStyle w:val="Lienhypertexte"/>
                <w:noProof/>
              </w:rPr>
              <w:t>Phase 1: Ist-Analyse &amp; Quick-Wins (Fokus Strang 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69" w:history="1">
            <w:r w:rsidRPr="00CB0625">
              <w:rPr>
                <w:rStyle w:val="Lienhypertexte"/>
                <w:noProof/>
              </w:rPr>
              <w:t>Phase 2: Rollendesign &amp; Stellenbeschreibungs-Mapping (Fokus Strang B &amp; Zielmodell)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70" w:history="1">
            <w:r w:rsidRPr="00CB0625">
              <w:rPr>
                <w:rStyle w:val="Lienhypertexte"/>
                <w:noProof/>
              </w:rPr>
              <w:t>Phase 3: Fachbereichs-Workshops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71" w:history="1">
            <w:r w:rsidRPr="00CB0625">
              <w:rPr>
                <w:rStyle w:val="Lienhypertexte"/>
                <w:noProof/>
              </w:rPr>
              <w:t>Phase 4: Technischer Build &amp; Versionierung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72" w:history="1">
            <w:r w:rsidRPr="00CB0625">
              <w:rPr>
                <w:rStyle w:val="Lienhypertexte"/>
                <w:noProof/>
              </w:rPr>
              <w:t>Phase 5: Testkonzept &amp; Zusammenarbeit mit dem Testmanager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73" w:history="1">
            <w:r w:rsidRPr="00CB0625">
              <w:rPr>
                <w:rStyle w:val="Lienhypertexte"/>
                <w:noProof/>
              </w:rPr>
              <w:t>Phase 6: Rollout &amp;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74" w:history="1">
            <w:r w:rsidRPr="00CB0625">
              <w:rPr>
                <w:rStyle w:val="Lienhypertexte"/>
                <w:noProof/>
              </w:rPr>
              <w:t>Phase 7: Betrieb, Governance &amp; Rezertifizierung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43475975" w:history="1">
            <w:r w:rsidRPr="00CB0625">
              <w:rPr>
                <w:rStyle w:val="Lienhypertexte"/>
                <w:noProof/>
              </w:rPr>
              <w:t>4. Einkauf als Pilot: Transformation von Task Recordings in Rollen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76" w:history="1">
            <w:r w:rsidRPr="00CB0625">
              <w:rPr>
                <w:rStyle w:val="Lienhypertexte"/>
                <w:noProof/>
              </w:rPr>
              <w:t>Der 5-Schritte-Veredelungsprozess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77" w:history="1">
            <w:r w:rsidRPr="00CB0625">
              <w:rPr>
                <w:rStyle w:val="Lienhypertexte"/>
                <w:noProof/>
              </w:rPr>
              <w:t>Zweite Pilotwelle: Innendienst und Lager/Logistik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43475978" w:history="1">
            <w:r w:rsidRPr="00CB0625">
              <w:rPr>
                <w:rStyle w:val="Lienhypertexte"/>
                <w:noProof/>
              </w:rPr>
              <w:t>5. Schnittstelle zum Testmanager: Integriertes Testkonzept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79" w:history="1">
            <w:r w:rsidRPr="00CB0625">
              <w:rPr>
                <w:rStyle w:val="Lienhypertexte"/>
                <w:noProof/>
              </w:rPr>
              <w:t>Testorganisation im Zusammenspiel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80" w:history="1">
            <w:r w:rsidRPr="00CB0625">
              <w:rPr>
                <w:rStyle w:val="Lienhypertexte"/>
                <w:noProof/>
              </w:rPr>
              <w:t>Testumgebungen und Datenstand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43475981" w:history="1">
            <w:r w:rsidRPr="00CB0625">
              <w:rPr>
                <w:rStyle w:val="Lienhypertexte"/>
                <w:noProof/>
              </w:rPr>
              <w:t>6. Deliverables &amp; Dokumentenlandschaft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43475982" w:history="1">
            <w:r w:rsidRPr="00CB0625">
              <w:rPr>
                <w:rStyle w:val="Lienhypertexte"/>
                <w:noProof/>
              </w:rPr>
              <w:t>7. Rollenschnitt &amp; Stellenbeschreibungen: Praxisbeispiel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83" w:history="1">
            <w:r w:rsidRPr="00CB0625">
              <w:rPr>
                <w:rStyle w:val="Lienhypertexte"/>
                <w:noProof/>
              </w:rPr>
              <w:t>Die Herausforderung mit Stellenbeschreibungen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84" w:history="1">
            <w:r w:rsidRPr="00CB0625">
              <w:rPr>
                <w:rStyle w:val="Lienhypertexte"/>
                <w:noProof/>
              </w:rPr>
              <w:t>Best-Practice Lösungsansatz: Der „Modulare Stellenkoffer“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43475985" w:history="1">
            <w:r w:rsidRPr="00CB0625">
              <w:rPr>
                <w:rStyle w:val="Lienhypertexte"/>
                <w:noProof/>
              </w:rPr>
              <w:t>8. Risiken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43475986" w:history="1">
            <w:r w:rsidRPr="00CB0625">
              <w:rPr>
                <w:rStyle w:val="Lienhypertexte"/>
                <w:noProof/>
              </w:rPr>
              <w:t>9. Strang B: Lizenzplanung der neuen Gesellschaft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87" w:history="1">
            <w:r w:rsidRPr="00CB0625">
              <w:rPr>
                <w:rStyle w:val="Lienhypertexte"/>
                <w:noProof/>
              </w:rPr>
              <w:t>Mengengerüst und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88" w:history="1">
            <w:r w:rsidRPr="00CB0625">
              <w:rPr>
                <w:rStyle w:val="Lienhypertexte"/>
                <w:noProof/>
              </w:rPr>
              <w:t>Prüfpunkte zum Mengengerüst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89" w:history="1">
            <w:r w:rsidRPr="00CB0625">
              <w:rPr>
                <w:rStyle w:val="Lienhypertexte"/>
                <w:noProof/>
              </w:rPr>
              <w:t>Vorgehen je Rolle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90" w:history="1">
            <w:r w:rsidRPr="00CB0625">
              <w:rPr>
                <w:rStyle w:val="Lienhypertexte"/>
                <w:noProof/>
              </w:rPr>
              <w:t>Lizenz und Kapazität (Prinzip 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43475991" w:history="1">
            <w:r w:rsidRPr="00CB0625">
              <w:rPr>
                <w:rStyle w:val="Lienhypertexte"/>
                <w:noProof/>
              </w:rPr>
              <w:t>10. Datenbankkapazität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92" w:history="1">
            <w:r w:rsidRPr="00CB0625">
              <w:rPr>
                <w:rStyle w:val="Lienhypertexte"/>
                <w:noProof/>
              </w:rPr>
              <w:t>Ausgangslage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93" w:history="1">
            <w:r w:rsidRPr="00CB0625">
              <w:rPr>
                <w:rStyle w:val="Lienhypertexte"/>
                <w:noProof/>
              </w:rPr>
              <w:t>Wie Verbrauch und Kontingent entstehen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94" w:history="1">
            <w:r w:rsidRPr="00CB0625">
              <w:rPr>
                <w:rStyle w:val="Lienhypertexte"/>
                <w:noProof/>
              </w:rPr>
              <w:t>Prognose bis Ende 2028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95" w:history="1">
            <w:r w:rsidRPr="00CB0625">
              <w:rPr>
                <w:rStyle w:val="Lienhypertexte"/>
                <w:noProof/>
              </w:rPr>
              <w:t>Überbrückung bis zum Go-Live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96" w:history="1">
            <w:r w:rsidRPr="00CB0625">
              <w:rPr>
                <w:rStyle w:val="Lienhypertexte"/>
                <w:noProof/>
              </w:rPr>
              <w:t>Maßnahmen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43475997" w:history="1">
            <w:r w:rsidRPr="00CB0625">
              <w:rPr>
                <w:rStyle w:val="Lienhypertexte"/>
                <w:noProof/>
              </w:rPr>
              <w:t>Offene Punkte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082" w:rsidRDefault="00FF1082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43475998" w:history="1">
            <w:r w:rsidRPr="00CB0625">
              <w:rPr>
                <w:rStyle w:val="Lienhypertexte"/>
                <w:noProof/>
              </w:rPr>
              <w:t>11. Nächste Schritte bis zum Go-Live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C76" w:rsidRDefault="00C22111">
          <w:r>
            <w:fldChar w:fldCharType="end"/>
          </w:r>
        </w:p>
      </w:sdtContent>
    </w:sdt>
    <w:p w:rsidR="00020C76" w:rsidRDefault="00C22111">
      <w:pPr>
        <w:pStyle w:val="Titre1"/>
      </w:pPr>
      <w:bookmarkStart w:id="1" w:name="zusammenfassung-und-ausgangslage"/>
      <w:bookmarkStart w:id="2" w:name="_Toc243475958"/>
      <w:r>
        <w:t>1. Zusammenfassung und Ausgangslage</w:t>
      </w:r>
      <w:bookmarkEnd w:id="2"/>
    </w:p>
    <w:p w:rsidR="00020C76" w:rsidRDefault="00C22111">
      <w:pPr>
        <w:pStyle w:val="Titre3"/>
      </w:pPr>
      <w:bookmarkStart w:id="3" w:name="worum-es-geht"/>
      <w:bookmarkStart w:id="4" w:name="_Toc243475959"/>
      <w:r>
        <w:t>Worum es geht</w:t>
      </w:r>
      <w:bookmarkEnd w:id="4"/>
    </w:p>
    <w:p w:rsidR="00020C76" w:rsidRDefault="00C22111">
      <w:pPr>
        <w:pStyle w:val="FirstParagraph"/>
      </w:pPr>
      <w:r>
        <w:t>Dieses Dokument beschreibt die Berechtigungs- und Lizenzstrategie der WIBU-Gruppe für Dynamics 365 Finance &amp; Supply Chain Management (D365FO). Es legt fest, wie Rollen und Berechtigungen aufgebaut, vergeben</w:t>
      </w:r>
      <w:r>
        <w:t xml:space="preserve"> und gepflegt werden. Dabei gelten drei Ziele gleichzeitig:</w:t>
      </w:r>
    </w:p>
    <w:p w:rsidR="00020C76" w:rsidRDefault="00C22111">
      <w:pPr>
        <w:pStyle w:val="Compact"/>
        <w:numPr>
          <w:ilvl w:val="0"/>
          <w:numId w:val="2"/>
        </w:numPr>
      </w:pPr>
      <w:r>
        <w:rPr>
          <w:b/>
          <w:bCs/>
        </w:rPr>
        <w:t>Arbeitsfähigkeit:</w:t>
      </w:r>
      <w:r>
        <w:t xml:space="preserve"> Die Mitarbeiter können alle Aufgaben ihrer Stelle im System erledigen.</w:t>
      </w:r>
    </w:p>
    <w:p w:rsidR="00020C76" w:rsidRDefault="00C22111">
      <w:pPr>
        <w:pStyle w:val="Compact"/>
        <w:numPr>
          <w:ilvl w:val="0"/>
          <w:numId w:val="2"/>
        </w:numPr>
      </w:pPr>
      <w:r>
        <w:rPr>
          <w:b/>
          <w:bCs/>
        </w:rPr>
        <w:t>Sicherheit und Revision:</w:t>
      </w:r>
      <w:r>
        <w:t xml:space="preserve"> Zugriffe sind nachvollziehbar, und unzulässige Funktionskombinationen werden vermi</w:t>
      </w:r>
      <w:r>
        <w:t>eden (Funktionstrennung, englisch Segregation of Duties, kurz SoD).</w:t>
      </w:r>
    </w:p>
    <w:p w:rsidR="00020C76" w:rsidRDefault="00C22111">
      <w:pPr>
        <w:pStyle w:val="Compact"/>
        <w:numPr>
          <w:ilvl w:val="0"/>
          <w:numId w:val="2"/>
        </w:numPr>
      </w:pPr>
      <w:r>
        <w:rPr>
          <w:b/>
          <w:bCs/>
        </w:rPr>
        <w:t>Lizenzkosten:</w:t>
      </w:r>
      <w:r>
        <w:t xml:space="preserve"> Jeder Benutzer erhält nur die Lizenz, die seine Aufgaben tatsächlich erfordern.</w:t>
      </w:r>
    </w:p>
    <w:p w:rsidR="00020C76" w:rsidRDefault="00C22111">
      <w:pPr>
        <w:pStyle w:val="FirstParagraph"/>
      </w:pPr>
      <w:r>
        <w:t>Das Dokument gilt für die Gesellschaften, die bereits mit D365FO arbeiten, und für die neue Ge</w:t>
      </w:r>
      <w:r>
        <w:t>sellschaft, deren Go-Live für Mitte Juni 2027 geplant ist. Weil Lizenzen und Datenbank-Speicher bei Microsoft zusammenhängen, behandelt es auch die Datenbankkapazität.</w:t>
      </w:r>
    </w:p>
    <w:p w:rsidR="00020C76" w:rsidRDefault="00C22111">
      <w:pPr>
        <w:pStyle w:val="Corpsdetexte"/>
      </w:pPr>
      <w:r>
        <w:rPr>
          <w:b/>
          <w:bCs/>
        </w:rPr>
        <w:t>Für wen und wie lesen:</w:t>
      </w:r>
      <w:r>
        <w:t xml:space="preserve"> Das Dokument richtet sich an IT-Leitung, Projektleitung, Fachbere</w:t>
      </w:r>
      <w:r>
        <w:t xml:space="preserve">ichsleitungen und Testmanagement. Für einen Überblick genügen dieses </w:t>
      </w:r>
      <w:r>
        <w:lastRenderedPageBreak/>
        <w:t>Kapitel und Kapitel 11 (nächste Schritte). Die Lizenzplanung der neuen Gesellschaft steht in Kapitel 9, die Datenbankkapazität in Kapitel 10. Die übrigen Kapitel beschreiben Vorgehen, Rol</w:t>
      </w:r>
      <w:r>
        <w:t>lendesign, Tests und Betrieb.</w:t>
      </w:r>
    </w:p>
    <w:p w:rsidR="00020C76" w:rsidRDefault="00C22111">
      <w:pPr>
        <w:pStyle w:val="Titre3"/>
      </w:pPr>
      <w:bookmarkStart w:id="5" w:name="die-strategie-in-einem-satz"/>
      <w:bookmarkStart w:id="6" w:name="_Toc243475960"/>
      <w:bookmarkEnd w:id="3"/>
      <w:r>
        <w:t>Die Strategie in einem Satz</w:t>
      </w:r>
      <w:bookmarkEnd w:id="6"/>
    </w:p>
    <w:p w:rsidR="00020C76" w:rsidRDefault="00C22111">
      <w:pPr>
        <w:pStyle w:val="Normalcentr"/>
      </w:pPr>
      <w:r>
        <w:rPr>
          <w:b/>
          <w:bCs/>
        </w:rPr>
        <w:t>Ein gemeinsamer Rollenkatalog für die ganze WIBU-Gruppe, eingeführt in zwei Strängen: In Strang A werden die Rollen der Gesellschaften, die bereits live sind, schrittweise und anhand der tatsächlich</w:t>
      </w:r>
      <w:r>
        <w:rPr>
          <w:b/>
          <w:bCs/>
        </w:rPr>
        <w:t>en Nutzung bereinigt. In Strang B startet die neue Gesellschaft von Anfang an mit dem neuen Rollenmodell.</w:t>
      </w:r>
    </w:p>
    <w:p w:rsidR="00020C76" w:rsidRDefault="00C22111">
      <w:pPr>
        <w:pStyle w:val="Titre3"/>
      </w:pPr>
      <w:bookmarkStart w:id="7" w:name="ausgangslage-die-zwei-stränge"/>
      <w:bookmarkStart w:id="8" w:name="_Toc243475961"/>
      <w:bookmarkEnd w:id="5"/>
      <w:r>
        <w:t>Ausgangslage: die zwei Stränge</w:t>
      </w:r>
      <w:bookmarkEnd w:id="8"/>
    </w:p>
    <w:p w:rsidR="00020C76" w:rsidRDefault="00C22111">
      <w:pPr>
        <w:pStyle w:val="Compact"/>
        <w:numPr>
          <w:ilvl w:val="0"/>
          <w:numId w:val="3"/>
        </w:numPr>
      </w:pPr>
      <w:r>
        <w:rPr>
          <w:b/>
          <w:bCs/>
        </w:rPr>
        <w:t>Strang A – Gesellschaften, die bereits live sind:</w:t>
      </w:r>
      <w:r>
        <w:t xml:space="preserve"> Sie arbeiten produktiv mit D365FO. Ihre Rollen sind über die Jahre ge</w:t>
      </w:r>
      <w:r>
        <w:t>wachsen; die Probleme daraus stehen im nächsten Abschnitt.</w:t>
      </w:r>
    </w:p>
    <w:p w:rsidR="00020C76" w:rsidRDefault="00C22111">
      <w:pPr>
        <w:pStyle w:val="Compact"/>
        <w:numPr>
          <w:ilvl w:val="0"/>
          <w:numId w:val="3"/>
        </w:numPr>
      </w:pPr>
      <w:r>
        <w:rPr>
          <w:b/>
          <w:bCs/>
        </w:rPr>
        <w:t>Strang B – neue Gesellschaft:</w:t>
      </w:r>
      <w:r>
        <w:t xml:space="preserve"> Das Einführungsprojekt hat begonnen; der Go-Live ist für Mitte Juni 2027 geplant. Hier kann das Rollenmodell von Anfang an einheitlich, prozessorientiert und lizenzgün</w:t>
      </w:r>
      <w:r>
        <w:t>stig eingesetzt werden. Fachbereiche wie der Einkauf haben bereits Prozesse mit dem D365-</w:t>
      </w:r>
      <w:r>
        <w:rPr>
          <w:b/>
          <w:bCs/>
        </w:rPr>
        <w:t>Aufgabenaufzeichner (Task Recorder)</w:t>
      </w:r>
      <w:r>
        <w:t xml:space="preserve"> erfasst.</w:t>
      </w:r>
    </w:p>
    <w:p w:rsidR="00020C76" w:rsidRDefault="00C22111">
      <w:pPr>
        <w:pStyle w:val="Titre3"/>
      </w:pPr>
      <w:bookmarkStart w:id="9" w:name="bekannte-probleme"/>
      <w:bookmarkStart w:id="10" w:name="_Toc243475962"/>
      <w:bookmarkEnd w:id="7"/>
      <w:r>
        <w:t>Bekannte Probleme</w:t>
      </w:r>
      <w:bookmarkEnd w:id="10"/>
    </w:p>
    <w:p w:rsidR="00020C76" w:rsidRDefault="00C22111">
      <w:pPr>
        <w:pStyle w:val="Compact"/>
        <w:numPr>
          <w:ilvl w:val="0"/>
          <w:numId w:val="4"/>
        </w:numPr>
      </w:pPr>
      <w:r>
        <w:rPr>
          <w:b/>
          <w:bCs/>
        </w:rPr>
        <w:t>Kein durchgängiges Berechtigungskonzept:</w:t>
      </w:r>
      <w:r>
        <w:t xml:space="preserve"> In den Bestandsgesellschaften wurden oft Microsoft-Standardroll</w:t>
      </w:r>
      <w:r>
        <w:t>en oder breit geschnittene Sammelrollen vergeben, damit die Mitarbeiter schnell arbeiten konnten. Wer welche Rechte warum hat, ist schwer nachzuvollziehen.</w:t>
      </w:r>
    </w:p>
    <w:p w:rsidR="00020C76" w:rsidRDefault="00C22111">
      <w:pPr>
        <w:pStyle w:val="Compact"/>
        <w:numPr>
          <w:ilvl w:val="0"/>
          <w:numId w:val="4"/>
        </w:numPr>
      </w:pPr>
      <w:r>
        <w:rPr>
          <w:b/>
          <w:bCs/>
        </w:rPr>
        <w:t>Teurere Lizenzen als nötig:</w:t>
      </w:r>
      <w:r>
        <w:t xml:space="preserve"> Manche Benutzer lösen Lizenzen aus (Finance, SCM oder Commerce), die ihr</w:t>
      </w:r>
      <w:r>
        <w:t xml:space="preserve">e Aufgaben nicht erfordern. Die Analyse der Innendienst-Rolle zeigt zudem: Die übrigen Rollen derselben Benutzer lösen dieselben Lizenzen aus. Eine einzelne Rolle zu ändern spart deshalb noch nichts; betrachtet wird immer der vollständige Rollensatz eines </w:t>
      </w:r>
      <w:r>
        <w:t>Mitarbeiters (Kapitel 4).</w:t>
      </w:r>
    </w:p>
    <w:p w:rsidR="00020C76" w:rsidRDefault="00C22111">
      <w:pPr>
        <w:pStyle w:val="Compact"/>
        <w:numPr>
          <w:ilvl w:val="0"/>
          <w:numId w:val="4"/>
        </w:numPr>
      </w:pPr>
      <w:r>
        <w:rPr>
          <w:b/>
          <w:bCs/>
        </w:rPr>
        <w:t>Funktionstrennung nicht geprüft:</w:t>
      </w:r>
      <w:r>
        <w:t xml:space="preserve"> Unzulässige Kombinationen, zum Beispiel Lieferanten anlegen und Zahlungen freigeben, werden nicht systematisch gesucht.</w:t>
      </w:r>
    </w:p>
    <w:p w:rsidR="00020C76" w:rsidRDefault="00C22111">
      <w:pPr>
        <w:pStyle w:val="Compact"/>
        <w:numPr>
          <w:ilvl w:val="0"/>
          <w:numId w:val="4"/>
        </w:numPr>
      </w:pPr>
      <w:r>
        <w:rPr>
          <w:b/>
          <w:bCs/>
        </w:rPr>
        <w:t>Rollen weichen zwischen Umgebungen ab:</w:t>
      </w:r>
      <w:r>
        <w:t xml:space="preserve"> Dieselbe Rolle ist in verschiedenen Um</w:t>
      </w:r>
      <w:r>
        <w:t>gebungen unterschiedlich zusammengesetzt. Lizenzanalysen sind deshalb nur innerhalb einer Umgebung vergleichbar.</w:t>
      </w:r>
    </w:p>
    <w:p w:rsidR="00020C76" w:rsidRDefault="00C22111">
      <w:pPr>
        <w:pStyle w:val="Compact"/>
        <w:numPr>
          <w:ilvl w:val="0"/>
          <w:numId w:val="4"/>
        </w:numPr>
      </w:pPr>
      <w:r>
        <w:rPr>
          <w:b/>
          <w:bCs/>
        </w:rPr>
        <w:t>Datenbankkapazität knapp:</w:t>
      </w:r>
      <w:r>
        <w:t xml:space="preserve"> Das Kontingent liegt bei knapp 700 GB; die früher angezeigten 1,2 TB waren ein Anzeigefehler, den Microsoft korrigier</w:t>
      </w:r>
      <w:r>
        <w:t>t hat. Belegt sind rund 630 GB. Mit der Migrationssandbox für die neue Gesellschaft liegt die Belegung bis zum Go-Live darüber (Kapitel 10).</w:t>
      </w:r>
    </w:p>
    <w:p w:rsidR="00020C76" w:rsidRDefault="00C22111">
      <w:pPr>
        <w:pStyle w:val="Compact"/>
        <w:numPr>
          <w:ilvl w:val="0"/>
          <w:numId w:val="4"/>
        </w:numPr>
      </w:pPr>
      <w:r>
        <w:rPr>
          <w:b/>
          <w:bCs/>
        </w:rPr>
        <w:t>Eingeschränkt nutzbare Testumgebung:</w:t>
      </w:r>
      <w:r>
        <w:t xml:space="preserve"> </w:t>
      </w:r>
      <w:r>
        <w:t>Um Speicher zu sparen, ist TST eine Kopie ohne Buchungsdaten. Tests, die offene Belege oder Bestände brauchen, laufen dort nicht (Kapitel 5).</w:t>
      </w:r>
    </w:p>
    <w:p w:rsidR="00020C76" w:rsidRDefault="00C22111">
      <w:pPr>
        <w:pStyle w:val="Titre3"/>
      </w:pPr>
      <w:bookmarkStart w:id="11" w:name="das-wichtigste-in-kürze"/>
      <w:bookmarkStart w:id="12" w:name="_Toc243475963"/>
      <w:bookmarkEnd w:id="9"/>
      <w:r>
        <w:lastRenderedPageBreak/>
        <w:t>Das Wichtigste in Kürze</w:t>
      </w:r>
      <w:bookmarkEnd w:id="12"/>
    </w:p>
    <w:p w:rsidR="00020C76" w:rsidRDefault="00C22111">
      <w:pPr>
        <w:pStyle w:val="Compact"/>
        <w:numPr>
          <w:ilvl w:val="0"/>
          <w:numId w:val="5"/>
        </w:numPr>
      </w:pPr>
      <w:r>
        <w:rPr>
          <w:b/>
          <w:bCs/>
        </w:rPr>
        <w:t>Lizenzbudget der neuen Gesellschaft:</w:t>
      </w:r>
      <w:r>
        <w:t xml:space="preserve"> Für die 185 geplanten Benutzer rund 20.300 € im Monat</w:t>
      </w:r>
      <w:r>
        <w:t>, also rund 244.000 € im Jahr, ab dem Go-Live. Müssen die Servicetechniker nur Daten ansehen, sinkt der Betrag auf rund 15.800 € im Monat. Es ist eine erste Schätzung (Kapitel 9).</w:t>
      </w:r>
    </w:p>
    <w:p w:rsidR="00020C76" w:rsidRDefault="00C22111">
      <w:pPr>
        <w:pStyle w:val="Compact"/>
        <w:numPr>
          <w:ilvl w:val="0"/>
          <w:numId w:val="5"/>
        </w:numPr>
      </w:pPr>
      <w:r>
        <w:rPr>
          <w:b/>
          <w:bCs/>
        </w:rPr>
        <w:t>Datenbankkapazität:</w:t>
      </w:r>
      <w:r>
        <w:t xml:space="preserve"> Das Kontingent von rund 700 GB reicht bis zum Go-Live ni</w:t>
      </w:r>
      <w:r>
        <w:t>cht, vor allem wegen der zusätzlichen Migrationssandbox. Die Lücke schließen kostenlose Erweiterungen von Microsoft, die Bereinigung der Projektumgebungen und, falls nötig, ein Zukauf von Speicher. Nach dem Go-Live bringen die neuen Lizenzen genug zusätzli</w:t>
      </w:r>
      <w:r>
        <w:t>chen Platz (Kapitel 10).</w:t>
      </w:r>
    </w:p>
    <w:p w:rsidR="00020C76" w:rsidRDefault="00C22111">
      <w:pPr>
        <w:pStyle w:val="Titre3"/>
      </w:pPr>
      <w:bookmarkStart w:id="13" w:name="was-jetzt-zu-entscheiden-ist"/>
      <w:bookmarkStart w:id="14" w:name="_Toc243475964"/>
      <w:bookmarkEnd w:id="11"/>
      <w:r>
        <w:t>Was jetzt zu entscheiden ist</w:t>
      </w:r>
      <w:bookmarkEnd w:id="14"/>
    </w:p>
    <w:p w:rsidR="00020C76" w:rsidRDefault="00C22111">
      <w:pPr>
        <w:pStyle w:val="Compact"/>
        <w:numPr>
          <w:ilvl w:val="0"/>
          <w:numId w:val="6"/>
        </w:numPr>
      </w:pPr>
      <w:r>
        <w:rPr>
          <w:b/>
          <w:bCs/>
        </w:rPr>
        <w:t>Bereinigung der Projektumgebungen:</w:t>
      </w:r>
      <w:r>
        <w:t xml:space="preserve"> PRJ und Migrationssandbox werden bereinigt, bevor die laufende kostenlose Kapazitätserweiterung Mitte November endet.</w:t>
      </w:r>
    </w:p>
    <w:p w:rsidR="00020C76" w:rsidRDefault="00C22111">
      <w:pPr>
        <w:pStyle w:val="Compact"/>
        <w:numPr>
          <w:ilvl w:val="0"/>
          <w:numId w:val="6"/>
        </w:numPr>
      </w:pPr>
      <w:r>
        <w:rPr>
          <w:b/>
          <w:bCs/>
        </w:rPr>
        <w:t>Servicetechniker:</w:t>
      </w:r>
      <w:r>
        <w:t xml:space="preserve"> Welche Tätigkeiten übernehmen s</w:t>
      </w:r>
      <w:r>
        <w:t>ie im System? Davon hängt ab, ob die günstigere Team-Member-Lizenz reicht.</w:t>
      </w:r>
    </w:p>
    <w:p w:rsidR="00020C76" w:rsidRDefault="00C22111">
      <w:pPr>
        <w:pStyle w:val="Compact"/>
        <w:numPr>
          <w:ilvl w:val="0"/>
          <w:numId w:val="6"/>
        </w:numPr>
      </w:pPr>
      <w:r>
        <w:rPr>
          <w:b/>
          <w:bCs/>
        </w:rPr>
        <w:t>Commerce:</w:t>
      </w:r>
      <w:r>
        <w:t xml:space="preserve"> Nutzt die neue Gesellschaft Retail-Rabatte und -Preise? Nur dann brauchen Innendienst und Vertrieb die Commerce-Lizenz.</w:t>
      </w:r>
    </w:p>
    <w:p w:rsidR="00020C76" w:rsidRDefault="00C22111">
      <w:pPr>
        <w:pStyle w:val="Compact"/>
        <w:numPr>
          <w:ilvl w:val="0"/>
          <w:numId w:val="6"/>
        </w:numPr>
      </w:pPr>
      <w:r>
        <w:rPr>
          <w:b/>
          <w:bCs/>
        </w:rPr>
        <w:t>Speicher bis zum Go-Live:</w:t>
      </w:r>
      <w:r>
        <w:t xml:space="preserve"> </w:t>
      </w:r>
      <w:r>
        <w:t>Ob und in welchem Umfang Speicher für die Zeit ohne kostenlose Erweiterung zugekauft wird.</w:t>
      </w:r>
    </w:p>
    <w:p w:rsidR="00020C76" w:rsidRDefault="00C22111">
      <w:r>
        <w:pict>
          <v:rect id="_x0000_i1025" style="width:0;height:1.5pt" o:hralign="center" o:hrstd="t" o:hr="t"/>
        </w:pict>
      </w:r>
    </w:p>
    <w:p w:rsidR="00020C76" w:rsidRDefault="00C22111">
      <w:pPr>
        <w:pStyle w:val="Titre1"/>
      </w:pPr>
      <w:bookmarkStart w:id="15" w:name="X4d043b90f1aad45fca432d0424bb7b61058a38d"/>
      <w:bookmarkStart w:id="16" w:name="_Toc243475965"/>
      <w:bookmarkEnd w:id="1"/>
      <w:bookmarkEnd w:id="13"/>
      <w:r>
        <w:t>2. Leitprinzipien der Berechtigungsarchitektur</w:t>
      </w:r>
      <w:bookmarkEnd w:id="16"/>
    </w:p>
    <w:p w:rsidR="00020C76" w:rsidRDefault="00C22111">
      <w:pPr>
        <w:pStyle w:val="FirstParagraph"/>
      </w:pPr>
      <w:r>
        <w:t>Um ein audit- und zukunftssicheres Berechtigungskonzept zu etablieren, gelten unverrückbare architektonische Leitpri</w:t>
      </w:r>
      <w:r>
        <w:t>nzipien:</w:t>
      </w:r>
    </w:p>
    <w:p w:rsidR="00020C76" w:rsidRDefault="00C22111">
      <w:pPr>
        <w:pStyle w:val="TableCaption"/>
      </w:pPr>
      <w:r>
        <w:t>Architektonische Leitprinzipien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Architektonische Leitprinzipien"/>
      </w:tblPr>
      <w:tblGrid>
        <w:gridCol w:w="1806"/>
        <w:gridCol w:w="7816"/>
      </w:tblGrid>
      <w:tr w:rsidR="00020C76" w:rsidTr="00020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6" w:type="dxa"/>
          </w:tcPr>
          <w:p w:rsidR="00020C76" w:rsidRDefault="00C22111">
            <w:pPr>
              <w:pStyle w:val="Compact"/>
            </w:pPr>
            <w:r>
              <w:t>Prinzip</w:t>
            </w:r>
          </w:p>
        </w:tc>
        <w:tc>
          <w:tcPr>
            <w:tcW w:w="6433" w:type="dxa"/>
          </w:tcPr>
          <w:p w:rsidR="00020C76" w:rsidRDefault="00C22111">
            <w:pPr>
              <w:pStyle w:val="Compact"/>
            </w:pPr>
            <w:r>
              <w:t>Bedeutung</w:t>
            </w:r>
          </w:p>
        </w:tc>
      </w:tr>
      <w:tr w:rsidR="00020C76">
        <w:tc>
          <w:tcPr>
            <w:tcW w:w="1486" w:type="dxa"/>
          </w:tcPr>
          <w:p w:rsidR="00020C76" w:rsidRDefault="00C22111">
            <w:pPr>
              <w:pStyle w:val="Compact"/>
            </w:pPr>
            <w:r>
              <w:t>1. Single License Role Principle</w:t>
            </w:r>
          </w:p>
        </w:tc>
        <w:tc>
          <w:tcPr>
            <w:tcW w:w="6433" w:type="dxa"/>
          </w:tcPr>
          <w:p w:rsidR="00020C76" w:rsidRDefault="00C22111">
            <w:pPr>
              <w:pStyle w:val="Compact"/>
            </w:pPr>
            <w:r>
              <w:t>Jede benutzerdefinierte Rolle löst maximal genau EINE definierte Lizenzstufe aus (z. B. nur Team Member, nur Activity oder nur SCM).</w:t>
            </w:r>
          </w:p>
        </w:tc>
      </w:tr>
      <w:tr w:rsidR="00020C76">
        <w:tc>
          <w:tcPr>
            <w:tcW w:w="1486" w:type="dxa"/>
          </w:tcPr>
          <w:p w:rsidR="00020C76" w:rsidRDefault="00C22111">
            <w:pPr>
              <w:pStyle w:val="Compact"/>
            </w:pPr>
            <w:r>
              <w:t>2. Strikte Trennung von View und Maintain</w:t>
            </w:r>
          </w:p>
        </w:tc>
        <w:tc>
          <w:tcPr>
            <w:tcW w:w="6433" w:type="dxa"/>
          </w:tcPr>
          <w:p w:rsidR="00020C76" w:rsidRDefault="00C22111">
            <w:pPr>
              <w:pStyle w:val="Compact"/>
            </w:pPr>
            <w:r>
              <w:t>Lesende Rechte (Inquire/View) und verändernde/buchende Rechte (Maintain/Operate) werden niemals in derselben Duty oder Rolle vermischt.</w:t>
            </w:r>
          </w:p>
        </w:tc>
      </w:tr>
      <w:tr w:rsidR="00020C76">
        <w:tc>
          <w:tcPr>
            <w:tcW w:w="1486" w:type="dxa"/>
          </w:tcPr>
          <w:p w:rsidR="00020C76" w:rsidRDefault="00C22111">
            <w:pPr>
              <w:pStyle w:val="Compact"/>
            </w:pPr>
            <w:r>
              <w:t>3. Atomare Rollenteilung bei Mehrfachbedarfen</w:t>
            </w:r>
          </w:p>
        </w:tc>
        <w:tc>
          <w:tcPr>
            <w:tcW w:w="6433" w:type="dxa"/>
          </w:tcPr>
          <w:p w:rsidR="00020C76" w:rsidRDefault="00C22111">
            <w:pPr>
              <w:pStyle w:val="Compact"/>
            </w:pPr>
            <w:r>
              <w:t>Benötigt eine Stelle Tätigkeite</w:t>
            </w:r>
            <w:r>
              <w:t>n aus zwei Lizenzklassen (z. B. Auskunft über Kunden + Pflegen von Bestellungen), erhält sie zwei spezialisierte Rollen statt einer teuren Mischrolle.</w:t>
            </w:r>
          </w:p>
        </w:tc>
      </w:tr>
      <w:tr w:rsidR="00020C76">
        <w:tc>
          <w:tcPr>
            <w:tcW w:w="1486" w:type="dxa"/>
          </w:tcPr>
          <w:p w:rsidR="00020C76" w:rsidRDefault="00C22111">
            <w:pPr>
              <w:pStyle w:val="Compact"/>
            </w:pPr>
            <w:r>
              <w:t>4. Keine Modifikation von MS-</w:t>
            </w:r>
            <w:r>
              <w:lastRenderedPageBreak/>
              <w:t>Standardobjekten</w:t>
            </w:r>
          </w:p>
        </w:tc>
        <w:tc>
          <w:tcPr>
            <w:tcW w:w="6433" w:type="dxa"/>
          </w:tcPr>
          <w:p w:rsidR="00020C76" w:rsidRDefault="00C22111">
            <w:pPr>
              <w:pStyle w:val="Compact"/>
            </w:pPr>
            <w:r>
              <w:lastRenderedPageBreak/>
              <w:t>Microsoft-Standardrollen, -Duties und -Privilegien bleiben</w:t>
            </w:r>
            <w:r>
              <w:t xml:space="preserve"> unberührt. Eigene Objekte erhalten das Kundenpräfix (z. B. </w:t>
            </w:r>
            <w:r>
              <w:rPr>
                <w:rStyle w:val="VerbatimChar"/>
              </w:rPr>
              <w:t>WIBU_</w:t>
            </w:r>
            <w:r>
              <w:t>).</w:t>
            </w:r>
          </w:p>
        </w:tc>
      </w:tr>
      <w:tr w:rsidR="00020C76">
        <w:tc>
          <w:tcPr>
            <w:tcW w:w="1486" w:type="dxa"/>
          </w:tcPr>
          <w:p w:rsidR="00020C76" w:rsidRDefault="00C22111">
            <w:pPr>
              <w:pStyle w:val="Compact"/>
            </w:pPr>
            <w:r>
              <w:lastRenderedPageBreak/>
              <w:t>5. Zentraler Katalog mit Legal Entity Zuweisung</w:t>
            </w:r>
          </w:p>
        </w:tc>
        <w:tc>
          <w:tcPr>
            <w:tcW w:w="6433" w:type="dxa"/>
          </w:tcPr>
          <w:p w:rsidR="00020C76" w:rsidRDefault="00C22111">
            <w:pPr>
              <w:pStyle w:val="Compact"/>
            </w:pPr>
            <w:r>
              <w:t>Rollen werden konzerneinheitlich definiert. Standortunterschiede werden über ‘Organisationen zuweisen’ (Legal Entities) gesteuert, nicht üb</w:t>
            </w:r>
            <w:r>
              <w:t>er Rollenkopien.</w:t>
            </w:r>
          </w:p>
        </w:tc>
      </w:tr>
      <w:tr w:rsidR="00020C76">
        <w:tc>
          <w:tcPr>
            <w:tcW w:w="1486" w:type="dxa"/>
          </w:tcPr>
          <w:p w:rsidR="00020C76" w:rsidRDefault="00C22111">
            <w:pPr>
              <w:pStyle w:val="Compact"/>
            </w:pPr>
            <w:r>
              <w:t>6. Least Privilege &amp; Need-to-Know</w:t>
            </w:r>
          </w:p>
        </w:tc>
        <w:tc>
          <w:tcPr>
            <w:tcW w:w="6433" w:type="dxa"/>
          </w:tcPr>
          <w:p w:rsidR="00020C76" w:rsidRDefault="00C22111">
            <w:pPr>
              <w:pStyle w:val="Compact"/>
            </w:pPr>
            <w:r>
              <w:t>Benutzer erhalten ausschließlich die Rechte, die für ihre operative Stellenbeschreibung zwingend erforderlich sind.</w:t>
            </w:r>
          </w:p>
        </w:tc>
      </w:tr>
      <w:tr w:rsidR="00020C76">
        <w:tc>
          <w:tcPr>
            <w:tcW w:w="1486" w:type="dxa"/>
          </w:tcPr>
          <w:p w:rsidR="00020C76" w:rsidRDefault="00C22111">
            <w:pPr>
              <w:pStyle w:val="Compact"/>
            </w:pPr>
            <w:r>
              <w:t>7. SoD &amp; Testbarkeit als Designbedingung</w:t>
            </w:r>
          </w:p>
        </w:tc>
        <w:tc>
          <w:tcPr>
            <w:tcW w:w="6433" w:type="dxa"/>
          </w:tcPr>
          <w:p w:rsidR="00020C76" w:rsidRDefault="00C22111">
            <w:pPr>
              <w:pStyle w:val="Compact"/>
            </w:pPr>
            <w:r>
              <w:t>Keine Rolle wird freigegeben, bevor SoD-Konfli</w:t>
            </w:r>
            <w:r>
              <w:t>kte geprüft und Testfälle mit dezidierten Rollen-Testbenutzern erfolgreich absolviert wurden.</w:t>
            </w:r>
          </w:p>
        </w:tc>
      </w:tr>
      <w:tr w:rsidR="00020C76">
        <w:tc>
          <w:tcPr>
            <w:tcW w:w="1486" w:type="dxa"/>
          </w:tcPr>
          <w:p w:rsidR="00020C76" w:rsidRDefault="00C22111">
            <w:pPr>
              <w:pStyle w:val="Compact"/>
            </w:pPr>
            <w:r>
              <w:t>8. Lizenzentscheidungen mit ihrer Kapazitätswirkung bewerten</w:t>
            </w:r>
          </w:p>
        </w:tc>
        <w:tc>
          <w:tcPr>
            <w:tcW w:w="6433" w:type="dxa"/>
          </w:tcPr>
          <w:p w:rsidR="00020C76" w:rsidRDefault="00C22111">
            <w:pPr>
              <w:pStyle w:val="Compact"/>
            </w:pPr>
            <w:r>
              <w:t>Jede Lizenz bringt Datenbankkapazität mit (laut Planung 5 GB je Volllizenz, 1 GB je Activity-Lizenz)</w:t>
            </w:r>
            <w:r>
              <w:t>. Solange Kapazität zugekauft werden muss, wird eine Herabstufung gegen die verlorene Kapazität gerechnet. Das Entfernen einer Attach-Lizenz ist kapazitätsneutral.</w:t>
            </w:r>
          </w:p>
        </w:tc>
      </w:tr>
    </w:tbl>
    <w:p w:rsidR="00020C76" w:rsidRDefault="00C22111">
      <w:r>
        <w:pict>
          <v:rect id="_x0000_i1026" style="width:0;height:1.5pt" o:hralign="center" o:hrstd="t" o:hr="t"/>
        </w:pict>
      </w:r>
    </w:p>
    <w:p w:rsidR="00020C76" w:rsidRDefault="00C22111">
      <w:pPr>
        <w:pStyle w:val="Titre1"/>
      </w:pPr>
      <w:bookmarkStart w:id="17" w:name="Xcf475b1aa9ebb8614db10b53d17b545ca2dcfa1"/>
      <w:bookmarkStart w:id="18" w:name="_Toc243475966"/>
      <w:bookmarkEnd w:id="15"/>
      <w:r>
        <w:t>3. Phasenplan &amp; Strategisches Vorgehen (Step-by-Step)</w:t>
      </w:r>
      <w:bookmarkEnd w:id="18"/>
    </w:p>
    <w:p w:rsidR="00020C76" w:rsidRDefault="00C22111">
      <w:pPr>
        <w:pStyle w:val="FirstParagraph"/>
      </w:pPr>
      <w:r>
        <w:t>Die Einführung gliedert sich in 8 strukturierte Phasen, die parallel für Strang A und B gesteuert werden.</w:t>
      </w:r>
    </w:p>
    <w:p w:rsidR="00020C76" w:rsidRDefault="00C22111">
      <w:pPr>
        <w:pStyle w:val="SourceCode"/>
      </w:pPr>
      <w:r>
        <w:rPr>
          <w:rStyle w:val="VerbatimChar"/>
        </w:rPr>
        <w:t>+-----------------------------------------------------------------------------------+</w:t>
      </w:r>
      <w:r>
        <w:br/>
      </w:r>
      <w:r>
        <w:rPr>
          <w:rStyle w:val="VerbatimChar"/>
        </w:rPr>
        <w:t>| Phase 0: Mobilisierung &amp; Governance (RACI, Testmanager, Revisi</w:t>
      </w:r>
      <w:r>
        <w:rPr>
          <w:rStyle w:val="VerbatimChar"/>
        </w:rPr>
        <w:t>ons-Einbindung)      |</w:t>
      </w:r>
      <w:r>
        <w:br/>
      </w:r>
      <w:r>
        <w:rPr>
          <w:rStyle w:val="VerbatimChar"/>
        </w:rPr>
        <w:t>+-----------------------------------------------------------------------------------+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+-----------------+-----------------+</w:t>
      </w:r>
      <w:r>
        <w:br/>
      </w:r>
      <w:r>
        <w:rPr>
          <w:rStyle w:val="VerbatimChar"/>
        </w:rPr>
        <w:t xml:space="preserve">        |                                   |</w:t>
      </w:r>
      <w:r>
        <w:br/>
      </w:r>
      <w:r>
        <w:rPr>
          <w:rStyle w:val="VerbatimChar"/>
        </w:rPr>
        <w:t xml:space="preserve">        v                  </w:t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>+-----------------------------+   +-----------------------------+</w:t>
      </w:r>
      <w:r>
        <w:br/>
      </w:r>
      <w:r>
        <w:rPr>
          <w:rStyle w:val="VerbatimChar"/>
        </w:rPr>
        <w:t>| STRANG A: Live-Mandanten    |   | STRANG B: Neuer Rollout     |</w:t>
      </w:r>
      <w:r>
        <w:br/>
      </w:r>
      <w:r>
        <w:rPr>
          <w:rStyle w:val="VerbatimChar"/>
        </w:rPr>
        <w:t>| Phase 1: Ist- &amp; Telemetrie- |   | Phase 2: Rollendesign aus   |</w:t>
      </w:r>
      <w:r>
        <w:br/>
      </w:r>
      <w:r>
        <w:rPr>
          <w:rStyle w:val="VerbatimChar"/>
        </w:rPr>
        <w:t>| analyse (Nutzung vs. Lizenz)|   | Ste</w:t>
      </w:r>
      <w:r>
        <w:rPr>
          <w:rStyle w:val="VerbatimChar"/>
        </w:rPr>
        <w:t>llenbeschreibungen &amp;     |</w:t>
      </w:r>
      <w:r>
        <w:br/>
      </w:r>
      <w:r>
        <w:rPr>
          <w:rStyle w:val="VerbatimChar"/>
        </w:rPr>
        <w:t>| Quick-Win Lizenzreduktion   |   | Task Recordings (Einkauf)   |</w:t>
      </w:r>
      <w:r>
        <w:br/>
      </w:r>
      <w:r>
        <w:rPr>
          <w:rStyle w:val="VerbatimChar"/>
        </w:rPr>
        <w:t>+-----------------------------+   +-----------------------------+</w:t>
      </w:r>
      <w:r>
        <w:br/>
      </w:r>
      <w:r>
        <w:rPr>
          <w:rStyle w:val="VerbatimChar"/>
        </w:rPr>
        <w:t xml:space="preserve">        |                                   |</w:t>
      </w:r>
      <w:r>
        <w:br/>
      </w:r>
      <w:r>
        <w:rPr>
          <w:rStyle w:val="VerbatimChar"/>
        </w:rPr>
        <w:t xml:space="preserve">        +-----------------+-----------------+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lastRenderedPageBreak/>
        <w:t xml:space="preserve">                          v</w:t>
      </w:r>
      <w:r>
        <w:br/>
      </w:r>
      <w:r>
        <w:rPr>
          <w:rStyle w:val="VerbatimChar"/>
        </w:rPr>
        <w:t>+-----------------------------------------------------------------------------------+</w:t>
      </w:r>
      <w:r>
        <w:br/>
      </w:r>
      <w:r>
        <w:rPr>
          <w:rStyle w:val="VerbatimChar"/>
        </w:rPr>
        <w:t>| Phase 3: Fachbereichs-Workshops (W1 Erhebung -&gt; W2 Design -&gt; W3 SoD -&gt; W4 Sign-off)|</w:t>
      </w:r>
      <w:r>
        <w:br/>
      </w:r>
      <w:r>
        <w:rPr>
          <w:rStyle w:val="VerbatimChar"/>
        </w:rPr>
        <w:t>+-----------------------------------------------------------------------------------+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>+-----------------------------------------------------------------------------------+</w:t>
      </w:r>
      <w:r>
        <w:br/>
      </w:r>
      <w:r>
        <w:rPr>
          <w:rStyle w:val="VerbatimChar"/>
        </w:rPr>
        <w:t>| Phase 4: Technischer Build</w:t>
      </w:r>
      <w:r>
        <w:rPr>
          <w:rStyle w:val="VerbatimChar"/>
        </w:rPr>
        <w:t xml:space="preserve"> &amp; AOT-Umsetzung (Dev/Source Control)                   |</w:t>
      </w:r>
      <w:r>
        <w:br/>
      </w:r>
      <w:r>
        <w:rPr>
          <w:rStyle w:val="VerbatimChar"/>
        </w:rPr>
        <w:t>+-----------------------------------------------------------------------------------+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>+-------------------------------------------------------</w:t>
      </w:r>
      <w:r>
        <w:rPr>
          <w:rStyle w:val="VerbatimChar"/>
        </w:rPr>
        <w:t>----------------------------+</w:t>
      </w:r>
      <w:r>
        <w:br/>
      </w:r>
      <w:r>
        <w:rPr>
          <w:rStyle w:val="VerbatimChar"/>
        </w:rPr>
        <w:t>| Phase 5: Integriertes Berechtigungs-Testing (Lead: Testmanager)                   |</w:t>
      </w:r>
      <w:r>
        <w:br/>
      </w:r>
      <w:r>
        <w:rPr>
          <w:rStyle w:val="VerbatimChar"/>
        </w:rPr>
        <w:t>+-----------------------------------------------------------------------------------+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</w:t>
      </w:r>
      <w:r>
        <w:rPr>
          <w:rStyle w:val="VerbatimChar"/>
        </w:rPr>
        <w:t>v</w:t>
      </w:r>
      <w:r>
        <w:br/>
      </w:r>
      <w:r>
        <w:rPr>
          <w:rStyle w:val="VerbatimChar"/>
        </w:rPr>
        <w:t>+-----------------------------------------------------------------------------------+</w:t>
      </w:r>
      <w:r>
        <w:br/>
      </w:r>
      <w:r>
        <w:rPr>
          <w:rStyle w:val="VerbatimChar"/>
        </w:rPr>
        <w:t>| Phase 6: Rollout &amp; Migration (Strang B Go-Live; Strang A Cutover in Wellen)       |</w:t>
      </w:r>
      <w:r>
        <w:br/>
      </w:r>
      <w:r>
        <w:rPr>
          <w:rStyle w:val="VerbatimChar"/>
        </w:rPr>
        <w:t>+---------------------------------------------------------------------------------</w:t>
      </w:r>
      <w:r>
        <w:rPr>
          <w:rStyle w:val="VerbatimChar"/>
        </w:rPr>
        <w:t>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>+-----------------------------------------------------------------------------------+</w:t>
      </w:r>
      <w:r>
        <w:br/>
      </w:r>
      <w:r>
        <w:rPr>
          <w:rStyle w:val="VerbatimChar"/>
        </w:rPr>
        <w:t>| Phase 7: Regelbetrieb, Rezertifizierung &amp; Lizenz-Governance                       |</w:t>
      </w:r>
      <w:r>
        <w:br/>
      </w:r>
      <w:r>
        <w:rPr>
          <w:rStyle w:val="VerbatimChar"/>
        </w:rPr>
        <w:t>+-----------------------</w:t>
      </w:r>
      <w:r>
        <w:rPr>
          <w:rStyle w:val="VerbatimChar"/>
        </w:rPr>
        <w:t>------------------------------------------------------------+</w:t>
      </w:r>
    </w:p>
    <w:p w:rsidR="00020C76" w:rsidRDefault="00C22111">
      <w:pPr>
        <w:pStyle w:val="Titre3"/>
      </w:pPr>
      <w:bookmarkStart w:id="19" w:name="phase-0-mobilisierung-governance"/>
      <w:bookmarkStart w:id="20" w:name="_Toc243475967"/>
      <w:r>
        <w:t>Phase 0: Mobilisierung &amp; Governance</w:t>
      </w:r>
      <w:bookmarkEnd w:id="20"/>
    </w:p>
    <w:p w:rsidR="00020C76" w:rsidRDefault="00C22111">
      <w:pPr>
        <w:pStyle w:val="Compact"/>
        <w:numPr>
          <w:ilvl w:val="0"/>
          <w:numId w:val="7"/>
        </w:numPr>
      </w:pPr>
      <w:r>
        <w:rPr>
          <w:b/>
          <w:bCs/>
        </w:rPr>
        <w:t>Zweck:</w:t>
      </w:r>
      <w:r>
        <w:t xml:space="preserve"> Festlegung der Spielregeln, Gremien und Stakeholder.</w:t>
      </w:r>
    </w:p>
    <w:p w:rsidR="00020C76" w:rsidRDefault="00C22111">
      <w:pPr>
        <w:pStyle w:val="Compact"/>
        <w:numPr>
          <w:ilvl w:val="0"/>
          <w:numId w:val="7"/>
        </w:numPr>
      </w:pPr>
      <w:r>
        <w:rPr>
          <w:b/>
          <w:bCs/>
        </w:rPr>
        <w:t>Aktivitäten:</w:t>
      </w:r>
    </w:p>
    <w:p w:rsidR="00020C76" w:rsidRDefault="00C22111">
      <w:pPr>
        <w:pStyle w:val="Compact"/>
        <w:numPr>
          <w:ilvl w:val="1"/>
          <w:numId w:val="8"/>
        </w:numPr>
      </w:pPr>
      <w:r>
        <w:t xml:space="preserve">Abstimmung mit dem </w:t>
      </w:r>
      <w:r>
        <w:rPr>
          <w:b/>
          <w:bCs/>
        </w:rPr>
        <w:t>Testmanager</w:t>
      </w:r>
      <w:r>
        <w:t xml:space="preserve">: Berechtigungstests werden integraler Bestandteil der </w:t>
      </w:r>
      <w:r>
        <w:t>Testmanagement-Suite.</w:t>
      </w:r>
    </w:p>
    <w:p w:rsidR="00020C76" w:rsidRDefault="00C22111">
      <w:pPr>
        <w:pStyle w:val="Compact"/>
        <w:numPr>
          <w:ilvl w:val="1"/>
          <w:numId w:val="8"/>
        </w:numPr>
      </w:pPr>
      <w:r>
        <w:t xml:space="preserve">Abstimmung mit dem </w:t>
      </w:r>
      <w:r>
        <w:rPr>
          <w:b/>
          <w:bCs/>
        </w:rPr>
        <w:t>Betriebsrat</w:t>
      </w:r>
      <w:r>
        <w:t xml:space="preserve"> und dem </w:t>
      </w:r>
      <w:r>
        <w:rPr>
          <w:b/>
          <w:bCs/>
        </w:rPr>
        <w:t>Datenschutzbeauftragten</w:t>
      </w:r>
      <w:r>
        <w:t xml:space="preserve"> (bzgl. Auswertung von Nutzungsdaten/Telemetrie).</w:t>
      </w:r>
    </w:p>
    <w:p w:rsidR="00020C76" w:rsidRDefault="00C22111">
      <w:pPr>
        <w:pStyle w:val="Compact"/>
        <w:numPr>
          <w:ilvl w:val="1"/>
          <w:numId w:val="8"/>
        </w:numPr>
      </w:pPr>
      <w:r>
        <w:t xml:space="preserve">Einbindung der </w:t>
      </w:r>
      <w:r>
        <w:rPr>
          <w:b/>
          <w:bCs/>
        </w:rPr>
        <w:t>Revision / Wirtschaftsprüfer</w:t>
      </w:r>
      <w:r>
        <w:t xml:space="preserve"> zur Abstimmung des SoD-Katalogs.</w:t>
      </w:r>
    </w:p>
    <w:p w:rsidR="00020C76" w:rsidRDefault="00C22111">
      <w:pPr>
        <w:pStyle w:val="Compact"/>
        <w:numPr>
          <w:ilvl w:val="1"/>
          <w:numId w:val="8"/>
        </w:numPr>
      </w:pPr>
      <w:r>
        <w:lastRenderedPageBreak/>
        <w:t xml:space="preserve">Definition des RACI-Modells (Wer entscheidet </w:t>
      </w:r>
      <w:r>
        <w:t>über Ausnahmen?).</w:t>
      </w:r>
    </w:p>
    <w:p w:rsidR="00020C76" w:rsidRDefault="00C22111">
      <w:pPr>
        <w:pStyle w:val="Titre3"/>
      </w:pPr>
      <w:bookmarkStart w:id="21" w:name="Xce622eb265c93b5be21f8d1106ec865f73798a1"/>
      <w:bookmarkStart w:id="22" w:name="_Toc243475968"/>
      <w:bookmarkEnd w:id="19"/>
      <w:r>
        <w:t>Phase 1: Ist-Analyse &amp; Quick-Wins (Fokus Strang A)</w:t>
      </w:r>
      <w:bookmarkEnd w:id="22"/>
    </w:p>
    <w:p w:rsidR="00020C76" w:rsidRDefault="00C22111">
      <w:pPr>
        <w:pStyle w:val="Compact"/>
        <w:numPr>
          <w:ilvl w:val="0"/>
          <w:numId w:val="9"/>
        </w:numPr>
      </w:pPr>
      <w:r>
        <w:rPr>
          <w:b/>
          <w:bCs/>
        </w:rPr>
        <w:t>Zweck:</w:t>
      </w:r>
      <w:r>
        <w:t xml:space="preserve"> Lizenzkostensenkung im laufenden Betrieb und Ermittlung der tatsächlichen Systemnutzung.</w:t>
      </w:r>
    </w:p>
    <w:p w:rsidR="00020C76" w:rsidRDefault="00C22111">
      <w:pPr>
        <w:pStyle w:val="Compact"/>
        <w:numPr>
          <w:ilvl w:val="0"/>
          <w:numId w:val="9"/>
        </w:numPr>
      </w:pPr>
      <w:r>
        <w:rPr>
          <w:b/>
          <w:bCs/>
        </w:rPr>
        <w:t>Aktivitäten:</w:t>
      </w:r>
    </w:p>
    <w:p w:rsidR="00020C76" w:rsidRDefault="00C22111">
      <w:pPr>
        <w:pStyle w:val="Compact"/>
        <w:numPr>
          <w:ilvl w:val="1"/>
          <w:numId w:val="10"/>
        </w:numPr>
      </w:pPr>
      <w:r>
        <w:t>Export aller Benutzerzuweisungen, aktiven Lizenzen und Rollenstrukturen.</w:t>
      </w:r>
    </w:p>
    <w:p w:rsidR="00020C76" w:rsidRDefault="00C22111">
      <w:pPr>
        <w:pStyle w:val="Compact"/>
        <w:numPr>
          <w:ilvl w:val="1"/>
          <w:numId w:val="10"/>
        </w:numPr>
      </w:pPr>
      <w:r>
        <w:t>Auswe</w:t>
      </w:r>
      <w:r>
        <w:t>rtung von Nutzungs-Logs und Telemetrie: Welche Menüpunkte und Tabellen werden von wem tatsächlich aufgerufen?</w:t>
      </w:r>
    </w:p>
    <w:p w:rsidR="00020C76" w:rsidRDefault="00C22111">
      <w:pPr>
        <w:pStyle w:val="Compact"/>
        <w:numPr>
          <w:ilvl w:val="1"/>
          <w:numId w:val="10"/>
        </w:numPr>
      </w:pPr>
      <w:r>
        <w:t xml:space="preserve">Identifikation von </w:t>
      </w:r>
      <w:r>
        <w:rPr>
          <w:b/>
          <w:bCs/>
        </w:rPr>
        <w:t>„Lizenztreibern“</w:t>
      </w:r>
      <w:r>
        <w:t>: Duties/Privileges, die unbeabsichtigt eine teure Lizenz (z. B. Commerce oder Finance) anfordern.</w:t>
      </w:r>
    </w:p>
    <w:p w:rsidR="00020C76" w:rsidRDefault="00C22111">
      <w:pPr>
        <w:pStyle w:val="Compact"/>
        <w:numPr>
          <w:ilvl w:val="1"/>
          <w:numId w:val="10"/>
        </w:numPr>
      </w:pPr>
      <w:r>
        <w:rPr>
          <w:b/>
          <w:bCs/>
        </w:rPr>
        <w:t>Quick-Wins:</w:t>
      </w:r>
      <w:r>
        <w:t xml:space="preserve"> </w:t>
      </w:r>
      <w:r>
        <w:t>Entzug nicht genutzter administrativer Rollen, Deaktivierung inaktiver Benutzerkonten, Zuweisung von Read-Only-Rollen für Auskunftsbenutzer.</w:t>
      </w:r>
    </w:p>
    <w:p w:rsidR="00020C76" w:rsidRDefault="00C22111">
      <w:pPr>
        <w:pStyle w:val="Titre3"/>
      </w:pPr>
      <w:bookmarkStart w:id="23" w:name="X82855341a0ff7ca3107c9ef8432408702f595b1"/>
      <w:bookmarkStart w:id="24" w:name="_Toc243475969"/>
      <w:bookmarkEnd w:id="21"/>
      <w:r>
        <w:t>Phase 2: Rollendesign &amp; Stellenbeschreibungs-Mapping (Fokus Strang B &amp; Zielmodell)</w:t>
      </w:r>
      <w:bookmarkEnd w:id="24"/>
    </w:p>
    <w:p w:rsidR="00020C76" w:rsidRDefault="00C22111">
      <w:pPr>
        <w:pStyle w:val="Compact"/>
        <w:numPr>
          <w:ilvl w:val="0"/>
          <w:numId w:val="11"/>
        </w:numPr>
      </w:pPr>
      <w:r>
        <w:rPr>
          <w:b/>
          <w:bCs/>
        </w:rPr>
        <w:t>Zweck:</w:t>
      </w:r>
      <w:r>
        <w:t xml:space="preserve"> Aufbau des 4-stufigen Sic</w:t>
      </w:r>
      <w:r>
        <w:t>herheitsmodells basierend auf HR-Stellenprofilen.</w:t>
      </w:r>
    </w:p>
    <w:p w:rsidR="00020C76" w:rsidRDefault="00C22111">
      <w:pPr>
        <w:pStyle w:val="Compact"/>
        <w:numPr>
          <w:ilvl w:val="0"/>
          <w:numId w:val="11"/>
        </w:numPr>
      </w:pPr>
      <w:r>
        <w:rPr>
          <w:b/>
          <w:bCs/>
        </w:rPr>
        <w:t>Das hierarchische Designmodell:</w:t>
      </w:r>
    </w:p>
    <w:p w:rsidR="00020C76" w:rsidRDefault="00C22111">
      <w:pPr>
        <w:pStyle w:val="Compact"/>
        <w:numPr>
          <w:ilvl w:val="1"/>
          <w:numId w:val="12"/>
        </w:numPr>
      </w:pPr>
      <w:r>
        <w:rPr>
          <w:b/>
          <w:bCs/>
        </w:rPr>
        <w:t>Privileg (Privilege):</w:t>
      </w:r>
      <w:r>
        <w:t xml:space="preserve"> Kleinste logische Zugriffseinheit (z. B. Menüitem-Aktion, Formularaufruf mit Read/Update/Create/Delete).</w:t>
      </w:r>
    </w:p>
    <w:p w:rsidR="00020C76" w:rsidRDefault="00C22111">
      <w:pPr>
        <w:pStyle w:val="Compact"/>
        <w:numPr>
          <w:ilvl w:val="1"/>
          <w:numId w:val="12"/>
        </w:numPr>
      </w:pPr>
      <w:r>
        <w:rPr>
          <w:b/>
          <w:bCs/>
        </w:rPr>
        <w:t>Aufgabe (Duty):</w:t>
      </w:r>
      <w:r>
        <w:t xml:space="preserve"> </w:t>
      </w:r>
      <w:r>
        <w:t>Gruppierung von Privilegien, die einer konkreten Fachaufgabe entsprechen (z. B. „Kreditorenrechnungen erfassen“ oder „Bestellungen freigeben“).</w:t>
      </w:r>
    </w:p>
    <w:p w:rsidR="00020C76" w:rsidRDefault="00C22111">
      <w:pPr>
        <w:pStyle w:val="Compact"/>
        <w:numPr>
          <w:ilvl w:val="1"/>
          <w:numId w:val="12"/>
        </w:numPr>
      </w:pPr>
      <w:r>
        <w:rPr>
          <w:b/>
          <w:bCs/>
        </w:rPr>
        <w:t>Sicherheitsrolle (Security Role):</w:t>
      </w:r>
      <w:r>
        <w:t xml:space="preserve"> Bündelung fachlich zusammengehöriger Duties, abgeleitet aus den Stellenbeschre</w:t>
      </w:r>
      <w:r>
        <w:t>ibungen der Fachabteilungen.</w:t>
      </w:r>
    </w:p>
    <w:p w:rsidR="00020C76" w:rsidRDefault="00C22111">
      <w:pPr>
        <w:pStyle w:val="Compact"/>
        <w:numPr>
          <w:ilvl w:val="1"/>
          <w:numId w:val="12"/>
        </w:numPr>
      </w:pPr>
      <w:r>
        <w:rPr>
          <w:b/>
          <w:bCs/>
        </w:rPr>
        <w:t>Benutzer (User):</w:t>
      </w:r>
      <w:r>
        <w:t xml:space="preserve"> Zuweisung von einer oder mehreren Rollen mit Gültigkeit für spezifische juristische Einheiten (Legal Entities).</w:t>
      </w:r>
    </w:p>
    <w:p w:rsidR="00020C76" w:rsidRDefault="00C22111">
      <w:pPr>
        <w:pStyle w:val="Titre3"/>
      </w:pPr>
      <w:bookmarkStart w:id="25" w:name="phase-3-fachbereichs-workshops"/>
      <w:bookmarkStart w:id="26" w:name="_Toc243475970"/>
      <w:bookmarkEnd w:id="23"/>
      <w:r>
        <w:t>Phase 3: Fachbereichs-Workshops</w:t>
      </w:r>
      <w:bookmarkEnd w:id="26"/>
    </w:p>
    <w:p w:rsidR="00020C76" w:rsidRDefault="00C22111">
      <w:pPr>
        <w:pStyle w:val="FirstParagraph"/>
      </w:pPr>
      <w:r>
        <w:t>Strukturiertes Vorgehen in vier standardisierten Workshops je Abte</w:t>
      </w:r>
      <w:r>
        <w:t xml:space="preserve">ilung: - </w:t>
      </w:r>
      <w:r>
        <w:rPr>
          <w:b/>
          <w:bCs/>
        </w:rPr>
        <w:t>Workshop 1 (Tätigkeitsabgrenzung):</w:t>
      </w:r>
      <w:r>
        <w:t xml:space="preserve"> Abgleich von Stellenbeschreibung vs. realem Tagesgeschäft. Identifikation von Sonderfällen (Monatsabschluss, Urlaubsvertretung). - </w:t>
      </w:r>
      <w:r>
        <w:rPr>
          <w:b/>
          <w:bCs/>
        </w:rPr>
        <w:t>Workshop 2 (Rollen-Entwurf):</w:t>
      </w:r>
      <w:r>
        <w:t xml:space="preserve"> Vorstellung des Duty-Mappings. Zuordnung der Ziel-Li</w:t>
      </w:r>
      <w:r>
        <w:t xml:space="preserve">zenzen. - </w:t>
      </w:r>
      <w:r>
        <w:rPr>
          <w:b/>
          <w:bCs/>
        </w:rPr>
        <w:t>Workshop 3 (SoD &amp; Org-Ebenen):</w:t>
      </w:r>
      <w:r>
        <w:t xml:space="preserve"> Identifikation unzulässiger Funktionskombinationen (z. B. Bestellanlage vs. Zahlungsausführung) und Definition von Freigabematrizen. - </w:t>
      </w:r>
      <w:r>
        <w:rPr>
          <w:b/>
          <w:bCs/>
        </w:rPr>
        <w:t>Workshop 4 (Sign-Off):</w:t>
      </w:r>
      <w:r>
        <w:t xml:space="preserve"> Formale Abnahme des Rollenprofils durch den Fachbereichsl</w:t>
      </w:r>
      <w:r>
        <w:t>eiter (Process Owner).</w:t>
      </w:r>
    </w:p>
    <w:p w:rsidR="00020C76" w:rsidRDefault="00C22111">
      <w:pPr>
        <w:pStyle w:val="Titre3"/>
      </w:pPr>
      <w:bookmarkStart w:id="27" w:name="phase-4-technischer-build-versionierung"/>
      <w:bookmarkStart w:id="28" w:name="_Toc243475971"/>
      <w:bookmarkEnd w:id="25"/>
      <w:r>
        <w:t>Phase 4: Technischer Build &amp; Versionierung</w:t>
      </w:r>
      <w:bookmarkEnd w:id="28"/>
    </w:p>
    <w:p w:rsidR="00020C76" w:rsidRDefault="00C22111">
      <w:pPr>
        <w:pStyle w:val="Compact"/>
        <w:numPr>
          <w:ilvl w:val="0"/>
          <w:numId w:val="13"/>
        </w:numPr>
      </w:pPr>
      <w:r>
        <w:t>Erstellung der Sicherheitsartefakte in Visual Studio (AOT-Objekte im Versionskontrollsystem / Azure DevOps).</w:t>
      </w:r>
    </w:p>
    <w:p w:rsidR="00020C76" w:rsidRDefault="00C22111">
      <w:pPr>
        <w:pStyle w:val="Compact"/>
        <w:numPr>
          <w:ilvl w:val="0"/>
          <w:numId w:val="13"/>
        </w:numPr>
      </w:pPr>
      <w:r>
        <w:t>Verwendung sprechender Namenskonventionen:</w:t>
      </w:r>
    </w:p>
    <w:p w:rsidR="00020C76" w:rsidRDefault="00C22111">
      <w:pPr>
        <w:pStyle w:val="Compact"/>
        <w:numPr>
          <w:ilvl w:val="1"/>
          <w:numId w:val="14"/>
        </w:numPr>
      </w:pPr>
      <w:r>
        <w:lastRenderedPageBreak/>
        <w:t xml:space="preserve">Rollen: </w:t>
      </w:r>
      <w:r>
        <w:rPr>
          <w:rStyle w:val="VerbatimChar"/>
        </w:rPr>
        <w:t>[Präfix]_[Modul]_[Funktion]_[Lizenz]</w:t>
      </w:r>
      <w:r>
        <w:t xml:space="preserve"> (z. B. </w:t>
      </w:r>
      <w:r>
        <w:rPr>
          <w:rStyle w:val="VerbatimChar"/>
        </w:rPr>
        <w:t>WIBU_Einkauf_Sachbearbeiter_Act</w:t>
      </w:r>
      <w:r>
        <w:t>)</w:t>
      </w:r>
    </w:p>
    <w:p w:rsidR="00020C76" w:rsidRDefault="00C22111">
      <w:pPr>
        <w:pStyle w:val="Compact"/>
        <w:numPr>
          <w:ilvl w:val="1"/>
          <w:numId w:val="14"/>
        </w:numPr>
      </w:pPr>
      <w:r>
        <w:t xml:space="preserve">Duties: </w:t>
      </w:r>
      <w:r>
        <w:rPr>
          <w:rStyle w:val="VerbatimChar"/>
        </w:rPr>
        <w:t>[Präfix]_[Modul]_[Geschäftsvorfall]_[Maintain/Inquire]</w:t>
      </w:r>
    </w:p>
    <w:p w:rsidR="00020C76" w:rsidRDefault="00C22111">
      <w:pPr>
        <w:pStyle w:val="Compact"/>
        <w:numPr>
          <w:ilvl w:val="0"/>
          <w:numId w:val="13"/>
        </w:numPr>
      </w:pPr>
      <w:r>
        <w:t>Automatische Lizenzbewertung im Build-Prozess zur Sicherstellung des Single-License-Prinzips.</w:t>
      </w:r>
    </w:p>
    <w:p w:rsidR="00020C76" w:rsidRDefault="00C22111">
      <w:pPr>
        <w:pStyle w:val="Titre3"/>
      </w:pPr>
      <w:bookmarkStart w:id="29" w:name="X121b42d6f2756963c53cdf2894f6e7eff2c39de"/>
      <w:bookmarkStart w:id="30" w:name="_Toc243475972"/>
      <w:bookmarkEnd w:id="27"/>
      <w:r>
        <w:t>Phase 5: Testkonzept &amp;</w:t>
      </w:r>
      <w:r>
        <w:t xml:space="preserve"> Zusammenarbeit mit dem Testmanager</w:t>
      </w:r>
      <w:bookmarkEnd w:id="30"/>
    </w:p>
    <w:p w:rsidR="00020C76" w:rsidRDefault="00C22111">
      <w:pPr>
        <w:pStyle w:val="FirstParagraph"/>
      </w:pPr>
      <w:r>
        <w:rPr>
          <w:i/>
          <w:iCs/>
        </w:rPr>
        <w:t>(Details siehe Kapitel 5)</w:t>
      </w:r>
    </w:p>
    <w:p w:rsidR="00020C76" w:rsidRDefault="00C22111">
      <w:pPr>
        <w:pStyle w:val="Titre3"/>
      </w:pPr>
      <w:bookmarkStart w:id="31" w:name="phase-6-rollout-migration"/>
      <w:bookmarkStart w:id="32" w:name="_Toc243475973"/>
      <w:bookmarkEnd w:id="29"/>
      <w:r>
        <w:t>Phase 6: Rollout &amp; Migration</w:t>
      </w:r>
      <w:bookmarkEnd w:id="32"/>
    </w:p>
    <w:p w:rsidR="00020C76" w:rsidRDefault="00C22111">
      <w:pPr>
        <w:pStyle w:val="Compact"/>
        <w:numPr>
          <w:ilvl w:val="0"/>
          <w:numId w:val="15"/>
        </w:numPr>
      </w:pPr>
      <w:r>
        <w:rPr>
          <w:b/>
          <w:bCs/>
        </w:rPr>
        <w:t>Strang B:</w:t>
      </w:r>
      <w:r>
        <w:t xml:space="preserve"> Direkter Go-Live mit dem neuen Rollenmodell, geplant Mitte Juni 2027. Einen Monat danach werden die Migrationssandbox und voraussichtlich die PRJ-Umgebung </w:t>
      </w:r>
      <w:r>
        <w:t>gelöscht (Kapitel 10).</w:t>
      </w:r>
    </w:p>
    <w:p w:rsidR="00020C76" w:rsidRDefault="00C22111">
      <w:pPr>
        <w:pStyle w:val="Compact"/>
        <w:numPr>
          <w:ilvl w:val="0"/>
          <w:numId w:val="15"/>
        </w:numPr>
      </w:pPr>
      <w:r>
        <w:rPr>
          <w:b/>
          <w:bCs/>
        </w:rPr>
        <w:t>Strang A:</w:t>
      </w:r>
      <w:r>
        <w:t xml:space="preserve"> Migration der Bestandsbenutzer in Wellen:</w:t>
      </w:r>
    </w:p>
    <w:p w:rsidR="00020C76" w:rsidRDefault="00C22111">
      <w:pPr>
        <w:pStyle w:val="Compact"/>
        <w:numPr>
          <w:ilvl w:val="1"/>
          <w:numId w:val="16"/>
        </w:numPr>
      </w:pPr>
      <w:r>
        <w:t>Welle 1: Einkauf &amp; Logistik</w:t>
      </w:r>
    </w:p>
    <w:p w:rsidR="00020C76" w:rsidRDefault="00C22111">
      <w:pPr>
        <w:pStyle w:val="Compact"/>
        <w:numPr>
          <w:ilvl w:val="1"/>
          <w:numId w:val="16"/>
        </w:numPr>
      </w:pPr>
      <w:r>
        <w:t>Welle 2: Vertrieb &amp; Kundenservice</w:t>
      </w:r>
    </w:p>
    <w:p w:rsidR="00020C76" w:rsidRDefault="00C22111">
      <w:pPr>
        <w:pStyle w:val="Compact"/>
        <w:numPr>
          <w:ilvl w:val="1"/>
          <w:numId w:val="16"/>
        </w:numPr>
      </w:pPr>
      <w:r>
        <w:t>Welle 3: Finanzbuchhaltung &amp; Controlling</w:t>
      </w:r>
    </w:p>
    <w:p w:rsidR="00020C76" w:rsidRDefault="00C22111">
      <w:pPr>
        <w:pStyle w:val="Compact"/>
        <w:numPr>
          <w:ilvl w:val="1"/>
          <w:numId w:val="16"/>
        </w:numPr>
      </w:pPr>
      <w:r>
        <w:t>Bereitstellung einer „Fallback-Rolle“ mit 48-Stunden-Ablaufzeit bei Prozessblo</w:t>
      </w:r>
      <w:r>
        <w:t>ckaden.</w:t>
      </w:r>
    </w:p>
    <w:p w:rsidR="00020C76" w:rsidRDefault="00C22111">
      <w:pPr>
        <w:pStyle w:val="Titre3"/>
      </w:pPr>
      <w:bookmarkStart w:id="33" w:name="X1206d5f0f2e11a4be8e55e45b415b5b7b038770"/>
      <w:bookmarkStart w:id="34" w:name="_Toc243475974"/>
      <w:bookmarkEnd w:id="31"/>
      <w:r>
        <w:t>Phase 7: Betrieb, Governance &amp; Rezertifizierung</w:t>
      </w:r>
      <w:bookmarkEnd w:id="34"/>
    </w:p>
    <w:p w:rsidR="00020C76" w:rsidRDefault="00C22111">
      <w:pPr>
        <w:pStyle w:val="Compact"/>
        <w:numPr>
          <w:ilvl w:val="0"/>
          <w:numId w:val="17"/>
        </w:numPr>
      </w:pPr>
      <w:r>
        <w:t xml:space="preserve">Etablierung eines standardisierten </w:t>
      </w:r>
      <w:r>
        <w:rPr>
          <w:b/>
          <w:bCs/>
        </w:rPr>
        <w:t>Joiner-Mover-Leaver-Prozesses</w:t>
      </w:r>
      <w:r>
        <w:t xml:space="preserve"> (JML).</w:t>
      </w:r>
    </w:p>
    <w:p w:rsidR="00020C76" w:rsidRDefault="00C22111">
      <w:pPr>
        <w:pStyle w:val="Compact"/>
        <w:numPr>
          <w:ilvl w:val="0"/>
          <w:numId w:val="17"/>
        </w:numPr>
      </w:pPr>
      <w:r>
        <w:t xml:space="preserve">Halbjährliche / Jährliche </w:t>
      </w:r>
      <w:r>
        <w:rPr>
          <w:b/>
          <w:bCs/>
        </w:rPr>
        <w:t>Rezertifizierung</w:t>
      </w:r>
      <w:r>
        <w:t>: Abteilungsleiter müssen die Rollenzuweisungen ihrer Mitarbeiter bestätigen.</w:t>
      </w:r>
    </w:p>
    <w:p w:rsidR="00020C76" w:rsidRDefault="00C22111">
      <w:pPr>
        <w:pStyle w:val="Compact"/>
        <w:numPr>
          <w:ilvl w:val="0"/>
          <w:numId w:val="17"/>
        </w:numPr>
      </w:pPr>
      <w:r>
        <w:t>Kontinui</w:t>
      </w:r>
      <w:r>
        <w:t>erliches Lizenz-Monitoring gegen den Microsoft Tenant.</w:t>
      </w:r>
    </w:p>
    <w:p w:rsidR="00020C76" w:rsidRDefault="00C22111">
      <w:r>
        <w:pict>
          <v:rect id="_x0000_i1027" style="width:0;height:1.5pt" o:hralign="center" o:hrstd="t" o:hr="t"/>
        </w:pict>
      </w:r>
    </w:p>
    <w:p w:rsidR="00020C76" w:rsidRDefault="00C22111">
      <w:pPr>
        <w:pStyle w:val="Titre1"/>
      </w:pPr>
      <w:bookmarkStart w:id="35" w:name="X7180b1d98a9c86d9a58d363bb98d6dcbfef49bb"/>
      <w:bookmarkStart w:id="36" w:name="_Toc243475975"/>
      <w:bookmarkEnd w:id="17"/>
      <w:bookmarkEnd w:id="33"/>
      <w:r>
        <w:t>4. Einkauf als Pilot: Transformation von Task Recordings in Rollen</w:t>
      </w:r>
      <w:bookmarkEnd w:id="36"/>
    </w:p>
    <w:p w:rsidR="00020C76" w:rsidRDefault="00C22111">
      <w:pPr>
        <w:pStyle w:val="FirstParagraph"/>
      </w:pPr>
      <w:r>
        <w:t>Die bereits vorliegenden Aufgabenaufzeichnungen (Task Recordings) der Einkaufsabteilung sind ein wertvolles Asset. Sie dürfen jedoch</w:t>
      </w:r>
      <w:r>
        <w:t xml:space="preserve"> </w:t>
      </w:r>
      <w:r>
        <w:rPr>
          <w:b/>
          <w:bCs/>
        </w:rPr>
        <w:t>niemals unreflektiert 1:1 in Rollen verwandelt werden</w:t>
      </w:r>
      <w:r>
        <w:t>, da dies zu Rollenwildwuchs (Role Explosion) führt.</w:t>
      </w:r>
    </w:p>
    <w:p w:rsidR="00020C76" w:rsidRDefault="00C22111">
      <w:pPr>
        <w:pStyle w:val="Titre3"/>
      </w:pPr>
      <w:bookmarkStart w:id="37" w:name="der-5-schritte-veredelungsprozess"/>
      <w:bookmarkStart w:id="38" w:name="_Toc243475976"/>
      <w:r>
        <w:t>Der 5-Schritte-Veredelungsprozess</w:t>
      </w:r>
      <w:bookmarkEnd w:id="38"/>
    </w:p>
    <w:p w:rsidR="00020C76" w:rsidRDefault="00C22111">
      <w:pPr>
        <w:pStyle w:val="TableCaption"/>
      </w:pPr>
      <w:r>
        <w:t>Transformation der Aufgabenaufzeichnungen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Transformation der Aufgabenaufzeichnungen"/>
      </w:tblPr>
      <w:tblGrid>
        <w:gridCol w:w="2341"/>
        <w:gridCol w:w="7281"/>
      </w:tblGrid>
      <w:tr w:rsidR="00020C76" w:rsidTr="00020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7" w:type="dxa"/>
          </w:tcPr>
          <w:p w:rsidR="00020C76" w:rsidRDefault="00C22111">
            <w:pPr>
              <w:pStyle w:val="Compact"/>
            </w:pPr>
            <w:r>
              <w:t>Schritt</w:t>
            </w:r>
          </w:p>
        </w:tc>
        <w:tc>
          <w:tcPr>
            <w:tcW w:w="5992" w:type="dxa"/>
          </w:tcPr>
          <w:p w:rsidR="00020C76" w:rsidRDefault="00C22111">
            <w:pPr>
              <w:pStyle w:val="Compact"/>
            </w:pPr>
            <w:r>
              <w:t>Vorgehensweise</w:t>
            </w:r>
          </w:p>
        </w:tc>
      </w:tr>
      <w:tr w:rsidR="00020C76">
        <w:tc>
          <w:tcPr>
            <w:tcW w:w="1927" w:type="dxa"/>
          </w:tcPr>
          <w:p w:rsidR="00020C76" w:rsidRDefault="00C22111">
            <w:pPr>
              <w:pStyle w:val="Compact"/>
            </w:pPr>
            <w:r>
              <w:t>1. Validierung &amp; Bereinigung</w:t>
            </w:r>
          </w:p>
        </w:tc>
        <w:tc>
          <w:tcPr>
            <w:tcW w:w="5992" w:type="dxa"/>
          </w:tcPr>
          <w:p w:rsidR="00020C76" w:rsidRDefault="00C22111">
            <w:pPr>
              <w:pStyle w:val="Compact"/>
            </w:pPr>
            <w:r>
              <w:t>Prüfung der Aufzeichnung: Zeigt sie genau einen fachlichen Vorgang ohne Fehlklicks, Verzweigungen oder Admin-Rückgriffe?</w:t>
            </w:r>
          </w:p>
        </w:tc>
      </w:tr>
      <w:tr w:rsidR="00020C76">
        <w:tc>
          <w:tcPr>
            <w:tcW w:w="1927" w:type="dxa"/>
          </w:tcPr>
          <w:p w:rsidR="00020C76" w:rsidRDefault="00C22111">
            <w:pPr>
              <w:pStyle w:val="Compact"/>
            </w:pPr>
            <w:r>
              <w:t>2. Sicherheitsdiagnose (Security Diagnostics)</w:t>
            </w:r>
          </w:p>
        </w:tc>
        <w:tc>
          <w:tcPr>
            <w:tcW w:w="5992" w:type="dxa"/>
          </w:tcPr>
          <w:p w:rsidR="00020C76" w:rsidRDefault="00C22111">
            <w:pPr>
              <w:pStyle w:val="Compact"/>
            </w:pPr>
            <w:r>
              <w:t>Nutzung der D365-Funktion ‘Sicherheitsdiagnose für Aufgabenaufzeichnungen’, um die exakt</w:t>
            </w:r>
            <w:r>
              <w:t xml:space="preserve"> benötigten Menüelemente und Privilegien zu ermitteln.</w:t>
            </w:r>
          </w:p>
        </w:tc>
      </w:tr>
      <w:tr w:rsidR="00020C76">
        <w:tc>
          <w:tcPr>
            <w:tcW w:w="1927" w:type="dxa"/>
          </w:tcPr>
          <w:p w:rsidR="00020C76" w:rsidRDefault="00C22111">
            <w:pPr>
              <w:pStyle w:val="Compact"/>
            </w:pPr>
            <w:r>
              <w:lastRenderedPageBreak/>
              <w:t>3. Aggregation zu atomaren Duties</w:t>
            </w:r>
          </w:p>
        </w:tc>
        <w:tc>
          <w:tcPr>
            <w:tcW w:w="5992" w:type="dxa"/>
          </w:tcPr>
          <w:p w:rsidR="00020C76" w:rsidRDefault="00C22111">
            <w:pPr>
              <w:pStyle w:val="Compact"/>
            </w:pPr>
            <w:r>
              <w:t>Aufzeichnungen werden NICHT zu Rollen, sondern zu Duties aggregiert. Mehrere Aufzeichnungen teilen sich bestehende Duties/Privilegien.</w:t>
            </w:r>
          </w:p>
        </w:tc>
      </w:tr>
      <w:tr w:rsidR="00020C76">
        <w:tc>
          <w:tcPr>
            <w:tcW w:w="1927" w:type="dxa"/>
          </w:tcPr>
          <w:p w:rsidR="00020C76" w:rsidRDefault="00C22111">
            <w:pPr>
              <w:pStyle w:val="Compact"/>
            </w:pPr>
            <w:r>
              <w:t>4. Lizenz-Klassifizierung</w:t>
            </w:r>
          </w:p>
        </w:tc>
        <w:tc>
          <w:tcPr>
            <w:tcW w:w="5992" w:type="dxa"/>
          </w:tcPr>
          <w:p w:rsidR="00020C76" w:rsidRDefault="00C22111">
            <w:pPr>
              <w:pStyle w:val="Compact"/>
            </w:pPr>
            <w:r>
              <w:t>Jede</w:t>
            </w:r>
            <w:r>
              <w:t xml:space="preserve"> erzeugte Duty wird bezüglich Lizenzwirkung bewertet (Operations vs. Activity vs. Team Members). Teure Privilegien werden isoliert.</w:t>
            </w:r>
          </w:p>
        </w:tc>
      </w:tr>
      <w:tr w:rsidR="00020C76">
        <w:tc>
          <w:tcPr>
            <w:tcW w:w="1927" w:type="dxa"/>
          </w:tcPr>
          <w:p w:rsidR="00020C76" w:rsidRDefault="00C22111">
            <w:pPr>
              <w:pStyle w:val="Compact"/>
            </w:pPr>
            <w:r>
              <w:t>5. Lückenanalyse (Gap-Closing)</w:t>
            </w:r>
          </w:p>
        </w:tc>
        <w:tc>
          <w:tcPr>
            <w:tcW w:w="5992" w:type="dxa"/>
          </w:tcPr>
          <w:p w:rsidR="00020C76" w:rsidRDefault="00C22111">
            <w:pPr>
              <w:pStyle w:val="Compact"/>
            </w:pPr>
            <w:r>
              <w:t>Ergänzung von Elementen, die der Task Recorder nicht sieht: Workflows, Datenentitäten (Excel</w:t>
            </w:r>
            <w:r>
              <w:t xml:space="preserve"> Add-in), Berichte/SSRS und periodische Batchjobs.</w:t>
            </w:r>
          </w:p>
        </w:tc>
      </w:tr>
    </w:tbl>
    <w:p w:rsidR="00020C76" w:rsidRDefault="00C22111">
      <w:pPr>
        <w:pStyle w:val="Titre3"/>
      </w:pPr>
      <w:bookmarkStart w:id="39" w:name="X3831d17d843ea49c9a78387b8e6ad6355c47ad1"/>
      <w:bookmarkStart w:id="40" w:name="_Toc243475977"/>
      <w:bookmarkEnd w:id="37"/>
      <w:r>
        <w:t>Zweite Pilotwelle: Innendienst und Lager/Logistik</w:t>
      </w:r>
      <w:bookmarkEnd w:id="40"/>
    </w:p>
    <w:p w:rsidR="00020C76" w:rsidRDefault="00C22111">
      <w:pPr>
        <w:pStyle w:val="FirstParagraph"/>
      </w:pPr>
      <w:r>
        <w:t>Neben dem Einkauf werden zwei weitere Bereiche als Piloten geführt. Ihre Ergebnisse gelten für beide Stränge: Die bereinigten Rollensätze werden in den Be</w:t>
      </w:r>
      <w:r>
        <w:t>standsgesellschaften eingesetzt und bilden die Zielrollen der neuen Gesellschaft (Kapitel 9).</w:t>
      </w:r>
    </w:p>
    <w:p w:rsidR="00020C76" w:rsidRDefault="00C22111">
      <w:pPr>
        <w:pStyle w:val="Compact"/>
        <w:numPr>
          <w:ilvl w:val="0"/>
          <w:numId w:val="18"/>
        </w:numPr>
      </w:pPr>
      <w:r>
        <w:rPr>
          <w:b/>
          <w:bCs/>
        </w:rPr>
        <w:t>Innendienst (zuerst):</w:t>
      </w:r>
      <w:r>
        <w:t xml:space="preserve"> Für die Rolle </w:t>
      </w:r>
      <w:r>
        <w:rPr>
          <w:rStyle w:val="VerbatimChar"/>
        </w:rPr>
        <w:t>_WIBU_VERKAUF_INNENDIENST_MITARBEITER</w:t>
      </w:r>
      <w:r>
        <w:t xml:space="preserve"> </w:t>
      </w:r>
      <w:r>
        <w:t>liegt eine gegen D365 geprüfte Lizenzanalyse vor (Abnahme in ADN, Oktober 2026). Commerce wird dort durch die Retail-Rabatte und -Preise ausgelöst. Zugleich lösen bei allen ausgewerteten Benutzern andere Rollen dieselben Basislizenzen aus; eine Änderung di</w:t>
      </w:r>
      <w:r>
        <w:t>eser einen Rolle spart also noch keine Lizenz. Der Pilot betrachtet deshalb den vollständigen Rollensatz eines Innendienst-Mitarbeiters. Das Ergebnis ist auch der Ausgangspunkt für den Vertrieb.</w:t>
      </w:r>
    </w:p>
    <w:p w:rsidR="00020C76" w:rsidRDefault="00C22111">
      <w:pPr>
        <w:pStyle w:val="Compact"/>
        <w:numPr>
          <w:ilvl w:val="0"/>
          <w:numId w:val="18"/>
        </w:numPr>
      </w:pPr>
      <w:r>
        <w:rPr>
          <w:b/>
          <w:bCs/>
        </w:rPr>
        <w:t>Lager und Logistik (danach):</w:t>
      </w:r>
      <w:r>
        <w:t xml:space="preserve"> Ziel ist, die Gruppe der 30 Benu</w:t>
      </w:r>
      <w:r>
        <w:t>tzer aus Kapitel 9 nach ihren tatsächlichen Tätigkeiten aufzuteilen und je Untergruppe die Lizenzstufe festzulegen.</w:t>
      </w:r>
    </w:p>
    <w:p w:rsidR="00020C76" w:rsidRDefault="00C22111">
      <w:pPr>
        <w:pStyle w:val="FirstParagraph"/>
      </w:pPr>
      <w:r>
        <w:t>Die Servicetechniker sind kein Pilot, solange noch nicht feststeht, welche Berechtigungen sie im System brauchen.</w:t>
      </w:r>
    </w:p>
    <w:p w:rsidR="00020C76" w:rsidRDefault="00C22111">
      <w:r>
        <w:pict>
          <v:rect id="_x0000_i1028" style="width:0;height:1.5pt" o:hralign="center" o:hrstd="t" o:hr="t"/>
        </w:pict>
      </w:r>
    </w:p>
    <w:p w:rsidR="00020C76" w:rsidRDefault="00C22111">
      <w:pPr>
        <w:pStyle w:val="Titre1"/>
      </w:pPr>
      <w:bookmarkStart w:id="41" w:name="Xbd3f66fca0ae9cd873fca225c71bff37c3acc2e"/>
      <w:bookmarkStart w:id="42" w:name="_Toc243475978"/>
      <w:bookmarkEnd w:id="35"/>
      <w:bookmarkEnd w:id="39"/>
      <w:r>
        <w:t>5. Schnittstelle zum Tes</w:t>
      </w:r>
      <w:r>
        <w:t>tmanager: Integriertes Testkonzept</w:t>
      </w:r>
      <w:bookmarkEnd w:id="42"/>
    </w:p>
    <w:p w:rsidR="00020C76" w:rsidRDefault="00C22111">
      <w:pPr>
        <w:pStyle w:val="FirstParagraph"/>
      </w:pPr>
      <w:r>
        <w:t>Berechtigungen sind kein IT-Zusatz, sondern determinieren das Gelingen der fachlichen Abnahmetests (UAT). Ohne Berechtigungskonzept testen Key-User mit Admin-Rechten, was beim Go-Live zu massiven Prozessabbrüchen führt.</w:t>
      </w:r>
    </w:p>
    <w:p w:rsidR="00020C76" w:rsidRDefault="00C22111">
      <w:pPr>
        <w:pStyle w:val="Titre3"/>
      </w:pPr>
      <w:bookmarkStart w:id="43" w:name="testorganisation-im-zusammenspiel"/>
      <w:bookmarkStart w:id="44" w:name="_Toc243475979"/>
      <w:r>
        <w:t>T</w:t>
      </w:r>
      <w:r>
        <w:t>estorganisation im Zusammenspiel</w:t>
      </w:r>
      <w:bookmarkEnd w:id="44"/>
    </w:p>
    <w:p w:rsidR="00020C76" w:rsidRDefault="00C22111">
      <w:pPr>
        <w:pStyle w:val="Compact"/>
        <w:numPr>
          <w:ilvl w:val="0"/>
          <w:numId w:val="19"/>
        </w:numPr>
      </w:pPr>
      <w:r>
        <w:rPr>
          <w:b/>
          <w:bCs/>
        </w:rPr>
        <w:t>Rollenbasierte Testbenutzer:</w:t>
      </w:r>
    </w:p>
    <w:p w:rsidR="00020C76" w:rsidRDefault="00C22111">
      <w:pPr>
        <w:pStyle w:val="Compact"/>
        <w:numPr>
          <w:ilvl w:val="1"/>
          <w:numId w:val="20"/>
        </w:numPr>
      </w:pPr>
      <w:r>
        <w:t xml:space="preserve">Für jede neue Rolle wird ein generischer Testbenutzer angelegt (z. B. </w:t>
      </w:r>
      <w:r>
        <w:rPr>
          <w:rStyle w:val="VerbatimChar"/>
        </w:rPr>
        <w:t>TST_EINKAUF_MA</w:t>
      </w:r>
      <w:r>
        <w:t>).</w:t>
      </w:r>
    </w:p>
    <w:p w:rsidR="00020C76" w:rsidRDefault="00C22111">
      <w:pPr>
        <w:pStyle w:val="Compact"/>
        <w:numPr>
          <w:ilvl w:val="1"/>
          <w:numId w:val="20"/>
        </w:numPr>
      </w:pPr>
      <w:r>
        <w:lastRenderedPageBreak/>
        <w:t>Keine Tests mit Systemadministrator-Rechten während des UAT.</w:t>
      </w:r>
    </w:p>
    <w:p w:rsidR="00020C76" w:rsidRDefault="00C22111">
      <w:pPr>
        <w:pStyle w:val="Compact"/>
        <w:numPr>
          <w:ilvl w:val="0"/>
          <w:numId w:val="19"/>
        </w:numPr>
      </w:pPr>
      <w:r>
        <w:rPr>
          <w:b/>
          <w:bCs/>
        </w:rPr>
        <w:t>Testarten im Berechtigungskontext:</w:t>
      </w:r>
    </w:p>
    <w:p w:rsidR="00020C76" w:rsidRDefault="00C22111">
      <w:pPr>
        <w:pStyle w:val="Compact"/>
        <w:numPr>
          <w:ilvl w:val="1"/>
          <w:numId w:val="21"/>
        </w:numPr>
      </w:pPr>
      <w:r>
        <w:rPr>
          <w:b/>
          <w:bCs/>
        </w:rPr>
        <w:t>Positivtest</w:t>
      </w:r>
      <w:r>
        <w:rPr>
          <w:b/>
          <w:bCs/>
        </w:rPr>
        <w:t>s:</w:t>
      </w:r>
      <w:r>
        <w:t xml:space="preserve"> Kann der Sachbearbeiter alle Prozessschritte seiner Stellenbeschreibung fehlerfrei ausführen?</w:t>
      </w:r>
    </w:p>
    <w:p w:rsidR="00020C76" w:rsidRDefault="00C22111">
      <w:pPr>
        <w:pStyle w:val="Compact"/>
        <w:numPr>
          <w:ilvl w:val="1"/>
          <w:numId w:val="21"/>
        </w:numPr>
      </w:pPr>
      <w:r>
        <w:rPr>
          <w:b/>
          <w:bCs/>
        </w:rPr>
        <w:t>Negativtests:</w:t>
      </w:r>
      <w:r>
        <w:t xml:space="preserve"> Werden kritische Menüpunkte ausgeblendet? Werden unzulässige Buchungen verweigert?</w:t>
      </w:r>
    </w:p>
    <w:p w:rsidR="00020C76" w:rsidRDefault="00C22111">
      <w:pPr>
        <w:pStyle w:val="Compact"/>
        <w:numPr>
          <w:ilvl w:val="1"/>
          <w:numId w:val="21"/>
        </w:numPr>
      </w:pPr>
      <w:r>
        <w:rPr>
          <w:b/>
          <w:bCs/>
        </w:rPr>
        <w:t>SoD-Tests:</w:t>
      </w:r>
      <w:r>
        <w:t xml:space="preserve"> Kann derselbe Benutzer gleichzeitig Lieferanten anl</w:t>
      </w:r>
      <w:r>
        <w:t>egen und Bestellungen freigeben?</w:t>
      </w:r>
    </w:p>
    <w:p w:rsidR="00020C76" w:rsidRDefault="00C22111">
      <w:pPr>
        <w:pStyle w:val="Compact"/>
        <w:numPr>
          <w:ilvl w:val="1"/>
          <w:numId w:val="21"/>
        </w:numPr>
      </w:pPr>
      <w:r>
        <w:rPr>
          <w:b/>
          <w:bCs/>
        </w:rPr>
        <w:t>Lizenz-Verifikation:</w:t>
      </w:r>
      <w:r>
        <w:t xml:space="preserve"> Löst der Benutzer im Lizenzreport exakt die geplante Lizenzstufe aus?</w:t>
      </w:r>
    </w:p>
    <w:p w:rsidR="00020C76" w:rsidRDefault="00C22111">
      <w:pPr>
        <w:pStyle w:val="Compact"/>
        <w:numPr>
          <w:ilvl w:val="0"/>
          <w:numId w:val="19"/>
        </w:numPr>
      </w:pPr>
      <w:r>
        <w:rPr>
          <w:b/>
          <w:bCs/>
        </w:rPr>
        <w:t>Defect Management (Fehlereinstufung):</w:t>
      </w:r>
    </w:p>
    <w:p w:rsidR="00020C76" w:rsidRDefault="00C22111">
      <w:pPr>
        <w:pStyle w:val="Compact"/>
        <w:numPr>
          <w:ilvl w:val="1"/>
          <w:numId w:val="22"/>
        </w:numPr>
      </w:pPr>
      <w:r>
        <w:t xml:space="preserve">Im Defect-Tracking-System (Azure DevOps / Jira) existiert eine eigene Kategorie </w:t>
      </w:r>
      <w:r>
        <w:rPr>
          <w:b/>
          <w:bCs/>
        </w:rPr>
        <w:t>„Security / Be</w:t>
      </w:r>
      <w:r>
        <w:rPr>
          <w:b/>
          <w:bCs/>
        </w:rPr>
        <w:t>rechtigung“</w:t>
      </w:r>
      <w:r>
        <w:t xml:space="preserve"> mit klaren Subtypen:</w:t>
      </w:r>
    </w:p>
    <w:p w:rsidR="00020C76" w:rsidRDefault="00C22111">
      <w:pPr>
        <w:pStyle w:val="Compact"/>
        <w:numPr>
          <w:ilvl w:val="2"/>
          <w:numId w:val="23"/>
        </w:numPr>
      </w:pPr>
      <w:r>
        <w:rPr>
          <w:i/>
          <w:iCs/>
        </w:rPr>
        <w:t>Blocker:</w:t>
      </w:r>
      <w:r>
        <w:t xml:space="preserve"> Menüpunkt fehlt vollständig (Prozess steht).</w:t>
      </w:r>
    </w:p>
    <w:p w:rsidR="00020C76" w:rsidRDefault="00C22111">
      <w:pPr>
        <w:pStyle w:val="Compact"/>
        <w:numPr>
          <w:ilvl w:val="2"/>
          <w:numId w:val="23"/>
        </w:numPr>
      </w:pPr>
      <w:r>
        <w:rPr>
          <w:i/>
          <w:iCs/>
        </w:rPr>
        <w:t>Warning / License Issue:</w:t>
      </w:r>
      <w:r>
        <w:t xml:space="preserve"> Prozess funktioniert, löst aber eine falsche (höhere) Lizenz aus.</w:t>
      </w:r>
    </w:p>
    <w:p w:rsidR="00020C76" w:rsidRDefault="00C22111">
      <w:pPr>
        <w:pStyle w:val="Compact"/>
        <w:numPr>
          <w:ilvl w:val="2"/>
          <w:numId w:val="23"/>
        </w:numPr>
      </w:pPr>
      <w:r>
        <w:rPr>
          <w:i/>
          <w:iCs/>
        </w:rPr>
        <w:t>Compliance:</w:t>
      </w:r>
      <w:r>
        <w:t xml:space="preserve"> Unerlaubter Zugriff möglich (Negativtest fehlgeschlagen).</w:t>
      </w:r>
    </w:p>
    <w:p w:rsidR="00020C76" w:rsidRDefault="00C22111">
      <w:pPr>
        <w:pStyle w:val="Titre3"/>
      </w:pPr>
      <w:bookmarkStart w:id="45" w:name="testumgebungen-und-datenstand"/>
      <w:bookmarkStart w:id="46" w:name="_Toc243475980"/>
      <w:bookmarkEnd w:id="43"/>
      <w:r>
        <w:t>Testumge</w:t>
      </w:r>
      <w:r>
        <w:t>bungen und Datenstand</w:t>
      </w:r>
      <w:bookmarkEnd w:id="46"/>
    </w:p>
    <w:p w:rsidR="00020C76" w:rsidRDefault="00C22111">
      <w:pPr>
        <w:pStyle w:val="FirstParagraph"/>
      </w:pPr>
      <w:r>
        <w:t>Um Datenbankkapazität zu sparen, sind die Sandboxen unterschiedlich befüllt (Kapitel 10). Daraus folgt, welche Tests wo laufen:</w:t>
      </w:r>
    </w:p>
    <w:p w:rsidR="00020C76" w:rsidRDefault="00C22111">
      <w:pPr>
        <w:pStyle w:val="TableCaption"/>
      </w:pPr>
      <w:r>
        <w:t>Testumgebungen und ihr Datenstand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Testumgebungen und ihr Datenstand"/>
      </w:tblPr>
      <w:tblGrid>
        <w:gridCol w:w="620"/>
        <w:gridCol w:w="2034"/>
        <w:gridCol w:w="3208"/>
        <w:gridCol w:w="3760"/>
      </w:tblGrid>
      <w:tr w:rsidR="00020C76" w:rsidTr="00020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:rsidR="00020C76" w:rsidRDefault="00C22111">
            <w:pPr>
              <w:pStyle w:val="Compact"/>
            </w:pPr>
            <w:r>
              <w:t>Umgebung</w:t>
            </w:r>
          </w:p>
        </w:tc>
        <w:tc>
          <w:tcPr>
            <w:tcW w:w="1674" w:type="dxa"/>
          </w:tcPr>
          <w:p w:rsidR="00020C76" w:rsidRDefault="00C22111">
            <w:pPr>
              <w:pStyle w:val="Compact"/>
            </w:pPr>
            <w:r>
              <w:t>Datenstand</w:t>
            </w:r>
          </w:p>
        </w:tc>
        <w:tc>
          <w:tcPr>
            <w:tcW w:w="2640" w:type="dxa"/>
          </w:tcPr>
          <w:p w:rsidR="00020C76" w:rsidRDefault="00C22111">
            <w:pPr>
              <w:pStyle w:val="Compact"/>
            </w:pPr>
            <w:r>
              <w:t>Geeignet für</w:t>
            </w:r>
          </w:p>
        </w:tc>
        <w:tc>
          <w:tcPr>
            <w:tcW w:w="3094" w:type="dxa"/>
          </w:tcPr>
          <w:p w:rsidR="00020C76" w:rsidRDefault="00C22111">
            <w:pPr>
              <w:pStyle w:val="Compact"/>
            </w:pPr>
            <w:r>
              <w:t>Nicht geeignet für</w:t>
            </w:r>
          </w:p>
        </w:tc>
      </w:tr>
      <w:tr w:rsidR="00020C76">
        <w:tc>
          <w:tcPr>
            <w:tcW w:w="510" w:type="dxa"/>
          </w:tcPr>
          <w:p w:rsidR="00020C76" w:rsidRDefault="00C22111">
            <w:pPr>
              <w:pStyle w:val="Compact"/>
            </w:pPr>
            <w:r>
              <w:t>INT</w:t>
            </w:r>
          </w:p>
        </w:tc>
        <w:tc>
          <w:tcPr>
            <w:tcW w:w="1674" w:type="dxa"/>
          </w:tcPr>
          <w:p w:rsidR="00020C76" w:rsidRDefault="00C22111">
            <w:pPr>
              <w:pStyle w:val="Compact"/>
            </w:pPr>
            <w:r>
              <w:t>Kopie von Prod; Historien nach kurzer Frist bereinigt</w:t>
            </w:r>
          </w:p>
        </w:tc>
        <w:tc>
          <w:tcPr>
            <w:tcW w:w="2640" w:type="dxa"/>
          </w:tcPr>
          <w:p w:rsidR="00020C76" w:rsidRDefault="00C22111">
            <w:pPr>
              <w:pStyle w:val="Compact"/>
            </w:pPr>
            <w:r>
              <w:t>Service-Update-Tests, Prozess- und Regressionstests mit Bestandsdaten</w:t>
            </w:r>
          </w:p>
        </w:tc>
        <w:tc>
          <w:tcPr>
            <w:tcW w:w="3094" w:type="dxa"/>
          </w:tcPr>
          <w:p w:rsidR="00020C76" w:rsidRDefault="00C22111">
            <w:pPr>
              <w:pStyle w:val="Compact"/>
            </w:pPr>
            <w:r>
              <w:t>–</w:t>
            </w:r>
          </w:p>
        </w:tc>
      </w:tr>
      <w:tr w:rsidR="00020C76">
        <w:tc>
          <w:tcPr>
            <w:tcW w:w="510" w:type="dxa"/>
          </w:tcPr>
          <w:p w:rsidR="00020C76" w:rsidRDefault="00C22111">
            <w:pPr>
              <w:pStyle w:val="Compact"/>
            </w:pPr>
            <w:r>
              <w:t>TST</w:t>
            </w:r>
          </w:p>
        </w:tc>
        <w:tc>
          <w:tcPr>
            <w:tcW w:w="1674" w:type="dxa"/>
          </w:tcPr>
          <w:p w:rsidR="00020C76" w:rsidRDefault="00C22111">
            <w:pPr>
              <w:pStyle w:val="Compact"/>
            </w:pPr>
            <w:r>
              <w:t>Transaktionslose Kopie: nur Stamm- und Konfigurationsdaten</w:t>
            </w:r>
          </w:p>
        </w:tc>
        <w:tc>
          <w:tcPr>
            <w:tcW w:w="2640" w:type="dxa"/>
          </w:tcPr>
          <w:p w:rsidR="00020C76" w:rsidRDefault="00C22111">
            <w:pPr>
              <w:pStyle w:val="Compact"/>
            </w:pPr>
            <w:r>
              <w:t>Smoke-Tests nach Updates, Einstellungen, Rollen- und Negativtests,</w:t>
            </w:r>
            <w:r>
              <w:t xml:space="preserve"> Lizenzprüfung je Rolle</w:t>
            </w:r>
          </w:p>
        </w:tc>
        <w:tc>
          <w:tcPr>
            <w:tcW w:w="3094" w:type="dxa"/>
          </w:tcPr>
          <w:p w:rsidR="00020C76" w:rsidRDefault="00C22111">
            <w:pPr>
              <w:pStyle w:val="Compact"/>
            </w:pPr>
            <w:r>
              <w:t>Tests, die offene Belege oder Bestände voraussetzen: offene Aufträge, Lagerbestand, offene Posten, Ausgleich</w:t>
            </w:r>
          </w:p>
        </w:tc>
      </w:tr>
      <w:tr w:rsidR="00020C76">
        <w:tc>
          <w:tcPr>
            <w:tcW w:w="510" w:type="dxa"/>
          </w:tcPr>
          <w:p w:rsidR="00020C76" w:rsidRDefault="00C22111">
            <w:pPr>
              <w:pStyle w:val="Compact"/>
            </w:pPr>
            <w:r>
              <w:t>PRJ</w:t>
            </w:r>
          </w:p>
        </w:tc>
        <w:tc>
          <w:tcPr>
            <w:tcW w:w="1674" w:type="dxa"/>
          </w:tcPr>
          <w:p w:rsidR="00020C76" w:rsidRDefault="00C22111">
            <w:pPr>
              <w:pStyle w:val="Compact"/>
            </w:pPr>
            <w:r>
              <w:t>Kopie von Prod mit dem Projektstand der neuen Gesellschaft</w:t>
            </w:r>
          </w:p>
        </w:tc>
        <w:tc>
          <w:tcPr>
            <w:tcW w:w="2640" w:type="dxa"/>
          </w:tcPr>
          <w:p w:rsidR="00020C76" w:rsidRDefault="00C22111">
            <w:pPr>
              <w:pStyle w:val="Compact"/>
            </w:pPr>
            <w:r>
              <w:t>Aufbau und Test der neuen Gesellschaft, Fachbereichs-Worksh</w:t>
            </w:r>
            <w:r>
              <w:t>ops, UAT mit Rollen-Testbenutzern</w:t>
            </w:r>
          </w:p>
        </w:tc>
        <w:tc>
          <w:tcPr>
            <w:tcW w:w="3094" w:type="dxa"/>
          </w:tcPr>
          <w:p w:rsidR="00020C76" w:rsidRDefault="00C22111">
            <w:pPr>
              <w:pStyle w:val="Compact"/>
            </w:pPr>
            <w:r>
              <w:t>–</w:t>
            </w:r>
          </w:p>
        </w:tc>
      </w:tr>
      <w:tr w:rsidR="00020C76">
        <w:tc>
          <w:tcPr>
            <w:tcW w:w="510" w:type="dxa"/>
          </w:tcPr>
          <w:p w:rsidR="00020C76" w:rsidRDefault="00C22111">
            <w:pPr>
              <w:pStyle w:val="Compact"/>
            </w:pPr>
            <w:r>
              <w:t>Migrationssan</w:t>
            </w:r>
            <w:r>
              <w:lastRenderedPageBreak/>
              <w:t>dbox</w:t>
            </w:r>
          </w:p>
        </w:tc>
        <w:tc>
          <w:tcPr>
            <w:tcW w:w="1674" w:type="dxa"/>
          </w:tcPr>
          <w:p w:rsidR="00020C76" w:rsidRDefault="00C22111">
            <w:pPr>
              <w:pStyle w:val="Compact"/>
            </w:pPr>
            <w:r>
              <w:lastRenderedPageBreak/>
              <w:t>Kopie von Prod</w:t>
            </w:r>
          </w:p>
        </w:tc>
        <w:tc>
          <w:tcPr>
            <w:tcW w:w="2640" w:type="dxa"/>
          </w:tcPr>
          <w:p w:rsidR="00020C76" w:rsidRDefault="00C22111">
            <w:pPr>
              <w:pStyle w:val="Compact"/>
            </w:pPr>
            <w:r>
              <w:t>Migrationsläufe und Generalprobe</w:t>
            </w:r>
          </w:p>
        </w:tc>
        <w:tc>
          <w:tcPr>
            <w:tcW w:w="3094" w:type="dxa"/>
          </w:tcPr>
          <w:p w:rsidR="00020C76" w:rsidRDefault="00C22111">
            <w:pPr>
              <w:pStyle w:val="Compact"/>
            </w:pPr>
            <w:r>
              <w:t>Fachliche Abnahme</w:t>
            </w:r>
          </w:p>
        </w:tc>
      </w:tr>
    </w:tbl>
    <w:p w:rsidR="00020C76" w:rsidRDefault="00C22111">
      <w:pPr>
        <w:pStyle w:val="Compact"/>
        <w:numPr>
          <w:ilvl w:val="0"/>
          <w:numId w:val="24"/>
        </w:numPr>
      </w:pPr>
      <w:r>
        <w:rPr>
          <w:b/>
          <w:bCs/>
        </w:rPr>
        <w:lastRenderedPageBreak/>
        <w:t>Testfälle legen ihre Daten selbst an</w:t>
      </w:r>
      <w:r>
        <w:t>, zum Beispiel einen Lagerzugang vor dem Kommissioniertest. So bleiben sie in jeder Umgebung lauffähig, auch in TST.</w:t>
      </w:r>
    </w:p>
    <w:p w:rsidR="00020C76" w:rsidRDefault="00C22111">
      <w:pPr>
        <w:pStyle w:val="Compact"/>
        <w:numPr>
          <w:ilvl w:val="0"/>
          <w:numId w:val="24"/>
        </w:numPr>
      </w:pPr>
      <w:r>
        <w:rPr>
          <w:b/>
          <w:bCs/>
        </w:rPr>
        <w:t>Die Bedenken gegen Tests in TST betreffen Tests mit Bestandsdaten;</w:t>
      </w:r>
      <w:r>
        <w:t xml:space="preserve"> diese laufen in INT. Welche Testfälle TST nicht abdeckt, halten Testmana</w:t>
      </w:r>
      <w:r>
        <w:t>ger und Solution Architect als Liste fest.</w:t>
      </w:r>
    </w:p>
    <w:p w:rsidR="00020C76" w:rsidRDefault="00C22111">
      <w:pPr>
        <w:pStyle w:val="Compact"/>
        <w:numPr>
          <w:ilvl w:val="0"/>
          <w:numId w:val="24"/>
        </w:numPr>
      </w:pPr>
      <w:r>
        <w:rPr>
          <w:b/>
          <w:bCs/>
        </w:rPr>
        <w:t>Lizenzprüfungen brauchen keine Bewegungsdaten.</w:t>
      </w:r>
      <w:r>
        <w:t xml:space="preserve"> Vor dem ersten Einsatz in TST wird geprüft, ob die Lizenztabellen in der transaktionslosen Kopie vollständig sind.</w:t>
      </w:r>
    </w:p>
    <w:p w:rsidR="00020C76" w:rsidRDefault="00C22111">
      <w:r>
        <w:pict>
          <v:rect id="_x0000_i1029" style="width:0;height:1.5pt" o:hralign="center" o:hrstd="t" o:hr="t"/>
        </w:pict>
      </w:r>
    </w:p>
    <w:p w:rsidR="00020C76" w:rsidRDefault="00C22111">
      <w:pPr>
        <w:pStyle w:val="Titre1"/>
      </w:pPr>
      <w:bookmarkStart w:id="47" w:name="deliverables-dokumentenlandschaft"/>
      <w:bookmarkStart w:id="48" w:name="_Toc243475981"/>
      <w:bookmarkEnd w:id="41"/>
      <w:bookmarkEnd w:id="45"/>
      <w:r>
        <w:t>6. Deliverables &amp; Dokumentenlandschaft</w:t>
      </w:r>
      <w:bookmarkEnd w:id="48"/>
    </w:p>
    <w:p w:rsidR="00020C76" w:rsidRDefault="00C22111">
      <w:pPr>
        <w:pStyle w:val="FirstParagraph"/>
      </w:pPr>
      <w:r>
        <w:t>Das Projek</w:t>
      </w:r>
      <w:r>
        <w:t>t wird über klar definierte, prüfbare Ergebnisdokumente (Deliverables) gesteuert:</w:t>
      </w:r>
    </w:p>
    <w:p w:rsidR="00020C76" w:rsidRDefault="00C22111">
      <w:pPr>
        <w:pStyle w:val="TableCaption"/>
      </w:pPr>
      <w:r>
        <w:t>Übersicht der Projekt-Deliverables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Übersicht der Projekt-Deliverables"/>
      </w:tblPr>
      <w:tblGrid>
        <w:gridCol w:w="377"/>
        <w:gridCol w:w="5472"/>
        <w:gridCol w:w="3773"/>
      </w:tblGrid>
      <w:tr w:rsidR="00020C76" w:rsidTr="00020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0" w:type="dxa"/>
          </w:tcPr>
          <w:p w:rsidR="00020C76" w:rsidRDefault="00C22111">
            <w:pPr>
              <w:pStyle w:val="Compact"/>
            </w:pPr>
            <w:r>
              <w:t>ID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Deliverable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Zielgruppe</w:t>
            </w:r>
          </w:p>
        </w:tc>
      </w:tr>
      <w:tr w:rsidR="00020C76">
        <w:tc>
          <w:tcPr>
            <w:tcW w:w="310" w:type="dxa"/>
          </w:tcPr>
          <w:p w:rsidR="00020C76" w:rsidRDefault="00C22111">
            <w:pPr>
              <w:pStyle w:val="Compact"/>
            </w:pPr>
            <w:r>
              <w:t>D01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Berechtigungs- &amp; Lizenzstrategie (dieses Dokument)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Lenkungskreis, IT-Leitung, Audit</w:t>
            </w:r>
          </w:p>
        </w:tc>
      </w:tr>
      <w:tr w:rsidR="00020C76">
        <w:tc>
          <w:tcPr>
            <w:tcW w:w="310" w:type="dxa"/>
          </w:tcPr>
          <w:p w:rsidR="00020C76" w:rsidRDefault="00C22111">
            <w:pPr>
              <w:pStyle w:val="Compact"/>
            </w:pPr>
            <w:r>
              <w:t>D02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RACI- &amp; Governance-Steckbrief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Projektleitung, Fachbereichsleiter</w:t>
            </w:r>
          </w:p>
        </w:tc>
      </w:tr>
      <w:tr w:rsidR="00020C76">
        <w:tc>
          <w:tcPr>
            <w:tcW w:w="310" w:type="dxa"/>
          </w:tcPr>
          <w:p w:rsidR="00020C76" w:rsidRDefault="00C22111">
            <w:pPr>
              <w:pStyle w:val="Compact"/>
            </w:pPr>
            <w:r>
              <w:t>D03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Bestands- &amp; Lizenzanalyse (Strang A)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CFO, IT-Leitung, Lizenzmanager</w:t>
            </w:r>
          </w:p>
        </w:tc>
      </w:tr>
      <w:tr w:rsidR="00020C76">
        <w:tc>
          <w:tcPr>
            <w:tcW w:w="310" w:type="dxa"/>
          </w:tcPr>
          <w:p w:rsidR="00020C76" w:rsidRDefault="00C22111">
            <w:pPr>
              <w:pStyle w:val="Compact"/>
            </w:pPr>
            <w:r>
              <w:t>D04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Quick-Win Maßnahmenkatalog Lizenzoptimierung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IT-Administration, Lizenzmanager</w:t>
            </w:r>
          </w:p>
        </w:tc>
      </w:tr>
      <w:tr w:rsidR="00020C76">
        <w:tc>
          <w:tcPr>
            <w:tcW w:w="310" w:type="dxa"/>
          </w:tcPr>
          <w:p w:rsidR="00020C76" w:rsidRDefault="00C22111">
            <w:pPr>
              <w:pStyle w:val="Compact"/>
            </w:pPr>
            <w:r>
              <w:t>D05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Master-Rollenkatalog (Matrix i</w:t>
            </w:r>
            <w:r>
              <w:t>n Excel)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Kernteam, Fachbereiche, IT</w:t>
            </w:r>
          </w:p>
        </w:tc>
      </w:tr>
      <w:tr w:rsidR="00020C76">
        <w:tc>
          <w:tcPr>
            <w:tcW w:w="310" w:type="dxa"/>
          </w:tcPr>
          <w:p w:rsidR="00020C76" w:rsidRDefault="00C22111">
            <w:pPr>
              <w:pStyle w:val="Compact"/>
            </w:pPr>
            <w:r>
              <w:t>D06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Stellenbeschreibung-zu-Rollen-Mapping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HR, Abteilungsleiter, Fachbereich</w:t>
            </w:r>
          </w:p>
        </w:tc>
      </w:tr>
      <w:tr w:rsidR="00020C76">
        <w:tc>
          <w:tcPr>
            <w:tcW w:w="310" w:type="dxa"/>
          </w:tcPr>
          <w:p w:rsidR="00020C76" w:rsidRDefault="00C22111">
            <w:pPr>
              <w:pStyle w:val="Compact"/>
            </w:pPr>
            <w:r>
              <w:t>D07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Funktionstrennungs-Matrix (SoD Rulebook)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Revision, Compliance, Wirtschaftsprüfer</w:t>
            </w:r>
          </w:p>
        </w:tc>
      </w:tr>
      <w:tr w:rsidR="00020C76">
        <w:tc>
          <w:tcPr>
            <w:tcW w:w="310" w:type="dxa"/>
          </w:tcPr>
          <w:p w:rsidR="00020C76" w:rsidRDefault="00C22111">
            <w:pPr>
              <w:pStyle w:val="Compact"/>
            </w:pPr>
            <w:r>
              <w:lastRenderedPageBreak/>
              <w:t>D08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Fachbereichs-Workshop-Paket (W1–W4)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Key-User, Prozessverantwortliche</w:t>
            </w:r>
          </w:p>
        </w:tc>
      </w:tr>
      <w:tr w:rsidR="00020C76">
        <w:tc>
          <w:tcPr>
            <w:tcW w:w="310" w:type="dxa"/>
          </w:tcPr>
          <w:p w:rsidR="00020C76" w:rsidRDefault="00C22111">
            <w:pPr>
              <w:pStyle w:val="Compact"/>
            </w:pPr>
            <w:r>
              <w:t>D09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Transformation-Guide Task Recordings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Einkauf (Pilot), Kernteam</w:t>
            </w:r>
          </w:p>
        </w:tc>
      </w:tr>
      <w:tr w:rsidR="00020C76">
        <w:tc>
          <w:tcPr>
            <w:tcW w:w="310" w:type="dxa"/>
          </w:tcPr>
          <w:p w:rsidR="00020C76" w:rsidRDefault="00C22111">
            <w:pPr>
              <w:pStyle w:val="Compact"/>
            </w:pPr>
            <w:r>
              <w:t>D10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Technisches Design Dokument (TDD Security / AOT)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D365 Entwickler, Solution Architect</w:t>
            </w:r>
          </w:p>
        </w:tc>
      </w:tr>
      <w:tr w:rsidR="00020C76">
        <w:tc>
          <w:tcPr>
            <w:tcW w:w="310" w:type="dxa"/>
          </w:tcPr>
          <w:p w:rsidR="00020C76" w:rsidRDefault="00C22111">
            <w:pPr>
              <w:pStyle w:val="Compact"/>
            </w:pPr>
            <w:r>
              <w:t>D11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Testkonzept Berechtigungen (mit Testmanager)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Testmanager, PM</w:t>
            </w:r>
            <w:r>
              <w:t>O</w:t>
            </w:r>
          </w:p>
        </w:tc>
      </w:tr>
      <w:tr w:rsidR="00020C76">
        <w:tc>
          <w:tcPr>
            <w:tcW w:w="310" w:type="dxa"/>
          </w:tcPr>
          <w:p w:rsidR="00020C76" w:rsidRDefault="00C22111">
            <w:pPr>
              <w:pStyle w:val="Compact"/>
            </w:pPr>
            <w:r>
              <w:t>D12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Rollen-Testfälle (Positiv &amp; Negativ)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Key-User, Tester</w:t>
            </w:r>
          </w:p>
        </w:tc>
      </w:tr>
      <w:tr w:rsidR="00020C76">
        <w:tc>
          <w:tcPr>
            <w:tcW w:w="310" w:type="dxa"/>
          </w:tcPr>
          <w:p w:rsidR="00020C76" w:rsidRDefault="00C22111">
            <w:pPr>
              <w:pStyle w:val="Compact"/>
            </w:pPr>
            <w:r>
              <w:t>D13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Cutover- &amp; Migrationsplan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Projektleitung, Rollout-Team</w:t>
            </w:r>
          </w:p>
        </w:tc>
      </w:tr>
      <w:tr w:rsidR="00020C76">
        <w:tc>
          <w:tcPr>
            <w:tcW w:w="310" w:type="dxa"/>
          </w:tcPr>
          <w:p w:rsidR="00020C76" w:rsidRDefault="00C22111">
            <w:pPr>
              <w:pStyle w:val="Compact"/>
            </w:pPr>
            <w:r>
              <w:t>D14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Notfall- &amp; Fallback-Konzept (Emergency Access)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IT-Betrieb, Support</w:t>
            </w:r>
          </w:p>
        </w:tc>
      </w:tr>
      <w:tr w:rsidR="00020C76">
        <w:tc>
          <w:tcPr>
            <w:tcW w:w="310" w:type="dxa"/>
          </w:tcPr>
          <w:p w:rsidR="00020C76" w:rsidRDefault="00C22111">
            <w:pPr>
              <w:pStyle w:val="Compact"/>
            </w:pPr>
            <w:r>
              <w:t>D15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Betriebshandbuch &amp; Rezertifizierungs-Leitfaden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Fachbereichsleiter, IT-Betrieb</w:t>
            </w:r>
          </w:p>
        </w:tc>
      </w:tr>
      <w:tr w:rsidR="00020C76">
        <w:tc>
          <w:tcPr>
            <w:tcW w:w="310" w:type="dxa"/>
          </w:tcPr>
          <w:p w:rsidR="00020C76" w:rsidRDefault="00C22111">
            <w:pPr>
              <w:pStyle w:val="Compact"/>
            </w:pPr>
            <w:r>
              <w:t>D16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Lizenzprognose der neuen Gesellschaft (Kapitel 9)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Geschäftsführung, CFO, IT-Leitung</w:t>
            </w:r>
          </w:p>
        </w:tc>
      </w:tr>
      <w:tr w:rsidR="00020C76">
        <w:tc>
          <w:tcPr>
            <w:tcW w:w="310" w:type="dxa"/>
          </w:tcPr>
          <w:p w:rsidR="00020C76" w:rsidRDefault="00C22111">
            <w:pPr>
              <w:pStyle w:val="Compact"/>
            </w:pPr>
            <w:r>
              <w:t>D17</w:t>
            </w:r>
          </w:p>
        </w:tc>
        <w:tc>
          <w:tcPr>
            <w:tcW w:w="4503" w:type="dxa"/>
          </w:tcPr>
          <w:p w:rsidR="00020C76" w:rsidRDefault="00C22111">
            <w:pPr>
              <w:pStyle w:val="Compact"/>
            </w:pPr>
            <w:r>
              <w:t>Kapazitätsprognose &amp; Maßnahmenplan Datenbank (Kapitel 10)</w:t>
            </w:r>
          </w:p>
        </w:tc>
        <w:tc>
          <w:tcPr>
            <w:tcW w:w="3105" w:type="dxa"/>
          </w:tcPr>
          <w:p w:rsidR="00020C76" w:rsidRDefault="00C22111">
            <w:pPr>
              <w:pStyle w:val="Compact"/>
            </w:pPr>
            <w:r>
              <w:t>IT-Leitung, IT-Betrieb</w:t>
            </w:r>
          </w:p>
        </w:tc>
      </w:tr>
    </w:tbl>
    <w:p w:rsidR="00020C76" w:rsidRDefault="00C22111">
      <w:r>
        <w:pict>
          <v:rect id="_x0000_i1030" style="width:0;height:1.5pt" o:hralign="center" o:hrstd="t" o:hr="t"/>
        </w:pict>
      </w:r>
    </w:p>
    <w:p w:rsidR="00020C76" w:rsidRDefault="00C22111">
      <w:pPr>
        <w:pStyle w:val="Titre1"/>
      </w:pPr>
      <w:bookmarkStart w:id="49" w:name="X02144aa99a91900f1bfb9b98f8597b11f06552c"/>
      <w:bookmarkStart w:id="50" w:name="_Toc243475982"/>
      <w:bookmarkEnd w:id="47"/>
      <w:r>
        <w:t>7. Rollenschnitt &amp; Stellenbeschreibungen: Praxi</w:t>
      </w:r>
      <w:r>
        <w:t>sbeispiel</w:t>
      </w:r>
      <w:bookmarkEnd w:id="50"/>
    </w:p>
    <w:p w:rsidR="00020C76" w:rsidRDefault="00C22111">
      <w:pPr>
        <w:pStyle w:val="Titre3"/>
      </w:pPr>
      <w:bookmarkStart w:id="51" w:name="X89cbcd10ee3e3b28c16a1a97044e5b39961846d"/>
      <w:bookmarkStart w:id="52" w:name="_Toc243475983"/>
      <w:r>
        <w:t>Die Herausforderung mit Stellenbeschreibungen</w:t>
      </w:r>
      <w:bookmarkEnd w:id="52"/>
    </w:p>
    <w:p w:rsidR="00020C76" w:rsidRDefault="00C22111">
      <w:pPr>
        <w:pStyle w:val="FirstParagraph"/>
      </w:pPr>
      <w:r>
        <w:t>Stellenbeschreibungen aus der Personalabteilung sind ein essenzieller Ausgangspunkt, jedoch: - oft veraltet oder generisch formuliert („Mitarbeit im Einkauf“), - beschreiben die Soll-Aufgabe, nicht di</w:t>
      </w:r>
      <w:r>
        <w:t>e tatsächlichen Klicks im System, - berücksichtigen keine Vertretungsregelungen.</w:t>
      </w:r>
    </w:p>
    <w:p w:rsidR="00020C76" w:rsidRDefault="00C22111">
      <w:pPr>
        <w:pStyle w:val="Titre3"/>
      </w:pPr>
      <w:bookmarkStart w:id="53" w:name="Xd1421322b1919780335356125977be415bd9337"/>
      <w:bookmarkStart w:id="54" w:name="_Toc243475984"/>
      <w:bookmarkEnd w:id="51"/>
      <w:r>
        <w:lastRenderedPageBreak/>
        <w:t>Best-Practice Lösungsansatz: Der „Modulare Stellenkoffer“</w:t>
      </w:r>
      <w:bookmarkEnd w:id="54"/>
    </w:p>
    <w:p w:rsidR="00020C76" w:rsidRDefault="00C22111">
      <w:pPr>
        <w:pStyle w:val="FirstParagraph"/>
      </w:pPr>
      <w:r>
        <w:t xml:space="preserve">Eine Stelle (Job Role) wird in D365 nicht durch eine einzige monolithische Monster-Rolle abgebildet, sondern durch </w:t>
      </w:r>
      <w:r>
        <w:rPr>
          <w:b/>
          <w:bCs/>
        </w:rPr>
        <w:t>Modulare Rollenbausteine</w:t>
      </w:r>
      <w:r>
        <w:t>:</w:t>
      </w:r>
    </w:p>
    <w:p w:rsidR="00020C76" w:rsidRDefault="00C22111">
      <w:pPr>
        <w:pStyle w:val="SourceCode"/>
      </w:pPr>
      <w:r>
        <w:rPr>
          <w:rStyle w:val="VerbatimChar"/>
        </w:rPr>
        <w:t>+------------------------------------------------------------------------------+</w:t>
      </w:r>
      <w:r>
        <w:br/>
      </w:r>
      <w:r>
        <w:rPr>
          <w:rStyle w:val="VerbatimChar"/>
        </w:rPr>
        <w:t>| STELLENPROFIL (HR): Sachbearbeiter Einkauf / Operativer Einkauf              |</w:t>
      </w:r>
      <w:r>
        <w:br/>
      </w:r>
      <w:r>
        <w:rPr>
          <w:rStyle w:val="VerbatimChar"/>
        </w:rPr>
        <w:t>+-------------------------------------------------------------------</w:t>
      </w:r>
      <w:r>
        <w:rPr>
          <w:rStyle w:val="VerbatimChar"/>
        </w:rPr>
        <w:t>-----------+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Rolle 1: "WIBU_Basis_Mitarbeiter" (Team Member Lizenz)</w:t>
      </w:r>
      <w:r>
        <w:br/>
      </w:r>
      <w:r>
        <w:rPr>
          <w:rStyle w:val="VerbatimChar"/>
        </w:rPr>
        <w:t xml:space="preserve">  |      - Zeiterfassung, Urlaub, eigene Bestellanforderungen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Rolle 2: "WIBU_Einkauf_Sachbearbeiter_Operativ" (Activity Lizenz)</w:t>
      </w:r>
      <w:r>
        <w:br/>
      </w:r>
      <w:r>
        <w:rPr>
          <w:rStyle w:val="VerbatimChar"/>
        </w:rPr>
        <w:t xml:space="preserve">  |      - Pflege von Bestellanforderungen, Wareneingangsauskunft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Rolle 3: "WIBU_Einkauf_Bestellabwicklung" (Supply Chain Management Lizenz)</w:t>
      </w:r>
      <w:r>
        <w:br/>
      </w:r>
      <w:r>
        <w:rPr>
          <w:rStyle w:val="VerbatimChar"/>
        </w:rPr>
        <w:t xml:space="preserve">  |      - Bestellungen erfassen, buchen, Lieferantenkorrespondenz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[Optional / Vertretung]:</w:t>
      </w:r>
      <w:r>
        <w:rPr>
          <w:rStyle w:val="VerbatimChar"/>
        </w:rPr>
        <w:t xml:space="preserve"> "WIBU_Kreditoren_Rechnungspruefung" (Finance Lizenz)</w:t>
      </w:r>
      <w:r>
        <w:br/>
      </w:r>
      <w:r>
        <w:rPr>
          <w:rStyle w:val="VerbatimChar"/>
        </w:rPr>
        <w:t xml:space="preserve">         - Wird temporär oder organisationsspezifisch zugewiesen</w:t>
      </w:r>
    </w:p>
    <w:p w:rsidR="00020C76" w:rsidRDefault="00C22111">
      <w:pPr>
        <w:pStyle w:val="FirstParagraph"/>
      </w:pPr>
      <w:r>
        <w:rPr>
          <w:b/>
          <w:bCs/>
        </w:rPr>
        <w:t>Vorteil:</w:t>
      </w:r>
      <w:r>
        <w:t xml:space="preserve"> Ändert sich die Lizenzlogik von Microsoft oder die Aufgabenverteilung im Unternehmen, muss keine Rolle neu gebaut werden – es wi</w:t>
      </w:r>
      <w:r>
        <w:t>rd lediglich die Zuweisung der Rollenbausteine angepasst.</w:t>
      </w:r>
    </w:p>
    <w:p w:rsidR="00020C76" w:rsidRDefault="00C22111">
      <w:r>
        <w:pict>
          <v:rect id="_x0000_i1031" style="width:0;height:1.5pt" o:hralign="center" o:hrstd="t" o:hr="t"/>
        </w:pict>
      </w:r>
    </w:p>
    <w:p w:rsidR="00020C76" w:rsidRDefault="00C22111">
      <w:pPr>
        <w:pStyle w:val="Titre1"/>
      </w:pPr>
      <w:bookmarkStart w:id="55" w:name="risiken-mitigation"/>
      <w:bookmarkStart w:id="56" w:name="_Toc243475985"/>
      <w:bookmarkEnd w:id="49"/>
      <w:bookmarkEnd w:id="53"/>
      <w:r>
        <w:t>8. Risiken &amp; Mitigation</w:t>
      </w:r>
      <w:bookmarkEnd w:id="56"/>
    </w:p>
    <w:p w:rsidR="00020C76" w:rsidRDefault="00C22111">
      <w:pPr>
        <w:pStyle w:val="TableCaption"/>
      </w:pPr>
      <w:r>
        <w:t>Risikomatrix und Gegenmaßnahmen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Risikomatrix und Gegenmaßnahmen"/>
      </w:tblPr>
      <w:tblGrid>
        <w:gridCol w:w="1561"/>
        <w:gridCol w:w="4658"/>
        <w:gridCol w:w="3403"/>
      </w:tblGrid>
      <w:tr w:rsidR="00020C76" w:rsidTr="00020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5" w:type="dxa"/>
          </w:tcPr>
          <w:p w:rsidR="00020C76" w:rsidRDefault="00C22111">
            <w:pPr>
              <w:pStyle w:val="Compact"/>
            </w:pPr>
            <w:r>
              <w:t>Risiko</w:t>
            </w:r>
          </w:p>
        </w:tc>
        <w:tc>
          <w:tcPr>
            <w:tcW w:w="3833" w:type="dxa"/>
          </w:tcPr>
          <w:p w:rsidR="00020C76" w:rsidRDefault="00C22111">
            <w:pPr>
              <w:pStyle w:val="Compact"/>
            </w:pPr>
            <w:r>
              <w:t>Auswirkung</w:t>
            </w:r>
          </w:p>
        </w:tc>
        <w:tc>
          <w:tcPr>
            <w:tcW w:w="2800" w:type="dxa"/>
          </w:tcPr>
          <w:p w:rsidR="00020C76" w:rsidRDefault="00C22111">
            <w:pPr>
              <w:pStyle w:val="Compact"/>
            </w:pPr>
            <w:r>
              <w:t>Mitigationsmassnahme</w:t>
            </w:r>
          </w:p>
        </w:tc>
      </w:tr>
      <w:tr w:rsidR="00020C76">
        <w:tc>
          <w:tcPr>
            <w:tcW w:w="1285" w:type="dxa"/>
          </w:tcPr>
          <w:p w:rsidR="00020C76" w:rsidRDefault="00C22111">
            <w:pPr>
              <w:pStyle w:val="Compact"/>
            </w:pPr>
            <w:r>
              <w:t>Fachbereichs-Widerstand (‘Früher durfte ich alles’)</w:t>
            </w:r>
          </w:p>
        </w:tc>
        <w:tc>
          <w:tcPr>
            <w:tcW w:w="3833" w:type="dxa"/>
          </w:tcPr>
          <w:p w:rsidR="00020C76" w:rsidRDefault="00C22111">
            <w:pPr>
              <w:pStyle w:val="Compact"/>
            </w:pPr>
            <w:r>
              <w:t>Verzögerung der Workshops, Eskalationen</w:t>
            </w:r>
          </w:p>
        </w:tc>
        <w:tc>
          <w:tcPr>
            <w:tcW w:w="2800" w:type="dxa"/>
          </w:tcPr>
          <w:p w:rsidR="00020C76" w:rsidRDefault="00C22111">
            <w:pPr>
              <w:pStyle w:val="Compact"/>
            </w:pPr>
            <w:r>
              <w:t>Einbindu</w:t>
            </w:r>
            <w:r>
              <w:t>ng des Managements; transparente Kommunikation der Lizenzkosten und Revisionsrisiken je Rolle.</w:t>
            </w:r>
          </w:p>
        </w:tc>
      </w:tr>
      <w:tr w:rsidR="00020C76">
        <w:tc>
          <w:tcPr>
            <w:tcW w:w="1285" w:type="dxa"/>
          </w:tcPr>
          <w:p w:rsidR="00020C76" w:rsidRDefault="00C22111">
            <w:pPr>
              <w:pStyle w:val="Compact"/>
            </w:pPr>
            <w:r>
              <w:t>Prozessblockade nach Go-Live</w:t>
            </w:r>
          </w:p>
        </w:tc>
        <w:tc>
          <w:tcPr>
            <w:tcW w:w="3833" w:type="dxa"/>
          </w:tcPr>
          <w:p w:rsidR="00020C76" w:rsidRDefault="00C22111">
            <w:pPr>
              <w:pStyle w:val="Compact"/>
            </w:pPr>
            <w:r>
              <w:t>Stillstand im Tagesgeschäft, mangelnde Akzeptanz</w:t>
            </w:r>
          </w:p>
        </w:tc>
        <w:tc>
          <w:tcPr>
            <w:tcW w:w="2800" w:type="dxa"/>
          </w:tcPr>
          <w:p w:rsidR="00020C76" w:rsidRDefault="00C22111">
            <w:pPr>
              <w:pStyle w:val="Compact"/>
            </w:pPr>
            <w:r>
              <w:t>Einsatz eines ‘Emergency Access Roles’ (zeitlich limitierte Beistellrolle mit Logg</w:t>
            </w:r>
            <w:r>
              <w:t>ing) und 24/7 Hypercare-Support.</w:t>
            </w:r>
          </w:p>
        </w:tc>
      </w:tr>
      <w:tr w:rsidR="00020C76">
        <w:tc>
          <w:tcPr>
            <w:tcW w:w="1285" w:type="dxa"/>
          </w:tcPr>
          <w:p w:rsidR="00020C76" w:rsidRDefault="00C22111">
            <w:pPr>
              <w:pStyle w:val="Compact"/>
            </w:pPr>
            <w:r>
              <w:t xml:space="preserve">Rollenwildwuchs (Role </w:t>
            </w:r>
            <w:r>
              <w:lastRenderedPageBreak/>
              <w:t>Explosion)</w:t>
            </w:r>
          </w:p>
        </w:tc>
        <w:tc>
          <w:tcPr>
            <w:tcW w:w="3833" w:type="dxa"/>
          </w:tcPr>
          <w:p w:rsidR="00020C76" w:rsidRDefault="00C22111">
            <w:pPr>
              <w:pStyle w:val="Compact"/>
            </w:pPr>
            <w:r>
              <w:lastRenderedPageBreak/>
              <w:t xml:space="preserve">Unwartbare Sicherheitsstruktur, </w:t>
            </w:r>
            <w:r>
              <w:lastRenderedPageBreak/>
              <w:t>Kontrollverlust</w:t>
            </w:r>
          </w:p>
        </w:tc>
        <w:tc>
          <w:tcPr>
            <w:tcW w:w="2800" w:type="dxa"/>
          </w:tcPr>
          <w:p w:rsidR="00020C76" w:rsidRDefault="00C22111">
            <w:pPr>
              <w:pStyle w:val="Compact"/>
            </w:pPr>
            <w:r>
              <w:lastRenderedPageBreak/>
              <w:t xml:space="preserve">Strikte Governance: Keine neuen Rollen ohne Freigabe </w:t>
            </w:r>
            <w:r>
              <w:lastRenderedPageBreak/>
              <w:t>des Security Architects. Max. Wiederverwendung von Duties.</w:t>
            </w:r>
          </w:p>
        </w:tc>
      </w:tr>
      <w:tr w:rsidR="00020C76">
        <w:tc>
          <w:tcPr>
            <w:tcW w:w="1285" w:type="dxa"/>
          </w:tcPr>
          <w:p w:rsidR="00020C76" w:rsidRDefault="00C22111">
            <w:pPr>
              <w:pStyle w:val="Compact"/>
            </w:pPr>
            <w:r>
              <w:lastRenderedPageBreak/>
              <w:t>Abweichende Lizenzberechnung durch Microsoft Updates</w:t>
            </w:r>
          </w:p>
        </w:tc>
        <w:tc>
          <w:tcPr>
            <w:tcW w:w="3833" w:type="dxa"/>
          </w:tcPr>
          <w:p w:rsidR="00020C76" w:rsidRDefault="00C22111">
            <w:pPr>
              <w:pStyle w:val="Compact"/>
            </w:pPr>
            <w:r>
              <w:t>Unerwartete Nachforderungen bei Lizenzaudits</w:t>
            </w:r>
          </w:p>
        </w:tc>
        <w:tc>
          <w:tcPr>
            <w:tcW w:w="2800" w:type="dxa"/>
          </w:tcPr>
          <w:p w:rsidR="00020C76" w:rsidRDefault="00C22111">
            <w:pPr>
              <w:pStyle w:val="Compact"/>
            </w:pPr>
            <w:r>
              <w:t>Regelmäßiger Durchlauf automatisierter Lizenzreports gegen die D365 Licensing Graph Datenbank vor jedem Release.</w:t>
            </w:r>
          </w:p>
        </w:tc>
      </w:tr>
      <w:tr w:rsidR="00020C76">
        <w:tc>
          <w:tcPr>
            <w:tcW w:w="1285" w:type="dxa"/>
          </w:tcPr>
          <w:p w:rsidR="00020C76" w:rsidRDefault="00C22111">
            <w:pPr>
              <w:pStyle w:val="Compact"/>
            </w:pPr>
            <w:r>
              <w:t>Datenbankkapazität vor dem Go-Live überschri</w:t>
            </w:r>
            <w:r>
              <w:t>tten</w:t>
            </w:r>
          </w:p>
        </w:tc>
        <w:tc>
          <w:tcPr>
            <w:tcW w:w="3833" w:type="dxa"/>
          </w:tcPr>
          <w:p w:rsidR="00020C76" w:rsidRDefault="00C22111">
            <w:pPr>
              <w:pStyle w:val="Compact"/>
            </w:pPr>
            <w:r>
              <w:t>Zukaufkosten von 30 € je GB und Monat; ohne Option möglicherweise Sperre von Kopier- und Wiederherstellungsvorgängen (bei Microsoft zu bestätigen).</w:t>
            </w:r>
          </w:p>
        </w:tc>
        <w:tc>
          <w:tcPr>
            <w:tcW w:w="2800" w:type="dxa"/>
          </w:tcPr>
          <w:p w:rsidR="00020C76" w:rsidRDefault="00C22111">
            <w:pPr>
              <w:pStyle w:val="Compact"/>
            </w:pPr>
            <w:r>
              <w:t>Prognose monatlich gegen Ist prüfen; 45-Tage-Fenster planen; Bereinigungsjobs wie in INT für alle Sandb</w:t>
            </w:r>
            <w:r>
              <w:t>oxen (Kapitel 10).</w:t>
            </w:r>
          </w:p>
        </w:tc>
      </w:tr>
      <w:tr w:rsidR="00020C76">
        <w:tc>
          <w:tcPr>
            <w:tcW w:w="1285" w:type="dxa"/>
          </w:tcPr>
          <w:p w:rsidR="00020C76" w:rsidRDefault="00C22111">
            <w:pPr>
              <w:pStyle w:val="Compact"/>
            </w:pPr>
            <w:r>
              <w:t>Transaktionslose Sandbox deckt Tests nicht ab</w:t>
            </w:r>
          </w:p>
        </w:tc>
        <w:tc>
          <w:tcPr>
            <w:tcW w:w="3833" w:type="dxa"/>
          </w:tcPr>
          <w:p w:rsidR="00020C76" w:rsidRDefault="00C22111">
            <w:pPr>
              <w:pStyle w:val="Compact"/>
            </w:pPr>
            <w:r>
              <w:t>Fehler werden erst in INT oder Prod gefunden.</w:t>
            </w:r>
          </w:p>
        </w:tc>
        <w:tc>
          <w:tcPr>
            <w:tcW w:w="2800" w:type="dxa"/>
          </w:tcPr>
          <w:p w:rsidR="00020C76" w:rsidRDefault="00C22111">
            <w:pPr>
              <w:pStyle w:val="Compact"/>
            </w:pPr>
            <w:r>
              <w:t>Testarten den Umgebungen zuordnen; Testfälle legen ihre Daten selbst an (Kapitel 5).</w:t>
            </w:r>
          </w:p>
        </w:tc>
      </w:tr>
      <w:tr w:rsidR="00020C76">
        <w:tc>
          <w:tcPr>
            <w:tcW w:w="1285" w:type="dxa"/>
          </w:tcPr>
          <w:p w:rsidR="00020C76" w:rsidRDefault="00C22111">
            <w:pPr>
              <w:pStyle w:val="Compact"/>
            </w:pPr>
            <w:r>
              <w:t>Lizenzbedarf der neuen Gesellschaft höher als geschätzt</w:t>
            </w:r>
          </w:p>
        </w:tc>
        <w:tc>
          <w:tcPr>
            <w:tcW w:w="3833" w:type="dxa"/>
          </w:tcPr>
          <w:p w:rsidR="00020C76" w:rsidRDefault="00C22111">
            <w:pPr>
              <w:pStyle w:val="Compact"/>
            </w:pPr>
            <w:r>
              <w:t>Bu</w:t>
            </w:r>
            <w:r>
              <w:t>dgetüberschreitung, z. B. Activity statt Team Member für die Servicetechniker oder Commerce für Innendienst und Vertrieb.</w:t>
            </w:r>
          </w:p>
        </w:tc>
        <w:tc>
          <w:tcPr>
            <w:tcW w:w="2800" w:type="dxa"/>
          </w:tcPr>
          <w:p w:rsidR="00020C76" w:rsidRDefault="00C22111">
            <w:pPr>
              <w:pStyle w:val="Compact"/>
            </w:pPr>
            <w:r>
              <w:t>Lizenzziel je Rolle bis März 2027 festlegen und mit dem Lizenzbericht prüfen (Kapitel 9).</w:t>
            </w:r>
          </w:p>
        </w:tc>
      </w:tr>
      <w:tr w:rsidR="00020C76">
        <w:tc>
          <w:tcPr>
            <w:tcW w:w="1285" w:type="dxa"/>
          </w:tcPr>
          <w:p w:rsidR="00020C76" w:rsidRDefault="00C22111">
            <w:pPr>
              <w:pStyle w:val="Compact"/>
            </w:pPr>
            <w:r>
              <w:t>Go-Live verschiebt sich</w:t>
            </w:r>
          </w:p>
        </w:tc>
        <w:tc>
          <w:tcPr>
            <w:tcW w:w="3833" w:type="dxa"/>
          </w:tcPr>
          <w:p w:rsidR="00020C76" w:rsidRDefault="00C22111">
            <w:pPr>
              <w:pStyle w:val="Compact"/>
            </w:pPr>
            <w:r>
              <w:t>Die drei 45-Tage-Fe</w:t>
            </w:r>
            <w:r>
              <w:t>nster 2027 sind verbraucht, die neuen Lizenzen noch nicht aktiv: Die Fehlmenge bleibt auf dem Stand vor dem Go-Live und wächst weiter (Kapitel 10).</w:t>
            </w:r>
          </w:p>
        </w:tc>
        <w:tc>
          <w:tcPr>
            <w:tcW w:w="2800" w:type="dxa"/>
          </w:tcPr>
          <w:p w:rsidR="00020C76" w:rsidRDefault="00C22111">
            <w:pPr>
              <w:pStyle w:val="Compact"/>
            </w:pPr>
            <w:r>
              <w:t>Lizenzbeginn unabhängig vom Go-Live-Termin festlegen oder ein Fenster in Reserve halten (Kapitel 10).</w:t>
            </w:r>
          </w:p>
        </w:tc>
      </w:tr>
    </w:tbl>
    <w:p w:rsidR="00020C76" w:rsidRDefault="00C22111">
      <w:r>
        <w:pict>
          <v:rect id="_x0000_i1032" style="width:0;height:1.5pt" o:hralign="center" o:hrstd="t" o:hr="t"/>
        </w:pict>
      </w:r>
    </w:p>
    <w:p w:rsidR="00020C76" w:rsidRDefault="00C22111">
      <w:pPr>
        <w:pStyle w:val="Titre1"/>
      </w:pPr>
      <w:bookmarkStart w:id="57" w:name="Xc82e0bc0e2cb7480c9fb5a33a992ea725a53bea"/>
      <w:bookmarkStart w:id="58" w:name="_Toc243475986"/>
      <w:bookmarkEnd w:id="55"/>
      <w:r>
        <w:t>9. Strang B: Lizenzplanung der neuen Gesellschaft</w:t>
      </w:r>
      <w:bookmarkEnd w:id="58"/>
    </w:p>
    <w:p w:rsidR="00020C76" w:rsidRDefault="00C22111">
      <w:pPr>
        <w:pStyle w:val="FirstParagraph"/>
      </w:pPr>
      <w:r>
        <w:t>Die Planung beruht auf einer ersten Schätzung vom Oktober 2026 und dient als Grundlage für die Budgetplanung. Mengen und Lizenzstufen werden bis März 2027 je Rolle bestätigt (Kapitel 11).</w:t>
      </w:r>
    </w:p>
    <w:p w:rsidR="00020C76" w:rsidRDefault="00C22111">
      <w:pPr>
        <w:pStyle w:val="Titre3"/>
      </w:pPr>
      <w:bookmarkStart w:id="59" w:name="mengengerüst-und-budget"/>
      <w:bookmarkStart w:id="60" w:name="_Toc243475987"/>
      <w:r>
        <w:t>Mengengerüst und B</w:t>
      </w:r>
      <w:r>
        <w:t>udget</w:t>
      </w:r>
      <w:bookmarkEnd w:id="60"/>
    </w:p>
    <w:p w:rsidR="00020C76" w:rsidRDefault="00C22111">
      <w:pPr>
        <w:pStyle w:val="TableCaption"/>
      </w:pPr>
      <w:r>
        <w:t>Lizenzbudget der neuen Gesellschaft (erste Schätzung)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Lizenzbudget der neuen Gesellschaft (erste Schätzung)"/>
      </w:tblPr>
      <w:tblGrid>
        <w:gridCol w:w="5060"/>
        <w:gridCol w:w="554"/>
        <w:gridCol w:w="1542"/>
        <w:gridCol w:w="863"/>
        <w:gridCol w:w="678"/>
        <w:gridCol w:w="925"/>
      </w:tblGrid>
      <w:tr w:rsidR="00020C76" w:rsidTr="00020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3" w:type="dxa"/>
          </w:tcPr>
          <w:p w:rsidR="00020C76" w:rsidRDefault="00C22111">
            <w:pPr>
              <w:pStyle w:val="Compact"/>
            </w:pPr>
            <w:r>
              <w:t>Gruppe</w:t>
            </w:r>
          </w:p>
        </w:tc>
        <w:tc>
          <w:tcPr>
            <w:tcW w:w="456" w:type="dxa"/>
          </w:tcPr>
          <w:p w:rsidR="00020C76" w:rsidRDefault="00C22111">
            <w:pPr>
              <w:pStyle w:val="Compact"/>
              <w:jc w:val="right"/>
            </w:pPr>
            <w:r>
              <w:t>Benutzer</w:t>
            </w:r>
          </w:p>
        </w:tc>
        <w:tc>
          <w:tcPr>
            <w:tcW w:w="1269" w:type="dxa"/>
          </w:tcPr>
          <w:p w:rsidR="00020C76" w:rsidRDefault="00C22111">
            <w:pPr>
              <w:pStyle w:val="Compact"/>
            </w:pPr>
            <w:r>
              <w:t>Lizenz</w:t>
            </w:r>
          </w:p>
        </w:tc>
        <w:tc>
          <w:tcPr>
            <w:tcW w:w="710" w:type="dxa"/>
          </w:tcPr>
          <w:p w:rsidR="00020C76" w:rsidRDefault="00C22111">
            <w:pPr>
              <w:pStyle w:val="Compact"/>
              <w:jc w:val="right"/>
            </w:pPr>
            <w:r>
              <w:t>€ je Benutzer</w:t>
            </w:r>
          </w:p>
        </w:tc>
        <w:tc>
          <w:tcPr>
            <w:tcW w:w="558" w:type="dxa"/>
          </w:tcPr>
          <w:p w:rsidR="00020C76" w:rsidRDefault="00C22111">
            <w:pPr>
              <w:pStyle w:val="Compact"/>
              <w:jc w:val="right"/>
            </w:pPr>
            <w:r>
              <w:t>€ je Monat</w:t>
            </w:r>
          </w:p>
        </w:tc>
        <w:tc>
          <w:tcPr>
            <w:tcW w:w="761" w:type="dxa"/>
          </w:tcPr>
          <w:p w:rsidR="00020C76" w:rsidRDefault="00C22111">
            <w:pPr>
              <w:pStyle w:val="Compact"/>
              <w:jc w:val="right"/>
            </w:pPr>
            <w:r>
              <w:t>Kapazität (GB)</w:t>
            </w:r>
          </w:p>
        </w:tc>
      </w:tr>
      <w:tr w:rsidR="00020C76">
        <w:tc>
          <w:tcPr>
            <w:tcW w:w="4163" w:type="dxa"/>
          </w:tcPr>
          <w:p w:rsidR="00020C76" w:rsidRDefault="00C22111">
            <w:pPr>
              <w:pStyle w:val="Compact"/>
            </w:pPr>
            <w:r>
              <w:lastRenderedPageBreak/>
              <w:t>Servicetechniker</w:t>
            </w:r>
          </w:p>
        </w:tc>
        <w:tc>
          <w:tcPr>
            <w:tcW w:w="456" w:type="dxa"/>
          </w:tcPr>
          <w:p w:rsidR="00020C76" w:rsidRDefault="00C22111">
            <w:pPr>
              <w:pStyle w:val="Compact"/>
              <w:jc w:val="right"/>
            </w:pPr>
            <w:r>
              <w:t>115</w:t>
            </w:r>
          </w:p>
        </w:tc>
        <w:tc>
          <w:tcPr>
            <w:tcW w:w="1269" w:type="dxa"/>
          </w:tcPr>
          <w:p w:rsidR="00020C76" w:rsidRDefault="00C22111">
            <w:pPr>
              <w:pStyle w:val="Compact"/>
            </w:pPr>
            <w:r>
              <w:t>Activity</w:t>
            </w:r>
          </w:p>
        </w:tc>
        <w:tc>
          <w:tcPr>
            <w:tcW w:w="710" w:type="dxa"/>
          </w:tcPr>
          <w:p w:rsidR="00020C76" w:rsidRDefault="00C22111">
            <w:pPr>
              <w:pStyle w:val="Compact"/>
              <w:jc w:val="right"/>
            </w:pPr>
            <w:r>
              <w:t>46,80</w:t>
            </w:r>
          </w:p>
        </w:tc>
        <w:tc>
          <w:tcPr>
            <w:tcW w:w="558" w:type="dxa"/>
          </w:tcPr>
          <w:p w:rsidR="00020C76" w:rsidRDefault="00C22111">
            <w:pPr>
              <w:pStyle w:val="Compact"/>
              <w:jc w:val="right"/>
            </w:pPr>
            <w:r>
              <w:t>5.382,00</w:t>
            </w:r>
          </w:p>
        </w:tc>
        <w:tc>
          <w:tcPr>
            <w:tcW w:w="761" w:type="dxa"/>
          </w:tcPr>
          <w:p w:rsidR="00020C76" w:rsidRDefault="00C22111">
            <w:pPr>
              <w:pStyle w:val="Compact"/>
              <w:jc w:val="right"/>
            </w:pPr>
            <w:r>
              <w:t>115</w:t>
            </w:r>
          </w:p>
        </w:tc>
      </w:tr>
      <w:tr w:rsidR="00020C76">
        <w:tc>
          <w:tcPr>
            <w:tcW w:w="4163" w:type="dxa"/>
          </w:tcPr>
          <w:p w:rsidR="00020C76" w:rsidRDefault="00C22111">
            <w:pPr>
              <w:pStyle w:val="Compact"/>
            </w:pPr>
            <w:r>
              <w:t>Innendienst</w:t>
            </w:r>
          </w:p>
        </w:tc>
        <w:tc>
          <w:tcPr>
            <w:tcW w:w="456" w:type="dxa"/>
          </w:tcPr>
          <w:p w:rsidR="00020C76" w:rsidRDefault="00C22111">
            <w:pPr>
              <w:pStyle w:val="Compact"/>
              <w:jc w:val="right"/>
            </w:pPr>
            <w:r>
              <w:t>25</w:t>
            </w:r>
          </w:p>
        </w:tc>
        <w:tc>
          <w:tcPr>
            <w:tcW w:w="1269" w:type="dxa"/>
          </w:tcPr>
          <w:p w:rsidR="00020C76" w:rsidRDefault="00C22111">
            <w:pPr>
              <w:pStyle w:val="Compact"/>
            </w:pPr>
            <w:r>
              <w:t>SCM + Finance + Commerce</w:t>
            </w:r>
          </w:p>
        </w:tc>
        <w:tc>
          <w:tcPr>
            <w:tcW w:w="710" w:type="dxa"/>
          </w:tcPr>
          <w:p w:rsidR="00020C76" w:rsidRDefault="00C22111">
            <w:pPr>
              <w:pStyle w:val="Compact"/>
              <w:jc w:val="right"/>
            </w:pPr>
            <w:r>
              <w:t>227,00</w:t>
            </w:r>
          </w:p>
        </w:tc>
        <w:tc>
          <w:tcPr>
            <w:tcW w:w="558" w:type="dxa"/>
          </w:tcPr>
          <w:p w:rsidR="00020C76" w:rsidRDefault="00C22111">
            <w:pPr>
              <w:pStyle w:val="Compact"/>
              <w:jc w:val="right"/>
            </w:pPr>
            <w:r>
              <w:t>5.675,00</w:t>
            </w:r>
          </w:p>
        </w:tc>
        <w:tc>
          <w:tcPr>
            <w:tcW w:w="761" w:type="dxa"/>
          </w:tcPr>
          <w:p w:rsidR="00020C76" w:rsidRDefault="00C22111">
            <w:pPr>
              <w:pStyle w:val="Compact"/>
              <w:jc w:val="right"/>
            </w:pPr>
            <w:r>
              <w:t>125</w:t>
            </w:r>
          </w:p>
        </w:tc>
      </w:tr>
      <w:tr w:rsidR="00020C76">
        <w:tc>
          <w:tcPr>
            <w:tcW w:w="4163" w:type="dxa"/>
          </w:tcPr>
          <w:p w:rsidR="00020C76" w:rsidRDefault="00C22111">
            <w:pPr>
              <w:pStyle w:val="Compact"/>
            </w:pPr>
            <w:r>
              <w:t>Logistik, Disposition, Prüfdokumentation, Support, Artikelstammdaten, Shop, QM/QS</w:t>
            </w:r>
          </w:p>
        </w:tc>
        <w:tc>
          <w:tcPr>
            <w:tcW w:w="456" w:type="dxa"/>
          </w:tcPr>
          <w:p w:rsidR="00020C76" w:rsidRDefault="00C22111">
            <w:pPr>
              <w:pStyle w:val="Compact"/>
              <w:jc w:val="right"/>
            </w:pPr>
            <w:r>
              <w:t>30</w:t>
            </w:r>
          </w:p>
        </w:tc>
        <w:tc>
          <w:tcPr>
            <w:tcW w:w="1269" w:type="dxa"/>
          </w:tcPr>
          <w:p w:rsidR="00020C76" w:rsidRDefault="00C22111">
            <w:pPr>
              <w:pStyle w:val="Compact"/>
            </w:pPr>
            <w:r>
              <w:t>SCM + Finance</w:t>
            </w:r>
          </w:p>
        </w:tc>
        <w:tc>
          <w:tcPr>
            <w:tcW w:w="710" w:type="dxa"/>
          </w:tcPr>
          <w:p w:rsidR="00020C76" w:rsidRDefault="00C22111">
            <w:pPr>
              <w:pStyle w:val="Compact"/>
              <w:jc w:val="right"/>
            </w:pPr>
            <w:r>
              <w:t>195,80</w:t>
            </w:r>
          </w:p>
        </w:tc>
        <w:tc>
          <w:tcPr>
            <w:tcW w:w="558" w:type="dxa"/>
          </w:tcPr>
          <w:p w:rsidR="00020C76" w:rsidRDefault="00C22111">
            <w:pPr>
              <w:pStyle w:val="Compact"/>
              <w:jc w:val="right"/>
            </w:pPr>
            <w:r>
              <w:t>5.874,00</w:t>
            </w:r>
          </w:p>
        </w:tc>
        <w:tc>
          <w:tcPr>
            <w:tcW w:w="761" w:type="dxa"/>
          </w:tcPr>
          <w:p w:rsidR="00020C76" w:rsidRDefault="00C22111">
            <w:pPr>
              <w:pStyle w:val="Compact"/>
              <w:jc w:val="right"/>
            </w:pPr>
            <w:r>
              <w:t>150</w:t>
            </w:r>
          </w:p>
        </w:tc>
      </w:tr>
      <w:tr w:rsidR="00020C76">
        <w:tc>
          <w:tcPr>
            <w:tcW w:w="4163" w:type="dxa"/>
          </w:tcPr>
          <w:p w:rsidR="00020C76" w:rsidRDefault="00C22111">
            <w:pPr>
              <w:pStyle w:val="Compact"/>
            </w:pPr>
            <w:r>
              <w:t>Vertrieb</w:t>
            </w:r>
          </w:p>
        </w:tc>
        <w:tc>
          <w:tcPr>
            <w:tcW w:w="456" w:type="dxa"/>
          </w:tcPr>
          <w:p w:rsidR="00020C76" w:rsidRDefault="00C22111">
            <w:pPr>
              <w:pStyle w:val="Compact"/>
              <w:jc w:val="right"/>
            </w:pPr>
            <w:r>
              <w:t>15</w:t>
            </w:r>
          </w:p>
        </w:tc>
        <w:tc>
          <w:tcPr>
            <w:tcW w:w="1269" w:type="dxa"/>
          </w:tcPr>
          <w:p w:rsidR="00020C76" w:rsidRDefault="00C22111">
            <w:pPr>
              <w:pStyle w:val="Compact"/>
            </w:pPr>
            <w:r>
              <w:t>SCM + Finance + Commerce</w:t>
            </w:r>
          </w:p>
        </w:tc>
        <w:tc>
          <w:tcPr>
            <w:tcW w:w="710" w:type="dxa"/>
          </w:tcPr>
          <w:p w:rsidR="00020C76" w:rsidRDefault="00C22111">
            <w:pPr>
              <w:pStyle w:val="Compact"/>
              <w:jc w:val="right"/>
            </w:pPr>
            <w:r>
              <w:t>227,00</w:t>
            </w:r>
          </w:p>
        </w:tc>
        <w:tc>
          <w:tcPr>
            <w:tcW w:w="558" w:type="dxa"/>
          </w:tcPr>
          <w:p w:rsidR="00020C76" w:rsidRDefault="00C22111">
            <w:pPr>
              <w:pStyle w:val="Compact"/>
              <w:jc w:val="right"/>
            </w:pPr>
            <w:r>
              <w:t>3.405,00</w:t>
            </w:r>
          </w:p>
        </w:tc>
        <w:tc>
          <w:tcPr>
            <w:tcW w:w="761" w:type="dxa"/>
          </w:tcPr>
          <w:p w:rsidR="00020C76" w:rsidRDefault="00C22111">
            <w:pPr>
              <w:pStyle w:val="Compact"/>
              <w:jc w:val="right"/>
            </w:pPr>
            <w:r>
              <w:t>75</w:t>
            </w:r>
          </w:p>
        </w:tc>
      </w:tr>
      <w:tr w:rsidR="00020C76">
        <w:tc>
          <w:tcPr>
            <w:tcW w:w="4163" w:type="dxa"/>
          </w:tcPr>
          <w:p w:rsidR="00020C76" w:rsidRDefault="00C22111">
            <w:pPr>
              <w:pStyle w:val="Compact"/>
            </w:pPr>
            <w:r>
              <w:t>Summe</w:t>
            </w:r>
          </w:p>
        </w:tc>
        <w:tc>
          <w:tcPr>
            <w:tcW w:w="456" w:type="dxa"/>
          </w:tcPr>
          <w:p w:rsidR="00020C76" w:rsidRDefault="00C22111">
            <w:pPr>
              <w:pStyle w:val="Compact"/>
              <w:jc w:val="right"/>
            </w:pPr>
            <w:r>
              <w:t>185</w:t>
            </w:r>
          </w:p>
        </w:tc>
        <w:tc>
          <w:tcPr>
            <w:tcW w:w="1269" w:type="dxa"/>
          </w:tcPr>
          <w:p w:rsidR="00020C76" w:rsidRDefault="00020C76">
            <w:pPr>
              <w:pStyle w:val="Compact"/>
            </w:pPr>
          </w:p>
        </w:tc>
        <w:tc>
          <w:tcPr>
            <w:tcW w:w="710" w:type="dxa"/>
          </w:tcPr>
          <w:p w:rsidR="00020C76" w:rsidRDefault="00020C76">
            <w:pPr>
              <w:pStyle w:val="Compact"/>
            </w:pPr>
          </w:p>
        </w:tc>
        <w:tc>
          <w:tcPr>
            <w:tcW w:w="558" w:type="dxa"/>
          </w:tcPr>
          <w:p w:rsidR="00020C76" w:rsidRDefault="00C22111">
            <w:pPr>
              <w:pStyle w:val="Compact"/>
              <w:jc w:val="right"/>
            </w:pPr>
            <w:r>
              <w:t>20.336,00</w:t>
            </w:r>
          </w:p>
        </w:tc>
        <w:tc>
          <w:tcPr>
            <w:tcW w:w="761" w:type="dxa"/>
          </w:tcPr>
          <w:p w:rsidR="00020C76" w:rsidRDefault="00C22111">
            <w:pPr>
              <w:pStyle w:val="Compact"/>
              <w:jc w:val="right"/>
            </w:pPr>
            <w:r>
              <w:t>465</w:t>
            </w:r>
          </w:p>
        </w:tc>
      </w:tr>
    </w:tbl>
    <w:p w:rsidR="00020C76" w:rsidRDefault="00C22111">
      <w:pPr>
        <w:pStyle w:val="Corpsdetexte"/>
      </w:pPr>
      <w:r>
        <w:t>Das Budget beträgt 20.336,00 € im Monat, also 244.032,00 € im Jahr. Mit Team Member (7,50 €) statt Activity für die Servicetechniker sinkt es um 4.519,50 € auf 15.816,50 € im Monat. Das Kontingent wächst dann um 115 GB weniger, sofern Team Member keine Kap</w:t>
      </w:r>
      <w:r>
        <w:t>azität mitbringt (offen).</w:t>
      </w:r>
    </w:p>
    <w:p w:rsidR="00020C76" w:rsidRDefault="00C22111">
      <w:pPr>
        <w:pStyle w:val="Titre3"/>
      </w:pPr>
      <w:bookmarkStart w:id="61" w:name="prüfpunkte-zum-mengengerüst"/>
      <w:bookmarkStart w:id="62" w:name="_Toc243475988"/>
      <w:bookmarkEnd w:id="59"/>
      <w:r>
        <w:t>Prüfpunkte zum Mengengerüst</w:t>
      </w:r>
      <w:bookmarkEnd w:id="62"/>
    </w:p>
    <w:p w:rsidR="00020C76" w:rsidRDefault="00C22111">
      <w:pPr>
        <w:pStyle w:val="TableCaption"/>
      </w:pPr>
      <w:r>
        <w:t>Prüfpunkte zum Mengengerüst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Prüfpunkte zum Mengengerüst"/>
      </w:tblPr>
      <w:tblGrid>
        <w:gridCol w:w="877"/>
        <w:gridCol w:w="3820"/>
        <w:gridCol w:w="4925"/>
      </w:tblGrid>
      <w:tr w:rsidR="00020C76" w:rsidTr="00020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2" w:type="dxa"/>
          </w:tcPr>
          <w:p w:rsidR="00020C76" w:rsidRDefault="00C22111">
            <w:pPr>
              <w:pStyle w:val="Compact"/>
            </w:pPr>
            <w:r>
              <w:t>Gruppe</w:t>
            </w:r>
          </w:p>
        </w:tc>
        <w:tc>
          <w:tcPr>
            <w:tcW w:w="3144" w:type="dxa"/>
          </w:tcPr>
          <w:p w:rsidR="00020C76" w:rsidRDefault="00C22111">
            <w:pPr>
              <w:pStyle w:val="Compact"/>
            </w:pPr>
            <w:r>
              <w:t>Prüffrage</w:t>
            </w:r>
          </w:p>
        </w:tc>
        <w:tc>
          <w:tcPr>
            <w:tcW w:w="4053" w:type="dxa"/>
          </w:tcPr>
          <w:p w:rsidR="00020C76" w:rsidRDefault="00C22111">
            <w:pPr>
              <w:pStyle w:val="Compact"/>
            </w:pPr>
            <w:r>
              <w:t>Wirkung</w:t>
            </w:r>
          </w:p>
        </w:tc>
      </w:tr>
      <w:tr w:rsidR="00020C76">
        <w:tc>
          <w:tcPr>
            <w:tcW w:w="722" w:type="dxa"/>
          </w:tcPr>
          <w:p w:rsidR="00020C76" w:rsidRDefault="00C22111">
            <w:pPr>
              <w:pStyle w:val="Compact"/>
            </w:pPr>
            <w:r>
              <w:t>Alle Gruppen</w:t>
            </w:r>
          </w:p>
        </w:tc>
        <w:tc>
          <w:tcPr>
            <w:tcW w:w="3144" w:type="dxa"/>
          </w:tcPr>
          <w:p w:rsidR="00020C76" w:rsidRDefault="00C22111">
            <w:pPr>
              <w:pStyle w:val="Compact"/>
            </w:pPr>
            <w:r>
              <w:t>Wer hat bereits einen lizenzierten Benutzer in einer bestehenden Gesellschaft?</w:t>
            </w:r>
          </w:p>
        </w:tc>
        <w:tc>
          <w:tcPr>
            <w:tcW w:w="4053" w:type="dxa"/>
          </w:tcPr>
          <w:p w:rsidR="00020C76" w:rsidRDefault="00C22111">
            <w:pPr>
              <w:pStyle w:val="Compact"/>
            </w:pPr>
            <w:r>
              <w:t>Lizenzen gelten je Benutzer, nicht je Gesellschaft: Wer nur die neue Gesellschaft zusätzlich erhält, braucht keine neue Lizenz, bringt aber auch keine zusätzliche Kapazität.</w:t>
            </w:r>
          </w:p>
        </w:tc>
      </w:tr>
      <w:tr w:rsidR="00020C76">
        <w:tc>
          <w:tcPr>
            <w:tcW w:w="722" w:type="dxa"/>
          </w:tcPr>
          <w:p w:rsidR="00020C76" w:rsidRDefault="00C22111">
            <w:pPr>
              <w:pStyle w:val="Compact"/>
            </w:pPr>
            <w:r>
              <w:t>Servicetechniker</w:t>
            </w:r>
          </w:p>
        </w:tc>
        <w:tc>
          <w:tcPr>
            <w:tcW w:w="3144" w:type="dxa"/>
          </w:tcPr>
          <w:p w:rsidR="00020C76" w:rsidRDefault="00C22111">
            <w:pPr>
              <w:pStyle w:val="Compact"/>
            </w:pPr>
            <w:r>
              <w:t>Welche Tätigkeiten übernehmen die Techniker im System: nur Ausku</w:t>
            </w:r>
            <w:r>
              <w:t>nft, Materialentnahme, Stundenerfassung, Serviceaufträge?</w:t>
            </w:r>
          </w:p>
        </w:tc>
        <w:tc>
          <w:tcPr>
            <w:tcW w:w="4053" w:type="dxa"/>
          </w:tcPr>
          <w:p w:rsidR="00020C76" w:rsidRDefault="00C22111">
            <w:pPr>
              <w:pStyle w:val="Compact"/>
            </w:pPr>
            <w:r>
              <w:t>Team Member statt Activity: 4.519,50 € im Monat.</w:t>
            </w:r>
          </w:p>
        </w:tc>
      </w:tr>
      <w:tr w:rsidR="00020C76">
        <w:tc>
          <w:tcPr>
            <w:tcW w:w="722" w:type="dxa"/>
          </w:tcPr>
          <w:p w:rsidR="00020C76" w:rsidRDefault="00C22111">
            <w:pPr>
              <w:pStyle w:val="Compact"/>
            </w:pPr>
            <w:r>
              <w:t>Innendienst und Vertrieb</w:t>
            </w:r>
          </w:p>
        </w:tc>
        <w:tc>
          <w:tcPr>
            <w:tcW w:w="3144" w:type="dxa"/>
          </w:tcPr>
          <w:p w:rsidR="00020C76" w:rsidRDefault="00C22111">
            <w:pPr>
              <w:pStyle w:val="Compact"/>
            </w:pPr>
            <w:r>
              <w:t>Werden Retail-Rabatte und -Preise (Commerce) in der neuen Gesellschaft genutzt? Pflegen alle Vertriebsmitarbeiter Preise?</w:t>
            </w:r>
          </w:p>
        </w:tc>
        <w:tc>
          <w:tcPr>
            <w:tcW w:w="4053" w:type="dxa"/>
          </w:tcPr>
          <w:p w:rsidR="00020C76" w:rsidRDefault="00C22111">
            <w:pPr>
              <w:pStyle w:val="Compact"/>
            </w:pPr>
            <w:r>
              <w:t>O</w:t>
            </w:r>
            <w:r>
              <w:t>hne Commerce 31,20 € je Benutzer und Monat, bei 40 Benutzern 1.248,00 €. Preispflege als eigene Rolle nur für die Pflegenden (Prinzip 3).</w:t>
            </w:r>
          </w:p>
        </w:tc>
      </w:tr>
      <w:tr w:rsidR="00020C76">
        <w:tc>
          <w:tcPr>
            <w:tcW w:w="722" w:type="dxa"/>
          </w:tcPr>
          <w:p w:rsidR="00020C76" w:rsidRDefault="00C22111">
            <w:pPr>
              <w:pStyle w:val="Compact"/>
            </w:pPr>
            <w:r>
              <w:t xml:space="preserve">Gruppe </w:t>
            </w:r>
            <w:r>
              <w:lastRenderedPageBreak/>
              <w:t>der 30 (Logistik u. a.)</w:t>
            </w:r>
          </w:p>
        </w:tc>
        <w:tc>
          <w:tcPr>
            <w:tcW w:w="3144" w:type="dxa"/>
          </w:tcPr>
          <w:p w:rsidR="00020C76" w:rsidRDefault="00C22111">
            <w:pPr>
              <w:pStyle w:val="Compact"/>
            </w:pPr>
            <w:r>
              <w:lastRenderedPageBreak/>
              <w:t xml:space="preserve">Sieben Bereiche mit einer Lizenzstufe: Reicht für Support </w:t>
            </w:r>
            <w:r>
              <w:lastRenderedPageBreak/>
              <w:t>oder Prüfdokumentation Activity oder Team Member? Braucht der Shop Commerce?</w:t>
            </w:r>
          </w:p>
        </w:tc>
        <w:tc>
          <w:tcPr>
            <w:tcW w:w="4053" w:type="dxa"/>
          </w:tcPr>
          <w:p w:rsidR="00020C76" w:rsidRDefault="00C22111">
            <w:pPr>
              <w:pStyle w:val="Compact"/>
            </w:pPr>
            <w:r>
              <w:lastRenderedPageBreak/>
              <w:t>Aufteilung in Untergruppen mit eigener Lizenzstufe.</w:t>
            </w:r>
          </w:p>
        </w:tc>
      </w:tr>
      <w:tr w:rsidR="00020C76">
        <w:tc>
          <w:tcPr>
            <w:tcW w:w="722" w:type="dxa"/>
          </w:tcPr>
          <w:p w:rsidR="00020C76" w:rsidRDefault="00C22111">
            <w:pPr>
              <w:pStyle w:val="Compact"/>
            </w:pPr>
            <w:r>
              <w:lastRenderedPageBreak/>
              <w:t>Preise</w:t>
            </w:r>
          </w:p>
        </w:tc>
        <w:tc>
          <w:tcPr>
            <w:tcW w:w="3144" w:type="dxa"/>
          </w:tcPr>
          <w:p w:rsidR="00020C76" w:rsidRDefault="00C22111">
            <w:pPr>
              <w:pStyle w:val="Compact"/>
            </w:pPr>
            <w:r>
              <w:t>Entsprechen 195,80 € und 227,00 € dem aktuellen Angebot für B</w:t>
            </w:r>
            <w:r>
              <w:t>asis- plus Attach-Lizenzen?</w:t>
            </w:r>
          </w:p>
        </w:tc>
        <w:tc>
          <w:tcPr>
            <w:tcW w:w="4053" w:type="dxa"/>
          </w:tcPr>
          <w:p w:rsidR="00020C76" w:rsidRDefault="00C22111">
            <w:pPr>
              <w:pStyle w:val="Compact"/>
            </w:pPr>
            <w:r>
              <w:t>Sicherheit des Budgets.</w:t>
            </w:r>
          </w:p>
        </w:tc>
      </w:tr>
    </w:tbl>
    <w:p w:rsidR="00020C76" w:rsidRDefault="00C22111">
      <w:pPr>
        <w:pStyle w:val="Titre3"/>
      </w:pPr>
      <w:bookmarkStart w:id="63" w:name="vorgehen-je-rolle"/>
      <w:bookmarkStart w:id="64" w:name="_Toc243475989"/>
      <w:bookmarkEnd w:id="61"/>
      <w:r>
        <w:t>Vorgehen je Rolle</w:t>
      </w:r>
      <w:bookmarkEnd w:id="64"/>
    </w:p>
    <w:p w:rsidR="00020C76" w:rsidRDefault="00C22111">
      <w:pPr>
        <w:pStyle w:val="Compact"/>
        <w:numPr>
          <w:ilvl w:val="0"/>
          <w:numId w:val="25"/>
        </w:numPr>
      </w:pPr>
      <w:r>
        <w:rPr>
          <w:b/>
          <w:bCs/>
        </w:rPr>
        <w:t>Referenzrollen bestimmen:</w:t>
      </w:r>
      <w:r>
        <w:t xml:space="preserve"> Für jede Gruppe die Rollen, mit denen vergleichbare Mitarbeiter in den Bestandsgesellschaften heute arbeiten.</w:t>
      </w:r>
    </w:p>
    <w:p w:rsidR="00020C76" w:rsidRDefault="00C22111">
      <w:pPr>
        <w:pStyle w:val="Compact"/>
        <w:numPr>
          <w:ilvl w:val="0"/>
          <w:numId w:val="25"/>
        </w:numPr>
      </w:pPr>
      <w:r>
        <w:rPr>
          <w:b/>
          <w:bCs/>
        </w:rPr>
        <w:t>Lizenzbericht je Referenzrolle</w:t>
      </w:r>
      <w:r>
        <w:t xml:space="preserve"> mit </w:t>
      </w:r>
      <w:r>
        <w:rPr>
          <w:rStyle w:val="VerbatimChar"/>
        </w:rPr>
        <w:t>report_role_license()</w:t>
      </w:r>
      <w:r>
        <w:t>: Welche Aufgaben und Objekte lösen welche Lizenz aus? Werkzeugdaten und D365-Exporte stammen dabei immer aus derselben Umgebung.</w:t>
      </w:r>
    </w:p>
    <w:p w:rsidR="00020C76" w:rsidRDefault="00C22111">
      <w:pPr>
        <w:pStyle w:val="Compact"/>
        <w:numPr>
          <w:ilvl w:val="0"/>
          <w:numId w:val="25"/>
        </w:numPr>
      </w:pPr>
      <w:r>
        <w:rPr>
          <w:b/>
          <w:bCs/>
        </w:rPr>
        <w:t>Zielrolle ableiten:</w:t>
      </w:r>
      <w:r>
        <w:t xml:space="preserve"> Lizenztreiber entfernen oder in eine eigene Rolle auslagern (Prinzip 3). Die Rollensä</w:t>
      </w:r>
      <w:r>
        <w:t>tze heutiger Mitarbeiter werden nicht kopiert: In der Innendienst-Analyse lösten bei allen ausgewerteten Benutzern andere Rollen dieselben Basislizenzen aus.</w:t>
      </w:r>
    </w:p>
    <w:p w:rsidR="00020C76" w:rsidRDefault="00C22111">
      <w:pPr>
        <w:pStyle w:val="Compact"/>
        <w:numPr>
          <w:ilvl w:val="0"/>
          <w:numId w:val="25"/>
        </w:numPr>
      </w:pPr>
      <w:r>
        <w:rPr>
          <w:b/>
          <w:bCs/>
        </w:rPr>
        <w:t>Zielrolle in D365 prüfen</w:t>
      </w:r>
      <w:r>
        <w:t xml:space="preserve"> gegen die Ansicht „Zusammenfassung der Lizenznutzung“.</w:t>
      </w:r>
    </w:p>
    <w:p w:rsidR="00020C76" w:rsidRDefault="00C22111">
      <w:pPr>
        <w:pStyle w:val="Compact"/>
        <w:numPr>
          <w:ilvl w:val="0"/>
          <w:numId w:val="25"/>
        </w:numPr>
      </w:pPr>
      <w:r>
        <w:rPr>
          <w:b/>
          <w:bCs/>
        </w:rPr>
        <w:t>Lizenzziel je Roll</w:t>
      </w:r>
      <w:r>
        <w:rPr>
          <w:b/>
          <w:bCs/>
        </w:rPr>
        <w:t>e bis März 2027 festlegen;</w:t>
      </w:r>
      <w:r>
        <w:t xml:space="preserve"> spätere Änderungen nur mit neuem Lizenzbericht.</w:t>
      </w:r>
    </w:p>
    <w:p w:rsidR="00020C76" w:rsidRDefault="00C22111">
      <w:pPr>
        <w:pStyle w:val="Compact"/>
        <w:numPr>
          <w:ilvl w:val="0"/>
          <w:numId w:val="25"/>
        </w:numPr>
      </w:pPr>
      <w:r>
        <w:rPr>
          <w:b/>
          <w:bCs/>
        </w:rPr>
        <w:t>Im UAT</w:t>
      </w:r>
      <w:r>
        <w:t xml:space="preserve"> ist „Rolle löst die geplante Lizenz aus“ ein eigener Testfall (Kapitel 5).</w:t>
      </w:r>
    </w:p>
    <w:p w:rsidR="00020C76" w:rsidRDefault="00C22111">
      <w:pPr>
        <w:pStyle w:val="Titre3"/>
      </w:pPr>
      <w:bookmarkStart w:id="65" w:name="lizenz-und-kapazität-prinzip-8"/>
      <w:bookmarkStart w:id="66" w:name="_Toc243475990"/>
      <w:bookmarkEnd w:id="63"/>
      <w:r>
        <w:t>Lizenz und Kapazität (Prinzip 8)</w:t>
      </w:r>
      <w:bookmarkEnd w:id="66"/>
    </w:p>
    <w:p w:rsidR="00020C76" w:rsidRDefault="00C22111">
      <w:pPr>
        <w:pStyle w:val="FirstParagraph"/>
      </w:pPr>
      <w:r>
        <w:t>Die neuen Lizenzen bringen zusammen 465 GB Kapazität mit, und zwar</w:t>
      </w:r>
      <w:r>
        <w:t xml:space="preserve"> ab dem Kauf, also voraussichtlich ab dem Go-Live. Solange Kapazität zugekauft werden muss, ist jedes dieser GB 30 € im Monat wert:</w:t>
      </w:r>
    </w:p>
    <w:p w:rsidR="00020C76" w:rsidRDefault="00C22111">
      <w:pPr>
        <w:pStyle w:val="Compact"/>
        <w:numPr>
          <w:ilvl w:val="0"/>
          <w:numId w:val="26"/>
        </w:numPr>
      </w:pPr>
      <w:r>
        <w:t>Eine Activity-Lizenz kostet dann effektiv 16,80 € statt 46,80 €.</w:t>
      </w:r>
    </w:p>
    <w:p w:rsidR="00020C76" w:rsidRDefault="00C22111">
      <w:pPr>
        <w:pStyle w:val="Compact"/>
        <w:numPr>
          <w:ilvl w:val="0"/>
          <w:numId w:val="26"/>
        </w:numPr>
      </w:pPr>
      <w:r>
        <w:t>Eine Herabstufung von SCM + Finance auf Activity spart 149,</w:t>
      </w:r>
      <w:r>
        <w:t>00 €, kostet aber 4 GB, also 120,00 €.</w:t>
      </w:r>
    </w:p>
    <w:p w:rsidR="00020C76" w:rsidRDefault="00C22111">
      <w:pPr>
        <w:pStyle w:val="Compact"/>
        <w:numPr>
          <w:ilvl w:val="0"/>
          <w:numId w:val="26"/>
        </w:numPr>
      </w:pPr>
      <w:r>
        <w:t>Das Entfernen einer Attach-Lizenz behält die 5 GB; die Ersparnis zählt voll.</w:t>
      </w:r>
    </w:p>
    <w:p w:rsidR="00020C76" w:rsidRDefault="00C22111">
      <w:pPr>
        <w:pStyle w:val="Compact"/>
        <w:numPr>
          <w:ilvl w:val="0"/>
          <w:numId w:val="26"/>
        </w:numPr>
      </w:pPr>
      <w:r>
        <w:t>Lizenzen früher zu kaufen, nur um Kapazität zu gewinnen, lohnt nicht: Je GB kostet eine Activity-Lizenz 46,80 €, eine Volllizenz 39,16 bis 4</w:t>
      </w:r>
      <w:r>
        <w:t>5,40 €, der Zukauf 30,00 €.</w:t>
      </w:r>
    </w:p>
    <w:p w:rsidR="00020C76" w:rsidRDefault="00C22111">
      <w:pPr>
        <w:pStyle w:val="FirstParagraph"/>
      </w:pPr>
      <w:r>
        <w:t>Nach der Löschung von PRJ und Migrationssandbox besteht voraussichtlich ein Puffer von mehreren hundert GB (Kapitel 10). Dann zählen Lizenzersparnisse voll; Team Member statt Activity für die Techniker verkürzt nur die Reichweit</w:t>
      </w:r>
      <w:r>
        <w:t>e dieses Puffers. Für Strang A folgt daraus: Vor dem Go-Live, in der Engpassphase, werden zuerst Attach-Lizenzen entfernt, weil jede Herabstufung einer Volllizenz das Kontingent um 4 bis 5 GB verringert.</w:t>
      </w:r>
    </w:p>
    <w:p w:rsidR="00020C76" w:rsidRDefault="00C22111">
      <w:r>
        <w:lastRenderedPageBreak/>
        <w:pict>
          <v:rect id="_x0000_i1033" style="width:0;height:1.5pt" o:hralign="center" o:hrstd="t" o:hr="t"/>
        </w:pict>
      </w:r>
    </w:p>
    <w:p w:rsidR="00020C76" w:rsidRDefault="00C22111">
      <w:pPr>
        <w:pStyle w:val="Titre1"/>
      </w:pPr>
      <w:bookmarkStart w:id="67" w:name="datenbankkapazität"/>
      <w:bookmarkStart w:id="68" w:name="_Toc243475991"/>
      <w:bookmarkEnd w:id="57"/>
      <w:bookmarkEnd w:id="65"/>
      <w:r>
        <w:t>10. Datenbankkapazität</w:t>
      </w:r>
      <w:bookmarkEnd w:id="68"/>
    </w:p>
    <w:p w:rsidR="00020C76" w:rsidRDefault="00C22111">
      <w:pPr>
        <w:pStyle w:val="Titre3"/>
      </w:pPr>
      <w:bookmarkStart w:id="69" w:name="ausgangslage"/>
      <w:bookmarkStart w:id="70" w:name="_Toc243475992"/>
      <w:r>
        <w:t>Ausgangslage</w:t>
      </w:r>
      <w:bookmarkEnd w:id="70"/>
    </w:p>
    <w:p w:rsidR="00020C76" w:rsidRDefault="00C22111">
      <w:pPr>
        <w:pStyle w:val="FirstParagraph"/>
      </w:pPr>
      <w:r>
        <w:t>Das Kontingent</w:t>
      </w:r>
      <w:r>
        <w:t xml:space="preserve"> des Tenants beträgt 705 GB. Die zuvor angezeigten 1,2 TB beruhten auf einem Anzeigefehler, den Microsoft korrigiert hat. Um die Belegung zu senken, wurden die Sandboxen bereits unterschiedlich stark verkleinert:</w:t>
      </w:r>
    </w:p>
    <w:p w:rsidR="00020C76" w:rsidRDefault="00C22111">
      <w:pPr>
        <w:pStyle w:val="TableCaption"/>
      </w:pPr>
      <w:r>
        <w:t>Belegung je Umgebung, Stand 20.10.2026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Belegung je Umgebung, Stand 20.10.2026"/>
      </w:tblPr>
      <w:tblGrid>
        <w:gridCol w:w="1057"/>
        <w:gridCol w:w="286"/>
        <w:gridCol w:w="8279"/>
      </w:tblGrid>
      <w:tr w:rsidR="00020C76" w:rsidTr="00020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4" w:type="dxa"/>
          </w:tcPr>
          <w:p w:rsidR="00020C76" w:rsidRDefault="00C22111">
            <w:pPr>
              <w:pStyle w:val="Compact"/>
            </w:pPr>
            <w:r>
              <w:t>Umge</w:t>
            </w:r>
            <w:r>
              <w:t>bung</w:t>
            </w:r>
          </w:p>
        </w:tc>
        <w:tc>
          <w:tcPr>
            <w:tcW w:w="205" w:type="dxa"/>
          </w:tcPr>
          <w:p w:rsidR="00020C76" w:rsidRDefault="00C22111">
            <w:pPr>
              <w:pStyle w:val="Compact"/>
              <w:jc w:val="right"/>
            </w:pPr>
            <w:r>
              <w:t>GB</w:t>
            </w:r>
          </w:p>
        </w:tc>
        <w:tc>
          <w:tcPr>
            <w:tcW w:w="6840" w:type="dxa"/>
          </w:tcPr>
          <w:p w:rsidR="00020C76" w:rsidRDefault="00C22111">
            <w:pPr>
              <w:pStyle w:val="Compact"/>
            </w:pPr>
            <w:r>
              <w:t>Datenstand</w:t>
            </w:r>
          </w:p>
        </w:tc>
      </w:tr>
      <w:tr w:rsidR="00020C76">
        <w:tc>
          <w:tcPr>
            <w:tcW w:w="874" w:type="dxa"/>
          </w:tcPr>
          <w:p w:rsidR="00020C76" w:rsidRDefault="00C22111">
            <w:pPr>
              <w:pStyle w:val="Compact"/>
            </w:pPr>
            <w:r>
              <w:t>Prod</w:t>
            </w:r>
          </w:p>
        </w:tc>
        <w:tc>
          <w:tcPr>
            <w:tcW w:w="205" w:type="dxa"/>
          </w:tcPr>
          <w:p w:rsidR="00020C76" w:rsidRDefault="00C22111">
            <w:pPr>
              <w:pStyle w:val="Compact"/>
              <w:jc w:val="right"/>
            </w:pPr>
            <w:r>
              <w:t>200</w:t>
            </w:r>
          </w:p>
        </w:tc>
        <w:tc>
          <w:tcPr>
            <w:tcW w:w="6840" w:type="dxa"/>
          </w:tcPr>
          <w:p w:rsidR="00020C76" w:rsidRDefault="00C22111">
            <w:pPr>
              <w:pStyle w:val="Compact"/>
            </w:pPr>
            <w:r>
              <w:t>Produktiv; wächst um rund 3 GB je Woche. Die Batch-Historie wird 90 Tage aufbewahrt.</w:t>
            </w:r>
          </w:p>
        </w:tc>
      </w:tr>
      <w:tr w:rsidR="00020C76">
        <w:tc>
          <w:tcPr>
            <w:tcW w:w="874" w:type="dxa"/>
          </w:tcPr>
          <w:p w:rsidR="00020C76" w:rsidRDefault="00C22111">
            <w:pPr>
              <w:pStyle w:val="Compact"/>
            </w:pPr>
            <w:r>
              <w:t>INT</w:t>
            </w:r>
          </w:p>
        </w:tc>
        <w:tc>
          <w:tcPr>
            <w:tcW w:w="205" w:type="dxa"/>
          </w:tcPr>
          <w:p w:rsidR="00020C76" w:rsidRDefault="00C22111">
            <w:pPr>
              <w:pStyle w:val="Compact"/>
              <w:jc w:val="right"/>
            </w:pPr>
            <w:r>
              <w:t>136</w:t>
            </w:r>
          </w:p>
        </w:tc>
        <w:tc>
          <w:tcPr>
            <w:tcW w:w="6840" w:type="dxa"/>
          </w:tcPr>
          <w:p w:rsidR="00020C76" w:rsidRDefault="00C22111">
            <w:pPr>
              <w:pStyle w:val="Compact"/>
            </w:pPr>
            <w:r>
              <w:t>Kopie von Prod. Batch-Historie entfernt, Bereinigungsjobs mit kurzer Aufbewahrung (teils 2 Wochen); von rund 200 auf 136 GB gesenkt.</w:t>
            </w:r>
          </w:p>
        </w:tc>
      </w:tr>
      <w:tr w:rsidR="00020C76">
        <w:tc>
          <w:tcPr>
            <w:tcW w:w="874" w:type="dxa"/>
          </w:tcPr>
          <w:p w:rsidR="00020C76" w:rsidRDefault="00C22111">
            <w:pPr>
              <w:pStyle w:val="Compact"/>
            </w:pPr>
            <w:r>
              <w:t>TST</w:t>
            </w:r>
          </w:p>
        </w:tc>
        <w:tc>
          <w:tcPr>
            <w:tcW w:w="205" w:type="dxa"/>
          </w:tcPr>
          <w:p w:rsidR="00020C76" w:rsidRDefault="00C22111">
            <w:pPr>
              <w:pStyle w:val="Compact"/>
              <w:jc w:val="right"/>
            </w:pPr>
            <w:r>
              <w:t>70</w:t>
            </w:r>
          </w:p>
        </w:tc>
        <w:tc>
          <w:tcPr>
            <w:tcW w:w="6840" w:type="dxa"/>
          </w:tcPr>
          <w:p w:rsidR="00020C76" w:rsidRDefault="00C22111">
            <w:pPr>
              <w:pStyle w:val="Compact"/>
            </w:pPr>
            <w:r>
              <w:t>Transaktionslose Kopie: nur Stamm- und Konfigurationsdaten.</w:t>
            </w:r>
          </w:p>
        </w:tc>
      </w:tr>
      <w:tr w:rsidR="00020C76">
        <w:tc>
          <w:tcPr>
            <w:tcW w:w="874" w:type="dxa"/>
          </w:tcPr>
          <w:p w:rsidR="00020C76" w:rsidRDefault="00C22111">
            <w:pPr>
              <w:pStyle w:val="Compact"/>
            </w:pPr>
            <w:r>
              <w:t>PRJ</w:t>
            </w:r>
          </w:p>
        </w:tc>
        <w:tc>
          <w:tcPr>
            <w:tcW w:w="205" w:type="dxa"/>
          </w:tcPr>
          <w:p w:rsidR="00020C76" w:rsidRDefault="00C22111">
            <w:pPr>
              <w:pStyle w:val="Compact"/>
              <w:jc w:val="right"/>
            </w:pPr>
            <w:r>
              <w:t>200</w:t>
            </w:r>
          </w:p>
        </w:tc>
        <w:tc>
          <w:tcPr>
            <w:tcW w:w="6840" w:type="dxa"/>
          </w:tcPr>
          <w:p w:rsidR="00020C76" w:rsidRDefault="00C22111">
            <w:pPr>
              <w:pStyle w:val="Compact"/>
            </w:pPr>
            <w:r>
              <w:t>Projektumgebung; wird nur bei Bedarf aus Prod kopiert.</w:t>
            </w:r>
          </w:p>
        </w:tc>
      </w:tr>
      <w:tr w:rsidR="00020C76">
        <w:tc>
          <w:tcPr>
            <w:tcW w:w="874" w:type="dxa"/>
          </w:tcPr>
          <w:p w:rsidR="00020C76" w:rsidRDefault="00C22111">
            <w:pPr>
              <w:pStyle w:val="Compact"/>
            </w:pPr>
            <w:r>
              <w:t>Nicht zugeordnet</w:t>
            </w:r>
          </w:p>
        </w:tc>
        <w:tc>
          <w:tcPr>
            <w:tcW w:w="205" w:type="dxa"/>
          </w:tcPr>
          <w:p w:rsidR="00020C76" w:rsidRDefault="00C22111">
            <w:pPr>
              <w:pStyle w:val="Compact"/>
              <w:jc w:val="right"/>
            </w:pPr>
            <w:r>
              <w:t>24</w:t>
            </w:r>
          </w:p>
        </w:tc>
        <w:tc>
          <w:tcPr>
            <w:tcW w:w="6840" w:type="dxa"/>
          </w:tcPr>
          <w:p w:rsidR="00020C76" w:rsidRDefault="00C22111">
            <w:pPr>
              <w:pStyle w:val="Compact"/>
            </w:pPr>
            <w:r>
              <w:t>Differenz zwischen gemeldeter Belegung und Summe der Umgebungen (offen).</w:t>
            </w:r>
          </w:p>
        </w:tc>
      </w:tr>
      <w:tr w:rsidR="00020C76">
        <w:tc>
          <w:tcPr>
            <w:tcW w:w="874" w:type="dxa"/>
          </w:tcPr>
          <w:p w:rsidR="00020C76" w:rsidRDefault="00C22111">
            <w:pPr>
              <w:pStyle w:val="Compact"/>
            </w:pPr>
            <w:r>
              <w:t>Summe (gemeldet)</w:t>
            </w:r>
          </w:p>
        </w:tc>
        <w:tc>
          <w:tcPr>
            <w:tcW w:w="205" w:type="dxa"/>
          </w:tcPr>
          <w:p w:rsidR="00020C76" w:rsidRDefault="00C22111">
            <w:pPr>
              <w:pStyle w:val="Compact"/>
              <w:jc w:val="right"/>
            </w:pPr>
            <w:r>
              <w:t>630</w:t>
            </w:r>
          </w:p>
        </w:tc>
        <w:tc>
          <w:tcPr>
            <w:tcW w:w="6840" w:type="dxa"/>
          </w:tcPr>
          <w:p w:rsidR="00020C76" w:rsidRDefault="00020C76">
            <w:pPr>
              <w:pStyle w:val="Compact"/>
            </w:pPr>
          </w:p>
        </w:tc>
      </w:tr>
    </w:tbl>
    <w:p w:rsidR="00020C76" w:rsidRDefault="00C22111">
      <w:pPr>
        <w:pStyle w:val="Corpsdetexte"/>
      </w:pPr>
      <w:r>
        <w:t>Neu hinzu kommt die Migrationssandbox: Sie wird ab dem 22.10.2026 als Kopie von Prod bereitgestellt (rund 200 GB) und am 15.07.2027, einen Monat nach dem Go-Live, gelöscht. Damit liegt die Belegung sofort über dem Kontingent.</w:t>
      </w:r>
    </w:p>
    <w:p w:rsidR="00020C76" w:rsidRDefault="00C22111">
      <w:pPr>
        <w:pStyle w:val="Corpsdetexte"/>
      </w:pPr>
      <w:r>
        <w:t>Für die Übergangszeit ist im P</w:t>
      </w:r>
      <w:r>
        <w:t>ower Platform Admin Center eine Option aktiviert. Sie erhöht das Kontingent kostenlos um zwei Drittel (470 GB) für 45 Tage, höchstens 3-mal je Kalenderjahr. 2026 wird sie bis zum Jahresende genutzt.</w:t>
      </w:r>
    </w:p>
    <w:p w:rsidR="00020C76" w:rsidRDefault="00C22111">
      <w:pPr>
        <w:pStyle w:val="Titre3"/>
      </w:pPr>
      <w:bookmarkStart w:id="71" w:name="wie-verbrauch-und-kontingent-entstehen"/>
      <w:bookmarkStart w:id="72" w:name="_Toc243475993"/>
      <w:bookmarkEnd w:id="69"/>
      <w:r>
        <w:t>Wie Verbrauch und Kontingent entstehen</w:t>
      </w:r>
      <w:bookmarkEnd w:id="72"/>
    </w:p>
    <w:p w:rsidR="00020C76" w:rsidRDefault="00C22111">
      <w:pPr>
        <w:pStyle w:val="Compact"/>
        <w:numPr>
          <w:ilvl w:val="0"/>
          <w:numId w:val="27"/>
        </w:numPr>
      </w:pPr>
      <w:r>
        <w:rPr>
          <w:b/>
          <w:bCs/>
        </w:rPr>
        <w:t xml:space="preserve">Sandboxen wachsen </w:t>
      </w:r>
      <w:r>
        <w:rPr>
          <w:b/>
          <w:bCs/>
        </w:rPr>
        <w:t>in Sprüngen:</w:t>
      </w:r>
      <w:r>
        <w:t xml:space="preserve"> Bei jedem Refresh übernehmen sie den Stand von Prod; danach senken Bereinigungsjobs oder die transaktionslose Kopie ihre Größe wieder. Auf Dauer wächst jede Sandbox deshalb anteilig mit Prod.</w:t>
      </w:r>
    </w:p>
    <w:p w:rsidR="00020C76" w:rsidRDefault="00C22111">
      <w:pPr>
        <w:pStyle w:val="Compact"/>
        <w:numPr>
          <w:ilvl w:val="0"/>
          <w:numId w:val="27"/>
        </w:numPr>
      </w:pPr>
      <w:r>
        <w:rPr>
          <w:b/>
          <w:bCs/>
        </w:rPr>
        <w:lastRenderedPageBreak/>
        <w:t xml:space="preserve">Jedes GB, das in Prod gespart wird, wirkt in jeder </w:t>
      </w:r>
      <w:r>
        <w:rPr>
          <w:b/>
          <w:bCs/>
        </w:rPr>
        <w:t>späteren Kopie noch einmal.</w:t>
      </w:r>
      <w:r>
        <w:t xml:space="preserve"> Bereinigungen in Prod haben deshalb die größte Hebelwirkung, auch wenn Prod längere Aufbewahrungsfristen braucht als die Sandboxen.</w:t>
      </w:r>
    </w:p>
    <w:p w:rsidR="00020C76" w:rsidRDefault="00C22111">
      <w:pPr>
        <w:pStyle w:val="Compact"/>
        <w:numPr>
          <w:ilvl w:val="0"/>
          <w:numId w:val="27"/>
        </w:numPr>
      </w:pPr>
      <w:r>
        <w:rPr>
          <w:b/>
          <w:bCs/>
        </w:rPr>
        <w:t>Kontingent:</w:t>
      </w:r>
      <w:r>
        <w:t xml:space="preserve"> 705 GB, dazu die Kapazität aus Lizenzen (5 GB je Volllizenz, 1 GB je Activity-Lizenz</w:t>
      </w:r>
      <w:r>
        <w:t>; Team Member: offen). Neue Lizenzen zählen ab dem Kauf.</w:t>
      </w:r>
    </w:p>
    <w:p w:rsidR="00020C76" w:rsidRDefault="00C22111">
      <w:pPr>
        <w:pStyle w:val="Compact"/>
        <w:numPr>
          <w:ilvl w:val="0"/>
          <w:numId w:val="27"/>
        </w:numPr>
      </w:pPr>
      <w:r>
        <w:rPr>
          <w:b/>
          <w:bCs/>
        </w:rPr>
        <w:t>Zukauf:</w:t>
      </w:r>
      <w:r>
        <w:t xml:space="preserve"> 30 € je GB und Monat.</w:t>
      </w:r>
    </w:p>
    <w:p w:rsidR="00020C76" w:rsidRDefault="00C22111">
      <w:pPr>
        <w:pStyle w:val="Titre3"/>
      </w:pPr>
      <w:bookmarkStart w:id="73" w:name="prognose-bis-ende-2028"/>
      <w:bookmarkStart w:id="74" w:name="_Toc243475994"/>
      <w:bookmarkEnd w:id="71"/>
      <w:r>
        <w:t>Prognose bis Ende 2028</w:t>
      </w:r>
      <w:bookmarkEnd w:id="74"/>
    </w:p>
    <w:p w:rsidR="00020C76" w:rsidRDefault="00C22111">
      <w:pPr>
        <w:pStyle w:val="FirstParagraph"/>
      </w:pPr>
      <w:r>
        <w:t>Die Prognose rechnet Tag für Tag mit den folgenden Annahmen. Neue Werte werden im ersten Block dieses Kapitels eingetragen; danach wird das Dokume</w:t>
      </w:r>
      <w:r>
        <w:t>nt neu erzeugt.</w:t>
      </w:r>
    </w:p>
    <w:p w:rsidR="00020C76" w:rsidRDefault="00C22111">
      <w:pPr>
        <w:pStyle w:val="TableCaption"/>
      </w:pPr>
      <w:r>
        <w:t>Annahmen der Prognose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Annahmen der Prognose"/>
      </w:tblPr>
      <w:tblGrid>
        <w:gridCol w:w="1522"/>
        <w:gridCol w:w="4507"/>
        <w:gridCol w:w="3593"/>
      </w:tblGrid>
      <w:tr w:rsidR="00020C76" w:rsidTr="00020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3" w:type="dxa"/>
          </w:tcPr>
          <w:p w:rsidR="00020C76" w:rsidRDefault="00C22111">
            <w:pPr>
              <w:pStyle w:val="Compact"/>
            </w:pPr>
            <w:r>
              <w:t>Annahme</w:t>
            </w:r>
          </w:p>
        </w:tc>
        <w:tc>
          <w:tcPr>
            <w:tcW w:w="3709" w:type="dxa"/>
          </w:tcPr>
          <w:p w:rsidR="00020C76" w:rsidRDefault="00C22111">
            <w:pPr>
              <w:pStyle w:val="Compact"/>
            </w:pPr>
            <w:r>
              <w:t>Wert</w:t>
            </w:r>
          </w:p>
        </w:tc>
        <w:tc>
          <w:tcPr>
            <w:tcW w:w="2957" w:type="dxa"/>
          </w:tcPr>
          <w:p w:rsidR="00020C76" w:rsidRDefault="00C22111">
            <w:pPr>
              <w:pStyle w:val="Compact"/>
            </w:pPr>
            <w:r>
              <w:t>Stand</w:t>
            </w:r>
          </w:p>
        </w:tc>
      </w:tr>
      <w:tr w:rsidR="00020C76">
        <w:tc>
          <w:tcPr>
            <w:tcW w:w="1253" w:type="dxa"/>
          </w:tcPr>
          <w:p w:rsidR="00020C76" w:rsidRDefault="00C22111">
            <w:pPr>
              <w:pStyle w:val="Compact"/>
            </w:pPr>
            <w:r>
              <w:t>Stichtag</w:t>
            </w:r>
          </w:p>
        </w:tc>
        <w:tc>
          <w:tcPr>
            <w:tcW w:w="3709" w:type="dxa"/>
          </w:tcPr>
          <w:p w:rsidR="00020C76" w:rsidRDefault="00C22111">
            <w:pPr>
              <w:pStyle w:val="Compact"/>
            </w:pPr>
            <w:r>
              <w:t>20.10.2026</w:t>
            </w:r>
          </w:p>
        </w:tc>
        <w:tc>
          <w:tcPr>
            <w:tcW w:w="2957" w:type="dxa"/>
          </w:tcPr>
          <w:p w:rsidR="00020C76" w:rsidRDefault="00020C76">
            <w:pPr>
              <w:pStyle w:val="Compact"/>
            </w:pPr>
          </w:p>
        </w:tc>
      </w:tr>
      <w:tr w:rsidR="00020C76">
        <w:tc>
          <w:tcPr>
            <w:tcW w:w="1253" w:type="dxa"/>
          </w:tcPr>
          <w:p w:rsidR="00020C76" w:rsidRDefault="00C22111">
            <w:pPr>
              <w:pStyle w:val="Compact"/>
            </w:pPr>
            <w:r>
              <w:t>Go-Live</w:t>
            </w:r>
          </w:p>
        </w:tc>
        <w:tc>
          <w:tcPr>
            <w:tcW w:w="3709" w:type="dxa"/>
          </w:tcPr>
          <w:p w:rsidR="00020C76" w:rsidRDefault="00C22111">
            <w:pPr>
              <w:pStyle w:val="Compact"/>
            </w:pPr>
            <w:r>
              <w:t>15.06.2027</w:t>
            </w:r>
          </w:p>
        </w:tc>
        <w:tc>
          <w:tcPr>
            <w:tcW w:w="2957" w:type="dxa"/>
          </w:tcPr>
          <w:p w:rsidR="00020C76" w:rsidRDefault="00C22111">
            <w:pPr>
              <w:pStyle w:val="Compact"/>
            </w:pPr>
            <w:r>
              <w:t>Projektplan</w:t>
            </w:r>
          </w:p>
        </w:tc>
      </w:tr>
      <w:tr w:rsidR="00020C76">
        <w:tc>
          <w:tcPr>
            <w:tcW w:w="1253" w:type="dxa"/>
          </w:tcPr>
          <w:p w:rsidR="00020C76" w:rsidRDefault="00C22111">
            <w:pPr>
              <w:pStyle w:val="Compact"/>
            </w:pPr>
            <w:r>
              <w:t>Neue Lizenzen ab Go-Live</w:t>
            </w:r>
          </w:p>
        </w:tc>
        <w:tc>
          <w:tcPr>
            <w:tcW w:w="3709" w:type="dxa"/>
          </w:tcPr>
          <w:p w:rsidR="00020C76" w:rsidRDefault="00C22111">
            <w:pPr>
              <w:pStyle w:val="Compact"/>
            </w:pPr>
            <w:r>
              <w:t>+465 GB (Kapitel 9)</w:t>
            </w:r>
          </w:p>
        </w:tc>
        <w:tc>
          <w:tcPr>
            <w:tcW w:w="2957" w:type="dxa"/>
          </w:tcPr>
          <w:p w:rsidR="00020C76" w:rsidRDefault="00C22111">
            <w:pPr>
              <w:pStyle w:val="Compact"/>
            </w:pPr>
            <w:r>
              <w:t>Annahme</w:t>
            </w:r>
          </w:p>
        </w:tc>
      </w:tr>
      <w:tr w:rsidR="00020C76">
        <w:tc>
          <w:tcPr>
            <w:tcW w:w="1253" w:type="dxa"/>
          </w:tcPr>
          <w:p w:rsidR="00020C76" w:rsidRDefault="00C22111">
            <w:pPr>
              <w:pStyle w:val="Compact"/>
            </w:pPr>
            <w:r>
              <w:t>Prod</w:t>
            </w:r>
          </w:p>
        </w:tc>
        <w:tc>
          <w:tcPr>
            <w:tcW w:w="3709" w:type="dxa"/>
          </w:tcPr>
          <w:p w:rsidR="00020C76" w:rsidRDefault="00C22111">
            <w:pPr>
              <w:pStyle w:val="Compact"/>
            </w:pPr>
            <w:r>
              <w:t>200 GB; +3 GB je Woche bis zum Go-Live, danach +4 GB je Woche</w:t>
            </w:r>
          </w:p>
        </w:tc>
        <w:tc>
          <w:tcPr>
            <w:tcW w:w="2957" w:type="dxa"/>
          </w:tcPr>
          <w:p w:rsidR="00020C76" w:rsidRDefault="00C22111">
            <w:pPr>
              <w:pStyle w:val="Compact"/>
            </w:pPr>
            <w:r>
              <w:t>Ist / Prognose</w:t>
            </w:r>
          </w:p>
        </w:tc>
      </w:tr>
      <w:tr w:rsidR="00020C76">
        <w:tc>
          <w:tcPr>
            <w:tcW w:w="1253" w:type="dxa"/>
          </w:tcPr>
          <w:p w:rsidR="00020C76" w:rsidRDefault="00C22111">
            <w:pPr>
              <w:pStyle w:val="Compact"/>
            </w:pPr>
            <w:r>
              <w:t>INT</w:t>
            </w:r>
          </w:p>
        </w:tc>
        <w:tc>
          <w:tcPr>
            <w:tcW w:w="3709" w:type="dxa"/>
          </w:tcPr>
          <w:p w:rsidR="00020C76" w:rsidRDefault="00C22111">
            <w:pPr>
              <w:pStyle w:val="Compact"/>
            </w:pPr>
            <w:r>
              <w:t>68 % von Prod</w:t>
            </w:r>
          </w:p>
        </w:tc>
        <w:tc>
          <w:tcPr>
            <w:tcW w:w="2957" w:type="dxa"/>
          </w:tcPr>
          <w:p w:rsidR="00020C76" w:rsidRDefault="00C22111">
            <w:pPr>
              <w:pStyle w:val="Compact"/>
            </w:pPr>
            <w:r>
              <w:t>Ist</w:t>
            </w:r>
          </w:p>
        </w:tc>
      </w:tr>
      <w:tr w:rsidR="00020C76">
        <w:tc>
          <w:tcPr>
            <w:tcW w:w="1253" w:type="dxa"/>
          </w:tcPr>
          <w:p w:rsidR="00020C76" w:rsidRDefault="00C22111">
            <w:pPr>
              <w:pStyle w:val="Compact"/>
            </w:pPr>
            <w:r>
              <w:t>TST</w:t>
            </w:r>
          </w:p>
        </w:tc>
        <w:tc>
          <w:tcPr>
            <w:tcW w:w="3709" w:type="dxa"/>
          </w:tcPr>
          <w:p w:rsidR="00020C76" w:rsidRDefault="00C22111">
            <w:pPr>
              <w:pStyle w:val="Compact"/>
            </w:pPr>
            <w:r>
              <w:t>35 % von Prod</w:t>
            </w:r>
          </w:p>
        </w:tc>
        <w:tc>
          <w:tcPr>
            <w:tcW w:w="2957" w:type="dxa"/>
          </w:tcPr>
          <w:p w:rsidR="00020C76" w:rsidRDefault="00C22111">
            <w:pPr>
              <w:pStyle w:val="Compact"/>
            </w:pPr>
            <w:r>
              <w:t>Ist; Annahme: wächst anteilig mit Prod</w:t>
            </w:r>
          </w:p>
        </w:tc>
      </w:tr>
      <w:tr w:rsidR="00020C76">
        <w:tc>
          <w:tcPr>
            <w:tcW w:w="1253" w:type="dxa"/>
          </w:tcPr>
          <w:p w:rsidR="00020C76" w:rsidRDefault="00C22111">
            <w:pPr>
              <w:pStyle w:val="Compact"/>
            </w:pPr>
            <w:r>
              <w:t>PRJ</w:t>
            </w:r>
          </w:p>
        </w:tc>
        <w:tc>
          <w:tcPr>
            <w:tcW w:w="3709" w:type="dxa"/>
          </w:tcPr>
          <w:p w:rsidR="00020C76" w:rsidRDefault="00C22111">
            <w:pPr>
              <w:pStyle w:val="Compact"/>
            </w:pPr>
            <w:r>
              <w:t>200 GB, kein Refresh, gelöscht am 15.07.2027</w:t>
            </w:r>
          </w:p>
        </w:tc>
        <w:tc>
          <w:tcPr>
            <w:tcW w:w="2957" w:type="dxa"/>
          </w:tcPr>
          <w:p w:rsidR="00020C76" w:rsidRDefault="00C22111">
            <w:pPr>
              <w:pStyle w:val="Compact"/>
            </w:pPr>
            <w:r>
              <w:t>Annahme</w:t>
            </w:r>
          </w:p>
        </w:tc>
      </w:tr>
      <w:tr w:rsidR="00020C76">
        <w:tc>
          <w:tcPr>
            <w:tcW w:w="1253" w:type="dxa"/>
          </w:tcPr>
          <w:p w:rsidR="00020C76" w:rsidRDefault="00C22111">
            <w:pPr>
              <w:pStyle w:val="Compact"/>
            </w:pPr>
            <w:r>
              <w:t>Migrationssandbox</w:t>
            </w:r>
          </w:p>
        </w:tc>
        <w:tc>
          <w:tcPr>
            <w:tcW w:w="3709" w:type="dxa"/>
          </w:tcPr>
          <w:p w:rsidR="00020C76" w:rsidRDefault="00C22111">
            <w:pPr>
              <w:pStyle w:val="Compact"/>
            </w:pPr>
            <w:r>
              <w:t>Kopie von Prod ab 22.10.2026, kein Refresh, gelöscht am 15.07.2027</w:t>
            </w:r>
          </w:p>
        </w:tc>
        <w:tc>
          <w:tcPr>
            <w:tcW w:w="2957" w:type="dxa"/>
          </w:tcPr>
          <w:p w:rsidR="00020C76" w:rsidRDefault="00C22111">
            <w:pPr>
              <w:pStyle w:val="Compact"/>
            </w:pPr>
            <w:r>
              <w:t>Planung; Refresh offen</w:t>
            </w:r>
          </w:p>
        </w:tc>
      </w:tr>
      <w:tr w:rsidR="00020C76">
        <w:tc>
          <w:tcPr>
            <w:tcW w:w="1253" w:type="dxa"/>
          </w:tcPr>
          <w:p w:rsidR="00020C76" w:rsidRDefault="00C22111">
            <w:pPr>
              <w:pStyle w:val="Compact"/>
            </w:pPr>
            <w:r>
              <w:t>Nicht zugeordnet</w:t>
            </w:r>
          </w:p>
        </w:tc>
        <w:tc>
          <w:tcPr>
            <w:tcW w:w="3709" w:type="dxa"/>
          </w:tcPr>
          <w:p w:rsidR="00020C76" w:rsidRDefault="00C22111">
            <w:pPr>
              <w:pStyle w:val="Compact"/>
            </w:pPr>
            <w:r>
              <w:t>24 GB, gleichbleibend</w:t>
            </w:r>
          </w:p>
        </w:tc>
        <w:tc>
          <w:tcPr>
            <w:tcW w:w="2957" w:type="dxa"/>
          </w:tcPr>
          <w:p w:rsidR="00020C76" w:rsidRDefault="00C22111">
            <w:pPr>
              <w:pStyle w:val="Compact"/>
            </w:pPr>
            <w:r>
              <w:t>offen</w:t>
            </w:r>
          </w:p>
        </w:tc>
      </w:tr>
      <w:tr w:rsidR="00020C76">
        <w:tc>
          <w:tcPr>
            <w:tcW w:w="1253" w:type="dxa"/>
          </w:tcPr>
          <w:p w:rsidR="00020C76" w:rsidRDefault="00C22111">
            <w:pPr>
              <w:pStyle w:val="Compact"/>
            </w:pPr>
            <w:r>
              <w:t>Übergangsoption</w:t>
            </w:r>
          </w:p>
        </w:tc>
        <w:tc>
          <w:tcPr>
            <w:tcW w:w="3709" w:type="dxa"/>
          </w:tcPr>
          <w:p w:rsidR="00020C76" w:rsidRDefault="00C22111">
            <w:pPr>
              <w:pStyle w:val="Compact"/>
            </w:pPr>
            <w:r>
              <w:t>+470 GB für je 45 Tage, 3-mal je Kalenderjahr; 2026 bis Jahresende</w:t>
            </w:r>
          </w:p>
        </w:tc>
        <w:tc>
          <w:tcPr>
            <w:tcW w:w="2957" w:type="dxa"/>
          </w:tcPr>
          <w:p w:rsidR="00020C76" w:rsidRDefault="00C22111">
            <w:pPr>
              <w:pStyle w:val="Compact"/>
            </w:pPr>
            <w:r>
              <w:t>PPAC; offen: dürfen die Fenster direkt aufeinander folgen?</w:t>
            </w:r>
          </w:p>
        </w:tc>
      </w:tr>
      <w:tr w:rsidR="00020C76">
        <w:tc>
          <w:tcPr>
            <w:tcW w:w="1253" w:type="dxa"/>
          </w:tcPr>
          <w:p w:rsidR="00020C76" w:rsidRDefault="00C22111">
            <w:pPr>
              <w:pStyle w:val="Compact"/>
            </w:pPr>
            <w:r>
              <w:t>Maßnahmen in S2 und S3</w:t>
            </w:r>
          </w:p>
        </w:tc>
        <w:tc>
          <w:tcPr>
            <w:tcW w:w="3709" w:type="dxa"/>
          </w:tcPr>
          <w:p w:rsidR="00020C76" w:rsidRDefault="00C22111">
            <w:pPr>
              <w:pStyle w:val="Compact"/>
            </w:pPr>
            <w:r>
              <w:t>wirken ab 16.11.2026</w:t>
            </w:r>
          </w:p>
        </w:tc>
        <w:tc>
          <w:tcPr>
            <w:tcW w:w="2957" w:type="dxa"/>
          </w:tcPr>
          <w:p w:rsidR="00020C76" w:rsidRDefault="00C22111">
            <w:pPr>
              <w:pStyle w:val="Compact"/>
            </w:pPr>
            <w:r>
              <w:t>Annahme</w:t>
            </w:r>
          </w:p>
        </w:tc>
      </w:tr>
      <w:tr w:rsidR="00020C76">
        <w:tc>
          <w:tcPr>
            <w:tcW w:w="1253" w:type="dxa"/>
          </w:tcPr>
          <w:p w:rsidR="00020C76" w:rsidRDefault="00C22111">
            <w:pPr>
              <w:pStyle w:val="Compact"/>
            </w:pPr>
            <w:r>
              <w:t>Vereinfachung</w:t>
            </w:r>
          </w:p>
        </w:tc>
        <w:tc>
          <w:tcPr>
            <w:tcW w:w="3709" w:type="dxa"/>
          </w:tcPr>
          <w:p w:rsidR="00020C76" w:rsidRDefault="00C22111">
            <w:pPr>
              <w:pStyle w:val="Compact"/>
            </w:pPr>
            <w:r>
              <w:t>Sandboxen folgen Prod laufend; in Wirklichkeit springen sie beim Refresh.</w:t>
            </w:r>
          </w:p>
        </w:tc>
        <w:tc>
          <w:tcPr>
            <w:tcW w:w="2957" w:type="dxa"/>
          </w:tcPr>
          <w:p w:rsidR="00020C76" w:rsidRDefault="00020C76">
            <w:pPr>
              <w:pStyle w:val="Compact"/>
            </w:pPr>
          </w:p>
        </w:tc>
      </w:tr>
    </w:tbl>
    <w:p w:rsidR="00020C76" w:rsidRDefault="00C22111">
      <w:pPr>
        <w:pStyle w:val="Corpsdetexte"/>
      </w:pPr>
      <w:r>
        <w:t>Drei Szenarien unterscheiden sich nur darin, wie PRJ und die Migrationssandbox befüllt sind:</w:t>
      </w:r>
    </w:p>
    <w:p w:rsidR="00020C76" w:rsidRDefault="00C22111">
      <w:pPr>
        <w:pStyle w:val="Compact"/>
        <w:numPr>
          <w:ilvl w:val="0"/>
          <w:numId w:val="28"/>
        </w:numPr>
      </w:pPr>
      <w:r>
        <w:rPr>
          <w:b/>
          <w:bCs/>
        </w:rPr>
        <w:t>S1 – wie geplant:</w:t>
      </w:r>
      <w:r>
        <w:t xml:space="preserve"> PRJ und Migrationssandbox als volle Kopien von Prod.</w:t>
      </w:r>
    </w:p>
    <w:p w:rsidR="00020C76" w:rsidRDefault="00C22111">
      <w:pPr>
        <w:pStyle w:val="Compact"/>
        <w:numPr>
          <w:ilvl w:val="0"/>
          <w:numId w:val="28"/>
        </w:numPr>
      </w:pPr>
      <w:r>
        <w:rPr>
          <w:b/>
          <w:bCs/>
        </w:rPr>
        <w:t>S2 – bereinigt w</w:t>
      </w:r>
      <w:r>
        <w:rPr>
          <w:b/>
          <w:bCs/>
        </w:rPr>
        <w:t>ie INT:</w:t>
      </w:r>
      <w:r>
        <w:t xml:space="preserve"> PRJ und Migrationssandbox laufen mit denselben Bereinigungsjobs wie INT.</w:t>
      </w:r>
    </w:p>
    <w:p w:rsidR="00020C76" w:rsidRDefault="00C22111">
      <w:pPr>
        <w:pStyle w:val="Compact"/>
        <w:numPr>
          <w:ilvl w:val="0"/>
          <w:numId w:val="28"/>
        </w:numPr>
      </w:pPr>
      <w:r>
        <w:rPr>
          <w:b/>
          <w:bCs/>
        </w:rPr>
        <w:lastRenderedPageBreak/>
        <w:t>S3 – wie S2, Migrationssandbox transaktionslos:</w:t>
      </w:r>
      <w:r>
        <w:t xml:space="preserve"> zusätzlich wird die Migrationssandbox transaktionslos kopiert.</w:t>
      </w:r>
    </w:p>
    <w:p w:rsidR="00020C76" w:rsidRDefault="00C22111">
      <w:pPr>
        <w:pStyle w:val="TableCaption"/>
      </w:pPr>
      <w:r>
        <w:t>Verbrauch je Szenario und Kontingent an Stichtagen (GB)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Verbrauch je Szenario und Kontingent an Stichtagen (GB)"/>
      </w:tblPr>
      <w:tblGrid>
        <w:gridCol w:w="1290"/>
        <w:gridCol w:w="4108"/>
        <w:gridCol w:w="704"/>
        <w:gridCol w:w="469"/>
        <w:gridCol w:w="469"/>
        <w:gridCol w:w="1291"/>
        <w:gridCol w:w="1291"/>
      </w:tblGrid>
      <w:tr w:rsidR="00020C76" w:rsidTr="00020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2" w:type="dxa"/>
          </w:tcPr>
          <w:p w:rsidR="00020C76" w:rsidRDefault="00C22111">
            <w:pPr>
              <w:pStyle w:val="Compact"/>
            </w:pPr>
            <w:r>
              <w:t>Datum</w:t>
            </w:r>
          </w:p>
        </w:tc>
        <w:tc>
          <w:tcPr>
            <w:tcW w:w="3380" w:type="dxa"/>
          </w:tcPr>
          <w:p w:rsidR="00020C76" w:rsidRDefault="00C22111">
            <w:pPr>
              <w:pStyle w:val="Compact"/>
            </w:pPr>
            <w:r>
              <w:t>Er</w:t>
            </w:r>
            <w:r>
              <w:t>eignis</w:t>
            </w:r>
          </w:p>
        </w:tc>
        <w:tc>
          <w:tcPr>
            <w:tcW w:w="579" w:type="dxa"/>
          </w:tcPr>
          <w:p w:rsidR="00020C76" w:rsidRDefault="00C22111">
            <w:pPr>
              <w:pStyle w:val="Compact"/>
              <w:jc w:val="right"/>
            </w:pPr>
            <w:r>
              <w:t>S1</w:t>
            </w:r>
          </w:p>
        </w:tc>
        <w:tc>
          <w:tcPr>
            <w:tcW w:w="386" w:type="dxa"/>
          </w:tcPr>
          <w:p w:rsidR="00020C76" w:rsidRDefault="00C22111">
            <w:pPr>
              <w:pStyle w:val="Compact"/>
              <w:jc w:val="right"/>
            </w:pPr>
            <w:r>
              <w:t>S2</w:t>
            </w:r>
          </w:p>
        </w:tc>
        <w:tc>
          <w:tcPr>
            <w:tcW w:w="386" w:type="dxa"/>
          </w:tcPr>
          <w:p w:rsidR="00020C76" w:rsidRDefault="00C22111">
            <w:pPr>
              <w:pStyle w:val="Compact"/>
              <w:jc w:val="right"/>
            </w:pPr>
            <w:r>
              <w:t>S3</w:t>
            </w:r>
          </w:p>
        </w:tc>
        <w:tc>
          <w:tcPr>
            <w:tcW w:w="1062" w:type="dxa"/>
          </w:tcPr>
          <w:p w:rsidR="00020C76" w:rsidRDefault="00C22111">
            <w:pPr>
              <w:pStyle w:val="Compact"/>
              <w:jc w:val="right"/>
            </w:pPr>
            <w:r>
              <w:t>Kontingent</w:t>
            </w:r>
          </w:p>
        </w:tc>
        <w:tc>
          <w:tcPr>
            <w:tcW w:w="1062" w:type="dxa"/>
          </w:tcPr>
          <w:p w:rsidR="00020C76" w:rsidRDefault="00C22111">
            <w:pPr>
              <w:pStyle w:val="Compact"/>
              <w:jc w:val="right"/>
            </w:pPr>
            <w:r>
              <w:t>Mit Option</w:t>
            </w:r>
          </w:p>
        </w:tc>
      </w:tr>
      <w:tr w:rsidR="00020C76">
        <w:tc>
          <w:tcPr>
            <w:tcW w:w="1062" w:type="dxa"/>
          </w:tcPr>
          <w:p w:rsidR="00020C76" w:rsidRDefault="00C22111">
            <w:pPr>
              <w:pStyle w:val="Compact"/>
            </w:pPr>
            <w:r>
              <w:t>20.10.2026</w:t>
            </w:r>
          </w:p>
        </w:tc>
        <w:tc>
          <w:tcPr>
            <w:tcW w:w="3380" w:type="dxa"/>
          </w:tcPr>
          <w:p w:rsidR="00020C76" w:rsidRDefault="00C22111">
            <w:pPr>
              <w:pStyle w:val="Compact"/>
            </w:pPr>
            <w:r>
              <w:t>Heute</w:t>
            </w:r>
          </w:p>
        </w:tc>
        <w:tc>
          <w:tcPr>
            <w:tcW w:w="579" w:type="dxa"/>
          </w:tcPr>
          <w:p w:rsidR="00020C76" w:rsidRDefault="00C22111">
            <w:pPr>
              <w:pStyle w:val="Compact"/>
              <w:jc w:val="right"/>
            </w:pPr>
            <w:r>
              <w:t>630</w:t>
            </w:r>
          </w:p>
        </w:tc>
        <w:tc>
          <w:tcPr>
            <w:tcW w:w="386" w:type="dxa"/>
          </w:tcPr>
          <w:p w:rsidR="00020C76" w:rsidRDefault="00C22111">
            <w:pPr>
              <w:pStyle w:val="Compact"/>
              <w:jc w:val="right"/>
            </w:pPr>
            <w:r>
              <w:t>630</w:t>
            </w:r>
          </w:p>
        </w:tc>
        <w:tc>
          <w:tcPr>
            <w:tcW w:w="386" w:type="dxa"/>
          </w:tcPr>
          <w:p w:rsidR="00020C76" w:rsidRDefault="00C22111">
            <w:pPr>
              <w:pStyle w:val="Compact"/>
              <w:jc w:val="right"/>
            </w:pPr>
            <w:r>
              <w:t>630</w:t>
            </w:r>
          </w:p>
        </w:tc>
        <w:tc>
          <w:tcPr>
            <w:tcW w:w="1062" w:type="dxa"/>
          </w:tcPr>
          <w:p w:rsidR="00020C76" w:rsidRDefault="00C22111">
            <w:pPr>
              <w:pStyle w:val="Compact"/>
              <w:jc w:val="right"/>
            </w:pPr>
            <w:r>
              <w:t>705</w:t>
            </w:r>
          </w:p>
        </w:tc>
        <w:tc>
          <w:tcPr>
            <w:tcW w:w="1062" w:type="dxa"/>
          </w:tcPr>
          <w:p w:rsidR="00020C76" w:rsidRDefault="00C22111">
            <w:pPr>
              <w:pStyle w:val="Compact"/>
              <w:jc w:val="right"/>
            </w:pPr>
            <w:r>
              <w:t>1.175</w:t>
            </w:r>
          </w:p>
        </w:tc>
      </w:tr>
      <w:tr w:rsidR="00020C76">
        <w:tc>
          <w:tcPr>
            <w:tcW w:w="1062" w:type="dxa"/>
          </w:tcPr>
          <w:p w:rsidR="00020C76" w:rsidRDefault="00C22111">
            <w:pPr>
              <w:pStyle w:val="Compact"/>
            </w:pPr>
            <w:r>
              <w:t>22.10.2026</w:t>
            </w:r>
          </w:p>
        </w:tc>
        <w:tc>
          <w:tcPr>
            <w:tcW w:w="3380" w:type="dxa"/>
          </w:tcPr>
          <w:p w:rsidR="00020C76" w:rsidRDefault="00C22111">
            <w:pPr>
              <w:pStyle w:val="Compact"/>
            </w:pPr>
            <w:r>
              <w:t>Migrationssandbox bereitgestellt</w:t>
            </w:r>
          </w:p>
        </w:tc>
        <w:tc>
          <w:tcPr>
            <w:tcW w:w="579" w:type="dxa"/>
          </w:tcPr>
          <w:p w:rsidR="00020C76" w:rsidRDefault="00C22111">
            <w:pPr>
              <w:pStyle w:val="Compact"/>
              <w:jc w:val="right"/>
            </w:pPr>
            <w:r>
              <w:t>833</w:t>
            </w:r>
          </w:p>
        </w:tc>
        <w:tc>
          <w:tcPr>
            <w:tcW w:w="386" w:type="dxa"/>
          </w:tcPr>
          <w:p w:rsidR="00020C76" w:rsidRDefault="00C22111">
            <w:pPr>
              <w:pStyle w:val="Compact"/>
              <w:jc w:val="right"/>
            </w:pPr>
            <w:r>
              <w:t>833</w:t>
            </w:r>
          </w:p>
        </w:tc>
        <w:tc>
          <w:tcPr>
            <w:tcW w:w="386" w:type="dxa"/>
          </w:tcPr>
          <w:p w:rsidR="00020C76" w:rsidRDefault="00C22111">
            <w:pPr>
              <w:pStyle w:val="Compact"/>
              <w:jc w:val="right"/>
            </w:pPr>
            <w:r>
              <w:t>833</w:t>
            </w:r>
          </w:p>
        </w:tc>
        <w:tc>
          <w:tcPr>
            <w:tcW w:w="1062" w:type="dxa"/>
          </w:tcPr>
          <w:p w:rsidR="00020C76" w:rsidRDefault="00C22111">
            <w:pPr>
              <w:pStyle w:val="Compact"/>
              <w:jc w:val="right"/>
            </w:pPr>
            <w:r>
              <w:t>705</w:t>
            </w:r>
          </w:p>
        </w:tc>
        <w:tc>
          <w:tcPr>
            <w:tcW w:w="1062" w:type="dxa"/>
          </w:tcPr>
          <w:p w:rsidR="00020C76" w:rsidRDefault="00C22111">
            <w:pPr>
              <w:pStyle w:val="Compact"/>
              <w:jc w:val="right"/>
            </w:pPr>
            <w:r>
              <w:t>1.175</w:t>
            </w:r>
          </w:p>
        </w:tc>
      </w:tr>
      <w:tr w:rsidR="00020C76">
        <w:tc>
          <w:tcPr>
            <w:tcW w:w="1062" w:type="dxa"/>
          </w:tcPr>
          <w:p w:rsidR="00020C76" w:rsidRDefault="00C22111">
            <w:pPr>
              <w:pStyle w:val="Compact"/>
            </w:pPr>
            <w:r>
              <w:t>01.01.2027</w:t>
            </w:r>
          </w:p>
        </w:tc>
        <w:tc>
          <w:tcPr>
            <w:tcW w:w="3380" w:type="dxa"/>
          </w:tcPr>
          <w:p w:rsidR="00020C76" w:rsidRDefault="00C22111">
            <w:pPr>
              <w:pStyle w:val="Compact"/>
            </w:pPr>
            <w:r>
              <w:t>Jahreswechsel</w:t>
            </w:r>
          </w:p>
        </w:tc>
        <w:tc>
          <w:tcPr>
            <w:tcW w:w="579" w:type="dxa"/>
          </w:tcPr>
          <w:p w:rsidR="00020C76" w:rsidRDefault="00C22111">
            <w:pPr>
              <w:pStyle w:val="Compact"/>
              <w:jc w:val="right"/>
            </w:pPr>
            <w:r>
              <w:t>894</w:t>
            </w:r>
          </w:p>
        </w:tc>
        <w:tc>
          <w:tcPr>
            <w:tcW w:w="386" w:type="dxa"/>
          </w:tcPr>
          <w:p w:rsidR="00020C76" w:rsidRDefault="00C22111">
            <w:pPr>
              <w:pStyle w:val="Compact"/>
              <w:jc w:val="right"/>
            </w:pPr>
            <w:r>
              <w:t>766</w:t>
            </w:r>
          </w:p>
        </w:tc>
        <w:tc>
          <w:tcPr>
            <w:tcW w:w="386" w:type="dxa"/>
          </w:tcPr>
          <w:p w:rsidR="00020C76" w:rsidRDefault="00C22111">
            <w:pPr>
              <w:pStyle w:val="Compact"/>
              <w:jc w:val="right"/>
            </w:pPr>
            <w:r>
              <w:t>700</w:t>
            </w:r>
          </w:p>
        </w:tc>
        <w:tc>
          <w:tcPr>
            <w:tcW w:w="1062" w:type="dxa"/>
          </w:tcPr>
          <w:p w:rsidR="00020C76" w:rsidRDefault="00C22111">
            <w:pPr>
              <w:pStyle w:val="Compact"/>
              <w:jc w:val="right"/>
            </w:pPr>
            <w:r>
              <w:t>705</w:t>
            </w:r>
          </w:p>
        </w:tc>
        <w:tc>
          <w:tcPr>
            <w:tcW w:w="1062" w:type="dxa"/>
          </w:tcPr>
          <w:p w:rsidR="00020C76" w:rsidRDefault="00C22111">
            <w:pPr>
              <w:pStyle w:val="Compact"/>
              <w:jc w:val="right"/>
            </w:pPr>
            <w:r>
              <w:t>705</w:t>
            </w:r>
          </w:p>
        </w:tc>
      </w:tr>
      <w:tr w:rsidR="00020C76">
        <w:tc>
          <w:tcPr>
            <w:tcW w:w="1062" w:type="dxa"/>
          </w:tcPr>
          <w:p w:rsidR="00020C76" w:rsidRDefault="00C22111">
            <w:pPr>
              <w:pStyle w:val="Compact"/>
            </w:pPr>
            <w:r>
              <w:t>14.06.2027</w:t>
            </w:r>
          </w:p>
        </w:tc>
        <w:tc>
          <w:tcPr>
            <w:tcW w:w="3380" w:type="dxa"/>
          </w:tcPr>
          <w:p w:rsidR="00020C76" w:rsidRDefault="00C22111">
            <w:pPr>
              <w:pStyle w:val="Compact"/>
            </w:pPr>
            <w:r>
              <w:t>Tag vor dem Go-Live</w:t>
            </w:r>
          </w:p>
        </w:tc>
        <w:tc>
          <w:tcPr>
            <w:tcW w:w="579" w:type="dxa"/>
          </w:tcPr>
          <w:p w:rsidR="00020C76" w:rsidRDefault="00C22111">
            <w:pPr>
              <w:pStyle w:val="Compact"/>
              <w:jc w:val="right"/>
            </w:pPr>
            <w:r>
              <w:t>1.037</w:t>
            </w:r>
          </w:p>
        </w:tc>
        <w:tc>
          <w:tcPr>
            <w:tcW w:w="386" w:type="dxa"/>
          </w:tcPr>
          <w:p w:rsidR="00020C76" w:rsidRDefault="00C22111">
            <w:pPr>
              <w:pStyle w:val="Compact"/>
              <w:jc w:val="right"/>
            </w:pPr>
            <w:r>
              <w:t>909</w:t>
            </w:r>
          </w:p>
        </w:tc>
        <w:tc>
          <w:tcPr>
            <w:tcW w:w="386" w:type="dxa"/>
          </w:tcPr>
          <w:p w:rsidR="00020C76" w:rsidRDefault="00C22111">
            <w:pPr>
              <w:pStyle w:val="Compact"/>
              <w:jc w:val="right"/>
            </w:pPr>
            <w:r>
              <w:t>842</w:t>
            </w:r>
          </w:p>
        </w:tc>
        <w:tc>
          <w:tcPr>
            <w:tcW w:w="1062" w:type="dxa"/>
          </w:tcPr>
          <w:p w:rsidR="00020C76" w:rsidRDefault="00C22111">
            <w:pPr>
              <w:pStyle w:val="Compact"/>
              <w:jc w:val="right"/>
            </w:pPr>
            <w:r>
              <w:t>705</w:t>
            </w:r>
          </w:p>
        </w:tc>
        <w:tc>
          <w:tcPr>
            <w:tcW w:w="1062" w:type="dxa"/>
          </w:tcPr>
          <w:p w:rsidR="00020C76" w:rsidRDefault="00C22111">
            <w:pPr>
              <w:pStyle w:val="Compact"/>
              <w:jc w:val="right"/>
            </w:pPr>
            <w:r>
              <w:t>1.175</w:t>
            </w:r>
          </w:p>
        </w:tc>
      </w:tr>
      <w:tr w:rsidR="00020C76">
        <w:tc>
          <w:tcPr>
            <w:tcW w:w="1062" w:type="dxa"/>
          </w:tcPr>
          <w:p w:rsidR="00020C76" w:rsidRDefault="00C22111">
            <w:pPr>
              <w:pStyle w:val="Compact"/>
            </w:pPr>
            <w:r>
              <w:t>15.06.2027</w:t>
            </w:r>
          </w:p>
        </w:tc>
        <w:tc>
          <w:tcPr>
            <w:tcW w:w="3380" w:type="dxa"/>
          </w:tcPr>
          <w:p w:rsidR="00020C76" w:rsidRDefault="00C22111">
            <w:pPr>
              <w:pStyle w:val="Compact"/>
            </w:pPr>
            <w:r>
              <w:t>Go-Live, neue Lizenzen</w:t>
            </w:r>
          </w:p>
        </w:tc>
        <w:tc>
          <w:tcPr>
            <w:tcW w:w="579" w:type="dxa"/>
          </w:tcPr>
          <w:p w:rsidR="00020C76" w:rsidRDefault="00C22111">
            <w:pPr>
              <w:pStyle w:val="Compact"/>
              <w:jc w:val="right"/>
            </w:pPr>
            <w:r>
              <w:t>1.038</w:t>
            </w:r>
          </w:p>
        </w:tc>
        <w:tc>
          <w:tcPr>
            <w:tcW w:w="386" w:type="dxa"/>
          </w:tcPr>
          <w:p w:rsidR="00020C76" w:rsidRDefault="00C22111">
            <w:pPr>
              <w:pStyle w:val="Compact"/>
              <w:jc w:val="right"/>
            </w:pPr>
            <w:r>
              <w:t>910</w:t>
            </w:r>
          </w:p>
        </w:tc>
        <w:tc>
          <w:tcPr>
            <w:tcW w:w="386" w:type="dxa"/>
          </w:tcPr>
          <w:p w:rsidR="00020C76" w:rsidRDefault="00C22111">
            <w:pPr>
              <w:pStyle w:val="Compact"/>
              <w:jc w:val="right"/>
            </w:pPr>
            <w:r>
              <w:t>843</w:t>
            </w:r>
          </w:p>
        </w:tc>
        <w:tc>
          <w:tcPr>
            <w:tcW w:w="1062" w:type="dxa"/>
          </w:tcPr>
          <w:p w:rsidR="00020C76" w:rsidRDefault="00C22111">
            <w:pPr>
              <w:pStyle w:val="Compact"/>
              <w:jc w:val="right"/>
            </w:pPr>
            <w:r>
              <w:t>1.170</w:t>
            </w:r>
          </w:p>
        </w:tc>
        <w:tc>
          <w:tcPr>
            <w:tcW w:w="1062" w:type="dxa"/>
          </w:tcPr>
          <w:p w:rsidR="00020C76" w:rsidRDefault="00C22111">
            <w:pPr>
              <w:pStyle w:val="Compact"/>
              <w:jc w:val="right"/>
            </w:pPr>
            <w:r>
              <w:t>1.170</w:t>
            </w:r>
          </w:p>
        </w:tc>
      </w:tr>
      <w:tr w:rsidR="00020C76">
        <w:tc>
          <w:tcPr>
            <w:tcW w:w="1062" w:type="dxa"/>
          </w:tcPr>
          <w:p w:rsidR="00020C76" w:rsidRDefault="00C22111">
            <w:pPr>
              <w:pStyle w:val="Compact"/>
            </w:pPr>
            <w:r>
              <w:t>15.07.2027</w:t>
            </w:r>
          </w:p>
        </w:tc>
        <w:tc>
          <w:tcPr>
            <w:tcW w:w="3380" w:type="dxa"/>
          </w:tcPr>
          <w:p w:rsidR="00020C76" w:rsidRDefault="00C22111">
            <w:pPr>
              <w:pStyle w:val="Compact"/>
            </w:pPr>
            <w:r>
              <w:t>PRJ und Migrationssandbox gelöscht</w:t>
            </w:r>
          </w:p>
        </w:tc>
        <w:tc>
          <w:tcPr>
            <w:tcW w:w="579" w:type="dxa"/>
          </w:tcPr>
          <w:p w:rsidR="00020C76" w:rsidRDefault="00C22111">
            <w:pPr>
              <w:pStyle w:val="Compact"/>
              <w:jc w:val="right"/>
            </w:pPr>
            <w:r>
              <w:t>672</w:t>
            </w:r>
          </w:p>
        </w:tc>
        <w:tc>
          <w:tcPr>
            <w:tcW w:w="386" w:type="dxa"/>
          </w:tcPr>
          <w:p w:rsidR="00020C76" w:rsidRDefault="00C22111">
            <w:pPr>
              <w:pStyle w:val="Compact"/>
              <w:jc w:val="right"/>
            </w:pPr>
            <w:r>
              <w:t>672</w:t>
            </w:r>
          </w:p>
        </w:tc>
        <w:tc>
          <w:tcPr>
            <w:tcW w:w="386" w:type="dxa"/>
          </w:tcPr>
          <w:p w:rsidR="00020C76" w:rsidRDefault="00C22111">
            <w:pPr>
              <w:pStyle w:val="Compact"/>
              <w:jc w:val="right"/>
            </w:pPr>
            <w:r>
              <w:t>672</w:t>
            </w:r>
          </w:p>
        </w:tc>
        <w:tc>
          <w:tcPr>
            <w:tcW w:w="1062" w:type="dxa"/>
          </w:tcPr>
          <w:p w:rsidR="00020C76" w:rsidRDefault="00C22111">
            <w:pPr>
              <w:pStyle w:val="Compact"/>
              <w:jc w:val="right"/>
            </w:pPr>
            <w:r>
              <w:t>1.170</w:t>
            </w:r>
          </w:p>
        </w:tc>
        <w:tc>
          <w:tcPr>
            <w:tcW w:w="1062" w:type="dxa"/>
          </w:tcPr>
          <w:p w:rsidR="00020C76" w:rsidRDefault="00C22111">
            <w:pPr>
              <w:pStyle w:val="Compact"/>
              <w:jc w:val="right"/>
            </w:pPr>
            <w:r>
              <w:t>1.170</w:t>
            </w:r>
          </w:p>
        </w:tc>
      </w:tr>
      <w:tr w:rsidR="00020C76">
        <w:tc>
          <w:tcPr>
            <w:tcW w:w="1062" w:type="dxa"/>
          </w:tcPr>
          <w:p w:rsidR="00020C76" w:rsidRDefault="00C22111">
            <w:pPr>
              <w:pStyle w:val="Compact"/>
            </w:pPr>
            <w:r>
              <w:t>31.12.2027</w:t>
            </w:r>
          </w:p>
        </w:tc>
        <w:tc>
          <w:tcPr>
            <w:tcW w:w="3380" w:type="dxa"/>
          </w:tcPr>
          <w:p w:rsidR="00020C76" w:rsidRDefault="00C22111">
            <w:pPr>
              <w:pStyle w:val="Compact"/>
            </w:pPr>
            <w:r>
              <w:t>Jahresende 2027</w:t>
            </w:r>
          </w:p>
        </w:tc>
        <w:tc>
          <w:tcPr>
            <w:tcW w:w="579" w:type="dxa"/>
          </w:tcPr>
          <w:p w:rsidR="00020C76" w:rsidRDefault="00C22111">
            <w:pPr>
              <w:pStyle w:val="Compact"/>
              <w:jc w:val="right"/>
            </w:pPr>
            <w:r>
              <w:t>868</w:t>
            </w:r>
          </w:p>
        </w:tc>
        <w:tc>
          <w:tcPr>
            <w:tcW w:w="386" w:type="dxa"/>
          </w:tcPr>
          <w:p w:rsidR="00020C76" w:rsidRDefault="00C22111">
            <w:pPr>
              <w:pStyle w:val="Compact"/>
              <w:jc w:val="right"/>
            </w:pPr>
            <w:r>
              <w:t>868</w:t>
            </w:r>
          </w:p>
        </w:tc>
        <w:tc>
          <w:tcPr>
            <w:tcW w:w="386" w:type="dxa"/>
          </w:tcPr>
          <w:p w:rsidR="00020C76" w:rsidRDefault="00C22111">
            <w:pPr>
              <w:pStyle w:val="Compact"/>
              <w:jc w:val="right"/>
            </w:pPr>
            <w:r>
              <w:t>868</w:t>
            </w:r>
          </w:p>
        </w:tc>
        <w:tc>
          <w:tcPr>
            <w:tcW w:w="1062" w:type="dxa"/>
          </w:tcPr>
          <w:p w:rsidR="00020C76" w:rsidRDefault="00C22111">
            <w:pPr>
              <w:pStyle w:val="Compact"/>
              <w:jc w:val="right"/>
            </w:pPr>
            <w:r>
              <w:t>1.170</w:t>
            </w:r>
          </w:p>
        </w:tc>
        <w:tc>
          <w:tcPr>
            <w:tcW w:w="1062" w:type="dxa"/>
          </w:tcPr>
          <w:p w:rsidR="00020C76" w:rsidRDefault="00C22111">
            <w:pPr>
              <w:pStyle w:val="Compact"/>
              <w:jc w:val="right"/>
            </w:pPr>
            <w:r>
              <w:t>1.170</w:t>
            </w:r>
          </w:p>
        </w:tc>
      </w:tr>
    </w:tbl>
    <w:p w:rsidR="00020C76" w:rsidRDefault="00020C76"/>
    <w:p w:rsidR="00020C76" w:rsidRDefault="00C22111">
      <w:pPr>
        <w:pStyle w:val="TableCaption"/>
      </w:pPr>
      <w:r>
        <w:t>Kennzahlen je Szenario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Kennzahlen je Szenario"/>
      </w:tblPr>
      <w:tblGrid>
        <w:gridCol w:w="7216"/>
        <w:gridCol w:w="802"/>
        <w:gridCol w:w="802"/>
        <w:gridCol w:w="802"/>
      </w:tblGrid>
      <w:tr w:rsidR="00020C76" w:rsidTr="00020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40" w:type="dxa"/>
          </w:tcPr>
          <w:p w:rsidR="00020C76" w:rsidRDefault="00C22111">
            <w:pPr>
              <w:pStyle w:val="Compact"/>
            </w:pPr>
            <w:r>
              <w:t>Kennzahl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S1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S2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S3</w:t>
            </w:r>
          </w:p>
        </w:tc>
      </w:tr>
      <w:tr w:rsidR="00020C76">
        <w:tc>
          <w:tcPr>
            <w:tcW w:w="5940" w:type="dxa"/>
          </w:tcPr>
          <w:p w:rsidR="00020C76" w:rsidRDefault="00C22111">
            <w:pPr>
              <w:pStyle w:val="Compact"/>
            </w:pPr>
            <w:r>
              <w:t>Fehlmenge am Tag vor dem Go-Live ohne Option (GB)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332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204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137</w:t>
            </w:r>
          </w:p>
        </w:tc>
      </w:tr>
      <w:tr w:rsidR="00020C76">
        <w:tc>
          <w:tcPr>
            <w:tcW w:w="5940" w:type="dxa"/>
          </w:tcPr>
          <w:p w:rsidR="00020C76" w:rsidRDefault="00C22111">
            <w:pPr>
              <w:pStyle w:val="Compact"/>
            </w:pPr>
            <w:r>
              <w:t>Tage 2027 bis zum Go-Live ohne Deckung trotz der Fenster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30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30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24</w:t>
            </w:r>
          </w:p>
        </w:tc>
      </w:tr>
      <w:tr w:rsidR="00020C76">
        <w:tc>
          <w:tcPr>
            <w:tcW w:w="5940" w:type="dxa"/>
          </w:tcPr>
          <w:p w:rsidR="00020C76" w:rsidRDefault="00C22111">
            <w:pPr>
              <w:pStyle w:val="Compact"/>
            </w:pPr>
            <w:r>
              <w:t>Höchste Fehlmenge an diesen Tagen (GB)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215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86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20</w:t>
            </w:r>
          </w:p>
        </w:tc>
      </w:tr>
      <w:tr w:rsidR="00020C76">
        <w:tc>
          <w:tcPr>
            <w:tcW w:w="5940" w:type="dxa"/>
          </w:tcPr>
          <w:p w:rsidR="00020C76" w:rsidRDefault="00C22111">
            <w:pPr>
              <w:pStyle w:val="Compact"/>
            </w:pPr>
            <w:r>
              <w:t>Zukauf dafür für einen Monat (€)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6.438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2.590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601</w:t>
            </w:r>
          </w:p>
        </w:tc>
      </w:tr>
      <w:tr w:rsidR="00020C76">
        <w:tc>
          <w:tcPr>
            <w:tcW w:w="5940" w:type="dxa"/>
          </w:tcPr>
          <w:p w:rsidR="00020C76" w:rsidRDefault="00C22111">
            <w:pPr>
              <w:pStyle w:val="Compact"/>
            </w:pPr>
            <w:r>
              <w:t>Reserve am Go-Live mit neuen Lizenzen (GB)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132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260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327</w:t>
            </w:r>
          </w:p>
        </w:tc>
      </w:tr>
      <w:tr w:rsidR="00020C76">
        <w:tc>
          <w:tcPr>
            <w:tcW w:w="5940" w:type="dxa"/>
          </w:tcPr>
          <w:p w:rsidR="00020C76" w:rsidRDefault="00C22111">
            <w:pPr>
              <w:pStyle w:val="Compact"/>
            </w:pPr>
            <w:r>
              <w:t>Reserve nach Löschung von PRJ und Migrationssandbox (GB)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498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498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498</w:t>
            </w:r>
          </w:p>
        </w:tc>
      </w:tr>
      <w:tr w:rsidR="00020C76">
        <w:tc>
          <w:tcPr>
            <w:tcW w:w="5940" w:type="dxa"/>
          </w:tcPr>
          <w:p w:rsidR="00020C76" w:rsidRDefault="00C22111">
            <w:pPr>
              <w:pStyle w:val="Compact"/>
            </w:pPr>
            <w:r>
              <w:t>Kontingent erschöpft ab (Techniker mit Activity)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09/2028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09/2028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09/2028</w:t>
            </w:r>
          </w:p>
        </w:tc>
      </w:tr>
      <w:tr w:rsidR="00020C76">
        <w:tc>
          <w:tcPr>
            <w:tcW w:w="5940" w:type="dxa"/>
          </w:tcPr>
          <w:p w:rsidR="00020C76" w:rsidRDefault="00C22111">
            <w:pPr>
              <w:pStyle w:val="Compact"/>
            </w:pPr>
            <w:r>
              <w:t>Fehlmenge zwischen Go-Live und Löschung, Techniker mit Team Member (GB)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17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0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0</w:t>
            </w:r>
          </w:p>
        </w:tc>
      </w:tr>
      <w:tr w:rsidR="00020C76">
        <w:tc>
          <w:tcPr>
            <w:tcW w:w="5940" w:type="dxa"/>
          </w:tcPr>
          <w:p w:rsidR="00020C76" w:rsidRDefault="00C22111">
            <w:pPr>
              <w:pStyle w:val="Compact"/>
            </w:pPr>
            <w:r>
              <w:t>Kontingent erschöpft ab (Techniker mit Team Member)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t>06/2</w:t>
            </w:r>
            <w:r>
              <w:lastRenderedPageBreak/>
              <w:t>028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lastRenderedPageBreak/>
              <w:t>06/2</w:t>
            </w:r>
            <w:r>
              <w:lastRenderedPageBreak/>
              <w:t>028</w:t>
            </w:r>
          </w:p>
        </w:tc>
        <w:tc>
          <w:tcPr>
            <w:tcW w:w="660" w:type="dxa"/>
          </w:tcPr>
          <w:p w:rsidR="00020C76" w:rsidRDefault="00C22111">
            <w:pPr>
              <w:pStyle w:val="Compact"/>
              <w:jc w:val="right"/>
            </w:pPr>
            <w:r>
              <w:lastRenderedPageBreak/>
              <w:t>06/2</w:t>
            </w:r>
            <w:r>
              <w:lastRenderedPageBreak/>
              <w:t>028</w:t>
            </w:r>
          </w:p>
        </w:tc>
      </w:tr>
    </w:tbl>
    <w:p w:rsidR="00020C76" w:rsidRDefault="00C22111">
      <w:pPr>
        <w:pStyle w:val="CaptionedFigure"/>
      </w:pPr>
      <w:r>
        <w:rPr>
          <w:noProof/>
          <w:lang w:val="de-DE" w:eastAsia="de-DE"/>
        </w:rPr>
        <w:lastRenderedPageBreak/>
        <w:drawing>
          <wp:inline distT="0" distB="0" distL="0" distR="0">
            <wp:extent cx="5334000" cy="3200400"/>
            <wp:effectExtent l="0" t="0" r="0" b="0"/>
            <wp:docPr id="45" name="Picture" descr="Verbrauch je Szenario gegen das Kontingent (GB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D365FO_Berechtigungskonzept_Strategie_files/figure-docx/kapazitaet_diagramm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C76" w:rsidRDefault="00C22111">
      <w:pPr>
        <w:pStyle w:val="ImageCaption"/>
      </w:pPr>
      <w:r>
        <w:t>Verbrauch je Szenario gegen das Kontingent (GB)</w:t>
      </w:r>
    </w:p>
    <w:p w:rsidR="00020C76" w:rsidRDefault="00C22111">
      <w:pPr>
        <w:pStyle w:val="Corpsdetexte"/>
      </w:pPr>
      <w:r>
        <w:rPr>
          <w:b/>
          <w:bCs/>
        </w:rPr>
        <w:t>Lesart:</w:t>
      </w:r>
    </w:p>
    <w:p w:rsidR="00020C76" w:rsidRDefault="00C22111">
      <w:pPr>
        <w:pStyle w:val="Compact"/>
        <w:numPr>
          <w:ilvl w:val="0"/>
          <w:numId w:val="29"/>
        </w:numPr>
      </w:pPr>
      <w:r>
        <w:rPr>
          <w:b/>
          <w:bCs/>
        </w:rPr>
        <w:t>Vor dem Go-Live:</w:t>
      </w:r>
      <w:r>
        <w:t xml:space="preserve"> </w:t>
      </w:r>
      <w:r>
        <w:t>Ohne die Option liegt S1 ab der Bereitstellung der Migrationssandbox über dem Kontingent. Die Fehlmenge wächst bis zum Go-Live auf 332 GB; in S2 sind es 204 GB, in S3 137 GB.</w:t>
      </w:r>
    </w:p>
    <w:p w:rsidR="00020C76" w:rsidRDefault="00C22111">
      <w:pPr>
        <w:pStyle w:val="Compact"/>
        <w:numPr>
          <w:ilvl w:val="0"/>
          <w:numId w:val="29"/>
        </w:numPr>
      </w:pPr>
      <w:r>
        <w:rPr>
          <w:b/>
          <w:bCs/>
        </w:rPr>
        <w:t>Ab dem Go-Live:</w:t>
      </w:r>
      <w:r>
        <w:t xml:space="preserve"> Mit den neuen Lizenzen ist der Go-Live in allen Szenarien gedeckt</w:t>
      </w:r>
      <w:r>
        <w:t>.</w:t>
      </w:r>
    </w:p>
    <w:p w:rsidR="00020C76" w:rsidRDefault="00C22111">
      <w:pPr>
        <w:pStyle w:val="Compact"/>
        <w:numPr>
          <w:ilvl w:val="0"/>
          <w:numId w:val="29"/>
        </w:numPr>
      </w:pPr>
      <w:r>
        <w:rPr>
          <w:b/>
          <w:bCs/>
        </w:rPr>
        <w:t>Nach der Löschung:</w:t>
      </w:r>
      <w:r>
        <w:t xml:space="preserve"> Sind PRJ und Migrationssandbox gelöscht, verlaufen alle Szenarien gleich. Die Reserve von 498 GB reicht mit Activity für die Techniker bis 09/2028, mit Team Member bis 06/2028.</w:t>
      </w:r>
    </w:p>
    <w:p w:rsidR="00020C76" w:rsidRDefault="00C22111">
      <w:pPr>
        <w:pStyle w:val="Titre3"/>
      </w:pPr>
      <w:bookmarkStart w:id="75" w:name="überbrückung-bis-zum-go-live"/>
      <w:bookmarkStart w:id="76" w:name="_Toc243475995"/>
      <w:bookmarkEnd w:id="73"/>
      <w:r>
        <w:t>Überbrückung bis zum Go-Live</w:t>
      </w:r>
      <w:bookmarkEnd w:id="76"/>
    </w:p>
    <w:p w:rsidR="00020C76" w:rsidRDefault="00C22111">
      <w:pPr>
        <w:pStyle w:val="TableCaption"/>
      </w:pPr>
      <w:r>
        <w:t>Geplante Nutzung der 45-Tage-</w:t>
      </w:r>
      <w:r>
        <w:t>Option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Geplante Nutzung der 45-Tage-Option"/>
      </w:tblPr>
      <w:tblGrid>
        <w:gridCol w:w="1084"/>
        <w:gridCol w:w="1418"/>
        <w:gridCol w:w="1418"/>
      </w:tblGrid>
      <w:tr w:rsidR="00020C76" w:rsidTr="00020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20C76" w:rsidRDefault="00C22111">
            <w:pPr>
              <w:pStyle w:val="Compact"/>
            </w:pPr>
            <w:r>
              <w:t>Fenster</w:t>
            </w:r>
          </w:p>
        </w:tc>
        <w:tc>
          <w:tcPr>
            <w:tcW w:w="0" w:type="auto"/>
          </w:tcPr>
          <w:p w:rsidR="00020C76" w:rsidRDefault="00C22111">
            <w:pPr>
              <w:pStyle w:val="Compact"/>
            </w:pPr>
            <w:r>
              <w:t>Beginn</w:t>
            </w:r>
          </w:p>
        </w:tc>
        <w:tc>
          <w:tcPr>
            <w:tcW w:w="0" w:type="auto"/>
          </w:tcPr>
          <w:p w:rsidR="00020C76" w:rsidRDefault="00C22111">
            <w:pPr>
              <w:pStyle w:val="Compact"/>
            </w:pPr>
            <w:r>
              <w:t>Ende</w:t>
            </w:r>
          </w:p>
        </w:tc>
      </w:tr>
      <w:tr w:rsidR="00020C76">
        <w:tc>
          <w:tcPr>
            <w:tcW w:w="0" w:type="auto"/>
          </w:tcPr>
          <w:p w:rsidR="00020C76" w:rsidRDefault="00C22111">
            <w:pPr>
              <w:pStyle w:val="Compact"/>
            </w:pPr>
            <w:r>
              <w:t>2026</w:t>
            </w:r>
          </w:p>
        </w:tc>
        <w:tc>
          <w:tcPr>
            <w:tcW w:w="0" w:type="auto"/>
          </w:tcPr>
          <w:p w:rsidR="00020C76" w:rsidRDefault="00C22111">
            <w:pPr>
              <w:pStyle w:val="Compact"/>
            </w:pPr>
            <w:r>
              <w:t>laufend</w:t>
            </w:r>
          </w:p>
        </w:tc>
        <w:tc>
          <w:tcPr>
            <w:tcW w:w="0" w:type="auto"/>
          </w:tcPr>
          <w:p w:rsidR="00020C76" w:rsidRDefault="00C22111">
            <w:pPr>
              <w:pStyle w:val="Compact"/>
            </w:pPr>
            <w:r>
              <w:t>31.12.2026</w:t>
            </w:r>
          </w:p>
        </w:tc>
      </w:tr>
      <w:tr w:rsidR="00020C76">
        <w:tc>
          <w:tcPr>
            <w:tcW w:w="0" w:type="auto"/>
          </w:tcPr>
          <w:p w:rsidR="00020C76" w:rsidRDefault="00C22111">
            <w:pPr>
              <w:pStyle w:val="Compact"/>
            </w:pPr>
            <w:r>
              <w:t>2027 / 1</w:t>
            </w:r>
          </w:p>
        </w:tc>
        <w:tc>
          <w:tcPr>
            <w:tcW w:w="0" w:type="auto"/>
          </w:tcPr>
          <w:p w:rsidR="00020C76" w:rsidRDefault="00C22111">
            <w:pPr>
              <w:pStyle w:val="Compact"/>
            </w:pPr>
            <w:r>
              <w:t>31.01.2027</w:t>
            </w:r>
          </w:p>
        </w:tc>
        <w:tc>
          <w:tcPr>
            <w:tcW w:w="0" w:type="auto"/>
          </w:tcPr>
          <w:p w:rsidR="00020C76" w:rsidRDefault="00C22111">
            <w:pPr>
              <w:pStyle w:val="Compact"/>
            </w:pPr>
            <w:r>
              <w:t>16.03.2027</w:t>
            </w:r>
          </w:p>
        </w:tc>
      </w:tr>
      <w:tr w:rsidR="00020C76">
        <w:tc>
          <w:tcPr>
            <w:tcW w:w="0" w:type="auto"/>
          </w:tcPr>
          <w:p w:rsidR="00020C76" w:rsidRDefault="00C22111">
            <w:pPr>
              <w:pStyle w:val="Compact"/>
            </w:pPr>
            <w:r>
              <w:t>2027 / 2</w:t>
            </w:r>
          </w:p>
        </w:tc>
        <w:tc>
          <w:tcPr>
            <w:tcW w:w="0" w:type="auto"/>
          </w:tcPr>
          <w:p w:rsidR="00020C76" w:rsidRDefault="00C22111">
            <w:pPr>
              <w:pStyle w:val="Compact"/>
            </w:pPr>
            <w:r>
              <w:t>17.03.2027</w:t>
            </w:r>
          </w:p>
        </w:tc>
        <w:tc>
          <w:tcPr>
            <w:tcW w:w="0" w:type="auto"/>
          </w:tcPr>
          <w:p w:rsidR="00020C76" w:rsidRDefault="00C22111">
            <w:pPr>
              <w:pStyle w:val="Compact"/>
            </w:pPr>
            <w:r>
              <w:t>30.04.2027</w:t>
            </w:r>
          </w:p>
        </w:tc>
      </w:tr>
      <w:tr w:rsidR="00020C76">
        <w:tc>
          <w:tcPr>
            <w:tcW w:w="0" w:type="auto"/>
          </w:tcPr>
          <w:p w:rsidR="00020C76" w:rsidRDefault="00C22111">
            <w:pPr>
              <w:pStyle w:val="Compact"/>
            </w:pPr>
            <w:r>
              <w:t>2027 / 3</w:t>
            </w:r>
          </w:p>
        </w:tc>
        <w:tc>
          <w:tcPr>
            <w:tcW w:w="0" w:type="auto"/>
          </w:tcPr>
          <w:p w:rsidR="00020C76" w:rsidRDefault="00C22111">
            <w:pPr>
              <w:pStyle w:val="Compact"/>
            </w:pPr>
            <w:r>
              <w:t>01.05.2027</w:t>
            </w:r>
          </w:p>
        </w:tc>
        <w:tc>
          <w:tcPr>
            <w:tcW w:w="0" w:type="auto"/>
          </w:tcPr>
          <w:p w:rsidR="00020C76" w:rsidRDefault="00C22111">
            <w:pPr>
              <w:pStyle w:val="Compact"/>
            </w:pPr>
            <w:r>
              <w:t>14.06.2027</w:t>
            </w:r>
          </w:p>
        </w:tc>
      </w:tr>
    </w:tbl>
    <w:p w:rsidR="00020C76" w:rsidRDefault="00C22111">
      <w:pPr>
        <w:pStyle w:val="Corpsdetexte"/>
      </w:pPr>
      <w:r>
        <w:t>Von Jahresbeginn 2027 bis zum Tag vor dem Go-Live sind 165 Tage zu decken. Die Fenster decken 135 Tage. Deshalb werden sie lückenlos rückwärts ab dem Go-Live gelegt: Die Spitze vor dem Go-Live ist gedeckt, offen bleibt der Januar, in dem die Fehlmenge am k</w:t>
      </w:r>
      <w:r>
        <w:t>leinsten ist.</w:t>
      </w:r>
    </w:p>
    <w:p w:rsidR="00020C76" w:rsidRDefault="00C22111">
      <w:pPr>
        <w:pStyle w:val="Corpsdetexte"/>
      </w:pPr>
      <w:r>
        <w:lastRenderedPageBreak/>
        <w:t>Für diese Tage gibt es zwei Wege:</w:t>
      </w:r>
    </w:p>
    <w:p w:rsidR="00020C76" w:rsidRDefault="00C22111">
      <w:pPr>
        <w:pStyle w:val="Compact"/>
        <w:numPr>
          <w:ilvl w:val="0"/>
          <w:numId w:val="30"/>
        </w:numPr>
      </w:pPr>
      <w:r>
        <w:rPr>
          <w:b/>
          <w:bCs/>
        </w:rPr>
        <w:t>Maßnahmen aus S2 oder S3 bis Mitte November umsetzen:</w:t>
      </w:r>
      <w:r>
        <w:t xml:space="preserve"> Die Fehlmenge im Januar sinkt dann auf 86 bzw. 20 GB.</w:t>
      </w:r>
    </w:p>
    <w:p w:rsidR="00020C76" w:rsidRDefault="00C22111">
      <w:pPr>
        <w:pStyle w:val="Compact"/>
        <w:numPr>
          <w:ilvl w:val="0"/>
          <w:numId w:val="30"/>
        </w:numPr>
      </w:pPr>
      <w:r>
        <w:rPr>
          <w:b/>
          <w:bCs/>
        </w:rPr>
        <w:t>Kapazität für einen Monat zukaufen:</w:t>
      </w:r>
      <w:r>
        <w:t xml:space="preserve"> Das kostet in S1 6.438 €, in S2 2.590 €, in S3 601 €.</w:t>
      </w:r>
    </w:p>
    <w:p w:rsidR="00020C76" w:rsidRDefault="00C22111">
      <w:pPr>
        <w:pStyle w:val="FirstParagraph"/>
      </w:pPr>
      <w:r>
        <w:t>Verschiebt sich der Go-Live, ist 2027 kein Fenster mehr frei, und die neuen Lizenzen sind noch nicht aktiv. Der Lizenzbeginn wird deshalb unabhängig vom Go-Live-Termin festgelegt, oder ein Fenster bleibt in Reserve.</w:t>
      </w:r>
    </w:p>
    <w:p w:rsidR="00020C76" w:rsidRDefault="00C22111">
      <w:pPr>
        <w:pStyle w:val="Titre3"/>
      </w:pPr>
      <w:bookmarkStart w:id="77" w:name="maßnahmen"/>
      <w:bookmarkStart w:id="78" w:name="_Toc243475996"/>
      <w:bookmarkEnd w:id="75"/>
      <w:r>
        <w:t>Maßnahmen</w:t>
      </w:r>
      <w:bookmarkEnd w:id="78"/>
    </w:p>
    <w:p w:rsidR="00020C76" w:rsidRDefault="00C22111">
      <w:pPr>
        <w:pStyle w:val="TableCaption"/>
      </w:pPr>
      <w:r>
        <w:t>Maßnahmen zur Senkung der Bele</w:t>
      </w:r>
      <w:r>
        <w:t>gung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Maßnahmen zur Senkung der Belegung"/>
      </w:tblPr>
      <w:tblGrid>
        <w:gridCol w:w="2161"/>
        <w:gridCol w:w="1555"/>
        <w:gridCol w:w="5906"/>
      </w:tblGrid>
      <w:tr w:rsidR="00020C76" w:rsidTr="00020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78" w:type="dxa"/>
          </w:tcPr>
          <w:p w:rsidR="00020C76" w:rsidRDefault="00C22111">
            <w:pPr>
              <w:pStyle w:val="Compact"/>
            </w:pPr>
            <w:r>
              <w:t>Maßnahme</w:t>
            </w:r>
          </w:p>
        </w:tc>
        <w:tc>
          <w:tcPr>
            <w:tcW w:w="1280" w:type="dxa"/>
          </w:tcPr>
          <w:p w:rsidR="00020C76" w:rsidRDefault="00C22111">
            <w:pPr>
              <w:pStyle w:val="Compact"/>
            </w:pPr>
            <w:r>
              <w:t>Wirkung</w:t>
            </w:r>
          </w:p>
        </w:tc>
        <w:tc>
          <w:tcPr>
            <w:tcW w:w="4861" w:type="dxa"/>
          </w:tcPr>
          <w:p w:rsidR="00020C76" w:rsidRDefault="00C22111">
            <w:pPr>
              <w:pStyle w:val="Compact"/>
            </w:pPr>
            <w:r>
              <w:t>Hinweis</w:t>
            </w:r>
          </w:p>
        </w:tc>
      </w:tr>
      <w:tr w:rsidR="00020C76">
        <w:tc>
          <w:tcPr>
            <w:tcW w:w="1778" w:type="dxa"/>
          </w:tcPr>
          <w:p w:rsidR="00020C76" w:rsidRDefault="00C22111">
            <w:pPr>
              <w:pStyle w:val="Compact"/>
            </w:pPr>
            <w:r>
              <w:t>PRJ und Migrationssandbox mit denselben Bereinigungsjobs wie INT betreiben</w:t>
            </w:r>
          </w:p>
        </w:tc>
        <w:tc>
          <w:tcPr>
            <w:tcW w:w="1280" w:type="dxa"/>
          </w:tcPr>
          <w:p w:rsidR="00020C76" w:rsidRDefault="00C22111">
            <w:pPr>
              <w:pStyle w:val="Compact"/>
            </w:pPr>
            <w:r>
              <w:t>rund 64 GB je Umgebung (S2)</w:t>
            </w:r>
          </w:p>
        </w:tc>
        <w:tc>
          <w:tcPr>
            <w:tcW w:w="4861" w:type="dxa"/>
          </w:tcPr>
          <w:p w:rsidR="00020C76" w:rsidRDefault="00C22111">
            <w:pPr>
              <w:pStyle w:val="Compact"/>
            </w:pPr>
            <w:r>
              <w:t>In INT erprobt; nach jedem Refresh einplanen.</w:t>
            </w:r>
          </w:p>
        </w:tc>
      </w:tr>
      <w:tr w:rsidR="00020C76">
        <w:tc>
          <w:tcPr>
            <w:tcW w:w="1778" w:type="dxa"/>
          </w:tcPr>
          <w:p w:rsidR="00020C76" w:rsidRDefault="00C22111">
            <w:pPr>
              <w:pStyle w:val="Compact"/>
            </w:pPr>
            <w:r>
              <w:t>Migrationssandbox transaktionslos kopieren</w:t>
            </w:r>
          </w:p>
        </w:tc>
        <w:tc>
          <w:tcPr>
            <w:tcW w:w="1280" w:type="dxa"/>
          </w:tcPr>
          <w:p w:rsidR="00020C76" w:rsidRDefault="00C22111">
            <w:pPr>
              <w:pStyle w:val="Compact"/>
            </w:pPr>
            <w:r>
              <w:t>weitere rund 66 GB (S3)</w:t>
            </w:r>
          </w:p>
        </w:tc>
        <w:tc>
          <w:tcPr>
            <w:tcW w:w="4861" w:type="dxa"/>
          </w:tcPr>
          <w:p w:rsidR="00020C76" w:rsidRDefault="00C22111">
            <w:pPr>
              <w:pStyle w:val="Compact"/>
            </w:pPr>
            <w:r>
              <w:t>Nur wenn die Migrationsläufe keine Bestandsbelege brauchen; die neue Gesellschaft hat in Prod noch keine. Die Generalprobe kann eine volle Kopie innerhalb eines Fensters nutzen.</w:t>
            </w:r>
          </w:p>
        </w:tc>
      </w:tr>
      <w:tr w:rsidR="00020C76">
        <w:tc>
          <w:tcPr>
            <w:tcW w:w="1778" w:type="dxa"/>
          </w:tcPr>
          <w:p w:rsidR="00020C76" w:rsidRDefault="00C22111">
            <w:pPr>
              <w:pStyle w:val="Compact"/>
            </w:pPr>
            <w:r>
              <w:t>Aufbewahrungsfristen der Bereinigungsjobs in Prod je Job prüfen</w:t>
            </w:r>
          </w:p>
        </w:tc>
        <w:tc>
          <w:tcPr>
            <w:tcW w:w="1280" w:type="dxa"/>
          </w:tcPr>
          <w:p w:rsidR="00020C76" w:rsidRDefault="00C22111">
            <w:pPr>
              <w:pStyle w:val="Compact"/>
            </w:pPr>
            <w:r>
              <w:t>wirkt in Prod</w:t>
            </w:r>
            <w:r>
              <w:t xml:space="preserve"> und in jeder späteren Kopie; Höhe offen</w:t>
            </w:r>
          </w:p>
        </w:tc>
        <w:tc>
          <w:tcPr>
            <w:tcW w:w="4861" w:type="dxa"/>
          </w:tcPr>
          <w:p w:rsidR="00020C76" w:rsidRDefault="00C22111">
            <w:pPr>
              <w:pStyle w:val="Compact"/>
            </w:pPr>
            <w:r>
              <w:t>Heute 90 Tage für die Batch-Historie, in den Sandboxen teils 2 Wochen. Wirkung messen: Tabellengrößen von INT und PRJ vergleichen. Buchungsdaten unterliegen Aufbewahrungsfristen und werden nicht gelöscht.</w:t>
            </w:r>
          </w:p>
        </w:tc>
      </w:tr>
      <w:tr w:rsidR="00020C76">
        <w:tc>
          <w:tcPr>
            <w:tcW w:w="1778" w:type="dxa"/>
          </w:tcPr>
          <w:p w:rsidR="00020C76" w:rsidRDefault="00C22111">
            <w:pPr>
              <w:pStyle w:val="Compact"/>
            </w:pPr>
            <w:r>
              <w:t>Archivierung mit Dataverse long term retention</w:t>
            </w:r>
          </w:p>
        </w:tc>
        <w:tc>
          <w:tcPr>
            <w:tcW w:w="1280" w:type="dxa"/>
          </w:tcPr>
          <w:p w:rsidR="00020C76" w:rsidRDefault="00C22111">
            <w:pPr>
              <w:pStyle w:val="Compact"/>
            </w:pPr>
            <w:r>
              <w:t>offen</w:t>
            </w:r>
          </w:p>
        </w:tc>
        <w:tc>
          <w:tcPr>
            <w:tcW w:w="4861" w:type="dxa"/>
          </w:tcPr>
          <w:p w:rsidR="00020C76" w:rsidRDefault="00C22111">
            <w:pPr>
              <w:pStyle w:val="Compact"/>
            </w:pPr>
            <w:r>
              <w:t>Für Buchungshistorie; Verfügbarkeit je Version und Wirkung auf die Kapazität prüfen.</w:t>
            </w:r>
          </w:p>
        </w:tc>
      </w:tr>
      <w:tr w:rsidR="00020C76">
        <w:tc>
          <w:tcPr>
            <w:tcW w:w="1778" w:type="dxa"/>
          </w:tcPr>
          <w:p w:rsidR="00020C76" w:rsidRDefault="00C22111">
            <w:pPr>
              <w:pStyle w:val="Compact"/>
            </w:pPr>
            <w:r>
              <w:t>Refresh-Regeln: TST weiter transaktionslos, PRJ nur bei Bedarf</w:t>
            </w:r>
          </w:p>
        </w:tc>
        <w:tc>
          <w:tcPr>
            <w:tcW w:w="1280" w:type="dxa"/>
          </w:tcPr>
          <w:p w:rsidR="00020C76" w:rsidRDefault="00C22111">
            <w:pPr>
              <w:pStyle w:val="Compact"/>
            </w:pPr>
            <w:r>
              <w:t>vermeidet Sprünge beim Refresh</w:t>
            </w:r>
          </w:p>
        </w:tc>
        <w:tc>
          <w:tcPr>
            <w:tcW w:w="4861" w:type="dxa"/>
          </w:tcPr>
          <w:p w:rsidR="00020C76" w:rsidRDefault="00C22111">
            <w:pPr>
              <w:pStyle w:val="Compact"/>
            </w:pPr>
            <w:r>
              <w:t>Bedenken gegen Tests in</w:t>
            </w:r>
            <w:r>
              <w:t xml:space="preserve"> TST: Testarten den Umgebungen zuordnen (Kapitel 5).</w:t>
            </w:r>
          </w:p>
        </w:tc>
      </w:tr>
      <w:tr w:rsidR="00020C76">
        <w:tc>
          <w:tcPr>
            <w:tcW w:w="1778" w:type="dxa"/>
          </w:tcPr>
          <w:p w:rsidR="00020C76" w:rsidRDefault="00C22111">
            <w:pPr>
              <w:pStyle w:val="Compact"/>
            </w:pPr>
            <w:r>
              <w:t>PRJ und Migrationssandbox einen Monat nach dem Go-Live löschen</w:t>
            </w:r>
          </w:p>
        </w:tc>
        <w:tc>
          <w:tcPr>
            <w:tcW w:w="1280" w:type="dxa"/>
          </w:tcPr>
          <w:p w:rsidR="00020C76" w:rsidRDefault="00C22111">
            <w:pPr>
              <w:pStyle w:val="Compact"/>
            </w:pPr>
            <w:r>
              <w:t>rund 401 GB in S1 ab 15.07.2027</w:t>
            </w:r>
          </w:p>
        </w:tc>
        <w:tc>
          <w:tcPr>
            <w:tcW w:w="4861" w:type="dxa"/>
          </w:tcPr>
          <w:p w:rsidR="00020C76" w:rsidRDefault="00C22111">
            <w:pPr>
              <w:pStyle w:val="Compact"/>
            </w:pPr>
            <w:r>
              <w:t>Termin fest einplanen.</w:t>
            </w:r>
          </w:p>
        </w:tc>
      </w:tr>
      <w:tr w:rsidR="00020C76">
        <w:tc>
          <w:tcPr>
            <w:tcW w:w="1778" w:type="dxa"/>
          </w:tcPr>
          <w:p w:rsidR="00020C76" w:rsidRDefault="00C22111">
            <w:pPr>
              <w:pStyle w:val="Compact"/>
            </w:pPr>
            <w:r>
              <w:t>Zukauf nur für die Restlücke</w:t>
            </w:r>
          </w:p>
        </w:tc>
        <w:tc>
          <w:tcPr>
            <w:tcW w:w="1280" w:type="dxa"/>
          </w:tcPr>
          <w:p w:rsidR="00020C76" w:rsidRDefault="00C22111">
            <w:pPr>
              <w:pStyle w:val="Compact"/>
            </w:pPr>
            <w:r>
              <w:t>30 € je GB und Monat</w:t>
            </w:r>
          </w:p>
        </w:tc>
        <w:tc>
          <w:tcPr>
            <w:tcW w:w="4861" w:type="dxa"/>
          </w:tcPr>
          <w:p w:rsidR="00020C76" w:rsidRDefault="00C22111">
            <w:pPr>
              <w:pStyle w:val="Compact"/>
            </w:pPr>
            <w:r>
              <w:t>Laufzeit und monatliche Anpassbar</w:t>
            </w:r>
            <w:r>
              <w:t>keit vorab klären.</w:t>
            </w:r>
          </w:p>
        </w:tc>
      </w:tr>
    </w:tbl>
    <w:p w:rsidR="00020C76" w:rsidRDefault="00C22111">
      <w:pPr>
        <w:pStyle w:val="Titre3"/>
      </w:pPr>
      <w:bookmarkStart w:id="79" w:name="offene-punkte"/>
      <w:bookmarkStart w:id="80" w:name="_Toc243475997"/>
      <w:bookmarkEnd w:id="77"/>
      <w:r>
        <w:lastRenderedPageBreak/>
        <w:t>Offene Punkte</w:t>
      </w:r>
      <w:bookmarkEnd w:id="80"/>
    </w:p>
    <w:p w:rsidR="00020C76" w:rsidRDefault="00C22111">
      <w:pPr>
        <w:pStyle w:val="Compact"/>
        <w:numPr>
          <w:ilvl w:val="0"/>
          <w:numId w:val="31"/>
        </w:numPr>
      </w:pPr>
      <w:r>
        <w:t>Bringt Team Member Kapazität mit? Zählen Attach-Lizenzen zusätzlich?</w:t>
      </w:r>
    </w:p>
    <w:p w:rsidR="00020C76" w:rsidRDefault="00C22111">
      <w:pPr>
        <w:pStyle w:val="Compact"/>
        <w:numPr>
          <w:ilvl w:val="0"/>
          <w:numId w:val="31"/>
        </w:numPr>
      </w:pPr>
      <w:r>
        <w:t>Dürfen die 45-Tage-Fenster direkt aufeinander folgen?</w:t>
      </w:r>
    </w:p>
    <w:p w:rsidR="00020C76" w:rsidRDefault="00C22111">
      <w:pPr>
        <w:pStyle w:val="Compact"/>
        <w:numPr>
          <w:ilvl w:val="0"/>
          <w:numId w:val="31"/>
        </w:numPr>
      </w:pPr>
      <w:r>
        <w:t>Woraus bestehen die 24 GB, die keiner Umgebung zugeordnet sind?</w:t>
      </w:r>
    </w:p>
    <w:p w:rsidR="00020C76" w:rsidRDefault="00C22111">
      <w:pPr>
        <w:pStyle w:val="Compact"/>
        <w:numPr>
          <w:ilvl w:val="0"/>
          <w:numId w:val="31"/>
        </w:numPr>
      </w:pPr>
      <w:r>
        <w:t xml:space="preserve">Wird die Migrationssandbox vor der </w:t>
      </w:r>
      <w:r>
        <w:t>Generalprobe erneut aus Prod kopiert?</w:t>
      </w:r>
    </w:p>
    <w:p w:rsidR="00020C76" w:rsidRDefault="00C22111">
      <w:pPr>
        <w:pStyle w:val="Compact"/>
        <w:numPr>
          <w:ilvl w:val="0"/>
          <w:numId w:val="31"/>
        </w:numPr>
      </w:pPr>
      <w:r>
        <w:t>Wird PRJ zusammen mit der Migrationssandbox gelöscht?</w:t>
      </w:r>
    </w:p>
    <w:p w:rsidR="00020C76" w:rsidRDefault="00C22111">
      <w:pPr>
        <w:pStyle w:val="Compact"/>
        <w:numPr>
          <w:ilvl w:val="0"/>
          <w:numId w:val="31"/>
        </w:numPr>
      </w:pPr>
      <w:r>
        <w:t>Was sperrt Microsoft, wenn das Kontingent ohne Option überschritten ist, etwa das Kopieren und Wiederherstellen von Umgebungen?</w:t>
      </w:r>
    </w:p>
    <w:p w:rsidR="00020C76" w:rsidRDefault="00C22111">
      <w:pPr>
        <w:pStyle w:val="Compact"/>
        <w:numPr>
          <w:ilvl w:val="0"/>
          <w:numId w:val="31"/>
        </w:numPr>
      </w:pPr>
      <w:r>
        <w:t>Lässt sich Kapazität monatlich zukaufen und wieder reduzieren?</w:t>
      </w:r>
    </w:p>
    <w:p w:rsidR="00020C76" w:rsidRDefault="00C22111">
      <w:r>
        <w:pict>
          <v:rect id="_x0000_i1034" style="width:0;height:1.5pt" o:hralign="center" o:hrstd="t" o:hr="t"/>
        </w:pict>
      </w:r>
    </w:p>
    <w:p w:rsidR="00020C76" w:rsidRDefault="00C22111">
      <w:pPr>
        <w:pStyle w:val="Titre1"/>
      </w:pPr>
      <w:bookmarkStart w:id="81" w:name="nächste-schritte-bis-zum-go-live"/>
      <w:bookmarkStart w:id="82" w:name="_Toc243475998"/>
      <w:bookmarkEnd w:id="67"/>
      <w:bookmarkEnd w:id="79"/>
      <w:r>
        <w:t>11. Nächste Schritte bis zum Go-Live</w:t>
      </w:r>
      <w:bookmarkEnd w:id="82"/>
    </w:p>
    <w:p w:rsidR="00020C76" w:rsidRDefault="00C22111">
      <w:pPr>
        <w:pStyle w:val="FirstParagraph"/>
      </w:pPr>
      <w:r>
        <w:t>Stand 20.10.2026. Die Termine der Fenster und der Löschung kommen aus der Prognose in Kapitel 10.</w:t>
      </w:r>
    </w:p>
    <w:p w:rsidR="00020C76" w:rsidRDefault="00C22111">
      <w:pPr>
        <w:pStyle w:val="TableCaption"/>
      </w:pPr>
      <w:r>
        <w:t>Nächste Schritte bis zum Go-Live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Nächste Schritte bis zum Go-Live"/>
      </w:tblPr>
      <w:tblGrid>
        <w:gridCol w:w="542"/>
        <w:gridCol w:w="4314"/>
        <w:gridCol w:w="4766"/>
      </w:tblGrid>
      <w:tr w:rsidR="00020C76" w:rsidTr="00020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6" w:type="dxa"/>
          </w:tcPr>
          <w:p w:rsidR="00020C76" w:rsidRDefault="00C22111">
            <w:pPr>
              <w:pStyle w:val="Compact"/>
            </w:pPr>
            <w:r>
              <w:t>Zeitraum</w:t>
            </w:r>
          </w:p>
        </w:tc>
        <w:tc>
          <w:tcPr>
            <w:tcW w:w="3550" w:type="dxa"/>
          </w:tcPr>
          <w:p w:rsidR="00020C76" w:rsidRDefault="00C22111">
            <w:pPr>
              <w:pStyle w:val="Compact"/>
            </w:pPr>
            <w:r>
              <w:t>Lizenz und Rol</w:t>
            </w:r>
            <w:r>
              <w:t>len</w:t>
            </w:r>
          </w:p>
        </w:tc>
        <w:tc>
          <w:tcPr>
            <w:tcW w:w="3922" w:type="dxa"/>
          </w:tcPr>
          <w:p w:rsidR="00020C76" w:rsidRDefault="00C22111">
            <w:pPr>
              <w:pStyle w:val="Compact"/>
            </w:pPr>
            <w:r>
              <w:t>Kapazität</w:t>
            </w:r>
          </w:p>
        </w:tc>
      </w:tr>
      <w:tr w:rsidR="00020C76">
        <w:tc>
          <w:tcPr>
            <w:tcW w:w="446" w:type="dxa"/>
          </w:tcPr>
          <w:p w:rsidR="00020C76" w:rsidRDefault="00C22111">
            <w:pPr>
              <w:pStyle w:val="Compact"/>
            </w:pPr>
            <w:r>
              <w:t>Bis Mitte November 2026</w:t>
            </w:r>
          </w:p>
        </w:tc>
        <w:tc>
          <w:tcPr>
            <w:tcW w:w="3550" w:type="dxa"/>
          </w:tcPr>
          <w:p w:rsidR="00020C76" w:rsidRDefault="00C22111">
            <w:pPr>
              <w:pStyle w:val="Compact"/>
            </w:pPr>
            <w:r>
              <w:t>Strategiepapier (D01) abstimmen. Mengengerüst prüfen: bestehende Benutzer unter den 185, Aufteilung der Gruppe der 30. Pilot Innendienst starten: vollständiger Rollensatz eines Mitarbeiters.</w:t>
            </w:r>
          </w:p>
        </w:tc>
        <w:tc>
          <w:tcPr>
            <w:tcW w:w="3922" w:type="dxa"/>
          </w:tcPr>
          <w:p w:rsidR="00020C76" w:rsidRDefault="00C22111">
            <w:pPr>
              <w:pStyle w:val="Compact"/>
            </w:pPr>
            <w:r>
              <w:t xml:space="preserve">PRJ und Migrationssandbox </w:t>
            </w:r>
            <w:r>
              <w:t>mit den Bereinigungsjobs von INT betreiben; prüfen, ob die Migrationssandbox transaktionslos sein kann. Offene Punkte aus Kapitel 10 mit Microsoft klären. Option bis Jahresende nutzen.</w:t>
            </w:r>
          </w:p>
        </w:tc>
      </w:tr>
      <w:tr w:rsidR="00020C76">
        <w:tc>
          <w:tcPr>
            <w:tcW w:w="446" w:type="dxa"/>
          </w:tcPr>
          <w:p w:rsidR="00020C76" w:rsidRDefault="00C22111">
            <w:pPr>
              <w:pStyle w:val="Compact"/>
            </w:pPr>
            <w:r>
              <w:t>Dezember 2026</w:t>
            </w:r>
          </w:p>
        </w:tc>
        <w:tc>
          <w:tcPr>
            <w:tcW w:w="3550" w:type="dxa"/>
          </w:tcPr>
          <w:p w:rsidR="00020C76" w:rsidRDefault="00C22111">
            <w:pPr>
              <w:pStyle w:val="Compact"/>
            </w:pPr>
            <w:r>
              <w:t>Pilot Lager/Logistik starten. Tätigkeiten der Servicetec</w:t>
            </w:r>
            <w:r>
              <w:t>hniker klären. Preise gegen das Angebot prüfen.</w:t>
            </w:r>
          </w:p>
        </w:tc>
        <w:tc>
          <w:tcPr>
            <w:tcW w:w="3922" w:type="dxa"/>
          </w:tcPr>
          <w:p w:rsidR="00020C76" w:rsidRDefault="00C22111">
            <w:pPr>
              <w:pStyle w:val="Compact"/>
            </w:pPr>
            <w:r>
              <w:t>Tabellengrößen von INT und PRJ vergleichen; Aufbewahrungsfristen in Prod je Job prüfen. Entscheiden, wie die Januar-Lücke gedeckt wird.</w:t>
            </w:r>
          </w:p>
        </w:tc>
      </w:tr>
      <w:tr w:rsidR="00020C76">
        <w:tc>
          <w:tcPr>
            <w:tcW w:w="446" w:type="dxa"/>
          </w:tcPr>
          <w:p w:rsidR="00020C76" w:rsidRDefault="00C22111">
            <w:pPr>
              <w:pStyle w:val="Compact"/>
            </w:pPr>
            <w:r>
              <w:t>Januar 2027</w:t>
            </w:r>
          </w:p>
        </w:tc>
        <w:tc>
          <w:tcPr>
            <w:tcW w:w="3550" w:type="dxa"/>
          </w:tcPr>
          <w:p w:rsidR="00020C76" w:rsidRDefault="00C22111">
            <w:pPr>
              <w:pStyle w:val="Compact"/>
            </w:pPr>
            <w:r>
              <w:t xml:space="preserve">Referenzrollen je Gruppe mit </w:t>
            </w:r>
            <w:r>
              <w:rPr>
                <w:rStyle w:val="VerbatimChar"/>
              </w:rPr>
              <w:t>report_role_license()</w:t>
            </w:r>
            <w:r>
              <w:t xml:space="preserve"> </w:t>
            </w:r>
            <w:r>
              <w:t>auswerten; Zielrollen in PRJ bauen.</w:t>
            </w:r>
          </w:p>
        </w:tc>
        <w:tc>
          <w:tcPr>
            <w:tcW w:w="3922" w:type="dxa"/>
          </w:tcPr>
          <w:p w:rsidR="00020C76" w:rsidRDefault="00C22111">
            <w:pPr>
              <w:pStyle w:val="Compact"/>
            </w:pPr>
            <w:r>
              <w:t>Januar-Lücke decken (Maßnahmen oder Zukauf). Fenster 1 ab 31.01.2027.</w:t>
            </w:r>
          </w:p>
        </w:tc>
      </w:tr>
      <w:tr w:rsidR="00020C76">
        <w:tc>
          <w:tcPr>
            <w:tcW w:w="446" w:type="dxa"/>
          </w:tcPr>
          <w:p w:rsidR="00020C76" w:rsidRDefault="00C22111">
            <w:pPr>
              <w:pStyle w:val="Compact"/>
            </w:pPr>
            <w:r>
              <w:lastRenderedPageBreak/>
              <w:t>Februar 2027</w:t>
            </w:r>
          </w:p>
        </w:tc>
        <w:tc>
          <w:tcPr>
            <w:tcW w:w="3550" w:type="dxa"/>
          </w:tcPr>
          <w:p w:rsidR="00020C76" w:rsidRDefault="00C22111">
            <w:pPr>
              <w:pStyle w:val="Compact"/>
            </w:pPr>
            <w:r>
              <w:t>Workshops W1 bis W4 je Bereich; SoD-Prüfung.</w:t>
            </w:r>
          </w:p>
        </w:tc>
        <w:tc>
          <w:tcPr>
            <w:tcW w:w="3922" w:type="dxa"/>
          </w:tcPr>
          <w:p w:rsidR="00020C76" w:rsidRDefault="00C22111">
            <w:pPr>
              <w:pStyle w:val="Compact"/>
            </w:pPr>
            <w:r>
              <w:t>Prognose monatlich gegen Ist prüfen.</w:t>
            </w:r>
          </w:p>
        </w:tc>
      </w:tr>
      <w:tr w:rsidR="00020C76">
        <w:tc>
          <w:tcPr>
            <w:tcW w:w="446" w:type="dxa"/>
          </w:tcPr>
          <w:p w:rsidR="00020C76" w:rsidRDefault="00C22111">
            <w:pPr>
              <w:pStyle w:val="Compact"/>
            </w:pPr>
            <w:r>
              <w:t>März 2027</w:t>
            </w:r>
          </w:p>
        </w:tc>
        <w:tc>
          <w:tcPr>
            <w:tcW w:w="3550" w:type="dxa"/>
          </w:tcPr>
          <w:p w:rsidR="00020C76" w:rsidRDefault="00C22111">
            <w:pPr>
              <w:pStyle w:val="Compact"/>
            </w:pPr>
            <w:r>
              <w:t>Lizenzziel je Rolle festlegen und gegen die Zusammenfassung der Lizenznutzung in D365 prüfen.</w:t>
            </w:r>
          </w:p>
        </w:tc>
        <w:tc>
          <w:tcPr>
            <w:tcW w:w="3922" w:type="dxa"/>
          </w:tcPr>
          <w:p w:rsidR="00020C76" w:rsidRDefault="00C22111">
            <w:pPr>
              <w:pStyle w:val="Compact"/>
            </w:pPr>
            <w:r>
              <w:t>Fenster 2 ab 17.03.2027.</w:t>
            </w:r>
          </w:p>
        </w:tc>
      </w:tr>
      <w:tr w:rsidR="00020C76">
        <w:tc>
          <w:tcPr>
            <w:tcW w:w="446" w:type="dxa"/>
          </w:tcPr>
          <w:p w:rsidR="00020C76" w:rsidRDefault="00C22111">
            <w:pPr>
              <w:pStyle w:val="Compact"/>
            </w:pPr>
            <w:r>
              <w:t>April bis Mai 2027</w:t>
            </w:r>
          </w:p>
        </w:tc>
        <w:tc>
          <w:tcPr>
            <w:tcW w:w="3550" w:type="dxa"/>
          </w:tcPr>
          <w:p w:rsidR="00020C76" w:rsidRDefault="00C22111">
            <w:pPr>
              <w:pStyle w:val="Compact"/>
            </w:pPr>
            <w:r>
              <w:t>UAT mit Rollen-Testbenutzern; Lizenzverifikation als Testfall. Lizenzen so bestellen, dass sie zum Go-Live aktiv sind</w:t>
            </w:r>
            <w:r>
              <w:t>.</w:t>
            </w:r>
          </w:p>
        </w:tc>
        <w:tc>
          <w:tcPr>
            <w:tcW w:w="3922" w:type="dxa"/>
          </w:tcPr>
          <w:p w:rsidR="00020C76" w:rsidRDefault="00C22111">
            <w:pPr>
              <w:pStyle w:val="Compact"/>
            </w:pPr>
            <w:r>
              <w:t>Fenster 3 ab 01.05.2027; es endet am 14.06.2027.</w:t>
            </w:r>
          </w:p>
        </w:tc>
      </w:tr>
      <w:tr w:rsidR="00020C76">
        <w:tc>
          <w:tcPr>
            <w:tcW w:w="446" w:type="dxa"/>
          </w:tcPr>
          <w:p w:rsidR="00020C76" w:rsidRDefault="00C22111">
            <w:pPr>
              <w:pStyle w:val="Compact"/>
            </w:pPr>
            <w:r>
              <w:t>Juni 2027</w:t>
            </w:r>
          </w:p>
        </w:tc>
        <w:tc>
          <w:tcPr>
            <w:tcW w:w="3550" w:type="dxa"/>
          </w:tcPr>
          <w:p w:rsidR="00020C76" w:rsidRDefault="00C22111">
            <w:pPr>
              <w:pStyle w:val="Compact"/>
            </w:pPr>
            <w:r>
              <w:t>Go-Live am 15.06.2027; Rollenzuweisungen gegen den Lizenzbericht prüfen.</w:t>
            </w:r>
          </w:p>
        </w:tc>
        <w:tc>
          <w:tcPr>
            <w:tcW w:w="3922" w:type="dxa"/>
          </w:tcPr>
          <w:p w:rsidR="00020C76" w:rsidRDefault="00C22111">
            <w:pPr>
              <w:pStyle w:val="Compact"/>
            </w:pPr>
            <w:r>
              <w:t>Die neuen Lizenzen bringen 465 GB.</w:t>
            </w:r>
          </w:p>
        </w:tc>
      </w:tr>
      <w:tr w:rsidR="00020C76">
        <w:tc>
          <w:tcPr>
            <w:tcW w:w="446" w:type="dxa"/>
          </w:tcPr>
          <w:p w:rsidR="00020C76" w:rsidRDefault="00C22111">
            <w:pPr>
              <w:pStyle w:val="Compact"/>
            </w:pPr>
            <w:r>
              <w:t>Juli 2027</w:t>
            </w:r>
          </w:p>
        </w:tc>
        <w:tc>
          <w:tcPr>
            <w:tcW w:w="3550" w:type="dxa"/>
          </w:tcPr>
          <w:p w:rsidR="00020C76" w:rsidRDefault="00C22111">
            <w:pPr>
              <w:pStyle w:val="Compact"/>
            </w:pPr>
            <w:r>
              <w:t>Hypercare; Abweichungen zwischen geplanter und ausgelöster Lizenz bereinige</w:t>
            </w:r>
            <w:r>
              <w:t>n.</w:t>
            </w:r>
          </w:p>
        </w:tc>
        <w:tc>
          <w:tcPr>
            <w:tcW w:w="3922" w:type="dxa"/>
          </w:tcPr>
          <w:p w:rsidR="00020C76" w:rsidRDefault="00C22111">
            <w:pPr>
              <w:pStyle w:val="Compact"/>
            </w:pPr>
            <w:r>
              <w:t>PRJ und Migrationssandbox am 15.07.2027 löschen.</w:t>
            </w:r>
          </w:p>
        </w:tc>
      </w:tr>
      <w:tr w:rsidR="00020C76">
        <w:tc>
          <w:tcPr>
            <w:tcW w:w="446" w:type="dxa"/>
          </w:tcPr>
          <w:p w:rsidR="00020C76" w:rsidRDefault="00C22111">
            <w:pPr>
              <w:pStyle w:val="Compact"/>
            </w:pPr>
            <w:r>
              <w:t>Ab August 2027</w:t>
            </w:r>
          </w:p>
        </w:tc>
        <w:tc>
          <w:tcPr>
            <w:tcW w:w="3550" w:type="dxa"/>
          </w:tcPr>
          <w:p w:rsidR="00020C76" w:rsidRDefault="00C22111">
            <w:pPr>
              <w:pStyle w:val="Compact"/>
            </w:pPr>
            <w:r>
              <w:t>Joiner-Mover-Leaver-Prozess und Rezertifizierung (Phase 7).</w:t>
            </w:r>
          </w:p>
        </w:tc>
        <w:tc>
          <w:tcPr>
            <w:tcW w:w="3922" w:type="dxa"/>
          </w:tcPr>
          <w:p w:rsidR="00020C76" w:rsidRDefault="00C22111">
            <w:pPr>
              <w:pStyle w:val="Compact"/>
            </w:pPr>
            <w:r>
              <w:t>Prognose monatlich gegen Ist prüfen.</w:t>
            </w:r>
          </w:p>
        </w:tc>
      </w:tr>
      <w:bookmarkEnd w:id="81"/>
    </w:tbl>
    <w:p w:rsidR="00C22111" w:rsidRDefault="00C22111"/>
    <w:sectPr w:rsidR="00C22111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E7E68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B82C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1C86A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020C76"/>
    <w:rsid w:val="00020C76"/>
    <w:rsid w:val="00C22111"/>
    <w:rsid w:val="00FF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5C9C544-CFE3-4B42-8F42-FBE032326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M1">
    <w:name w:val="toc 1"/>
    <w:basedOn w:val="Normal"/>
    <w:next w:val="Normal"/>
    <w:autoRedefine/>
    <w:uiPriority w:val="39"/>
    <w:unhideWhenUsed/>
    <w:rsid w:val="00FF1082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FF108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5659</Words>
  <Characters>35655</Characters>
  <Application>Microsoft Office Word</Application>
  <DocSecurity>0</DocSecurity>
  <Lines>297</Lines>
  <Paragraphs>82</Paragraphs>
  <ScaleCrop>false</ScaleCrop>
  <Company/>
  <LinksUpToDate>false</LinksUpToDate>
  <CharactersWithSpaces>41232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D365FO Berechtigungskonzept &amp; Lizenzoptimierungs-Strategie</dc:title>
  <dc:creator>Lead D365 Security &amp; Licensing Architect</dc:creator>
  <cp:keywords/>
  <cp:lastModifiedBy>Cedric</cp:lastModifiedBy>
  <cp:revision>3</cp:revision>
  <dcterms:created xsi:type="dcterms:W3CDTF">2026-10-21T09:30:00Z</dcterms:created>
  <dcterms:modified xsi:type="dcterms:W3CDTF">2026-10-21T09:52:00Z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2026-10-21</vt:lpwstr>
  </property>
  <property fmtid="{D5CDD505-2E9C-101B-9397-08002B2CF9AE}" pid="4" name="output">
    <vt:lpwstr/>
  </property>
  <property fmtid="{D5CDD505-2E9C-101B-9397-08002B2CF9AE}" pid="5" name="subtitle">
    <vt:lpwstr>Strategisches Vorgehen, Rollendesign, Deliverables und Governance für Rollout &amp; Bestand</vt:lpwstr>
  </property>
</Properties>
</file>