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B9D40" w14:textId="77777777" w:rsidR="00666EB6" w:rsidRPr="00666EB6" w:rsidRDefault="00666EB6" w:rsidP="00666EB6">
      <w:pPr>
        <w:spacing w:after="100" w:afterAutospacing="1" w:line="240" w:lineRule="auto"/>
        <w:outlineLvl w:val="0"/>
        <w:rPr>
          <w:rFonts w:ascii="Calibri" w:eastAsia="Times New Roman" w:hAnsi="Calibri" w:cs="Calibri"/>
          <w:b/>
          <w:bCs/>
          <w:color w:val="000000" w:themeColor="text1"/>
          <w:kern w:val="36"/>
          <w:sz w:val="48"/>
          <w:szCs w:val="48"/>
          <w:lang w:eastAsia="en-GB"/>
          <w14:ligatures w14:val="none"/>
        </w:rPr>
      </w:pPr>
      <w:r w:rsidRPr="00666EB6">
        <w:rPr>
          <w:rFonts w:ascii="Calibri" w:eastAsia="Times New Roman" w:hAnsi="Calibri" w:cs="Calibri"/>
          <w:b/>
          <w:bCs/>
          <w:color w:val="000000" w:themeColor="text1"/>
          <w:kern w:val="36"/>
          <w:sz w:val="48"/>
          <w:szCs w:val="48"/>
          <w:lang w:eastAsia="en-GB"/>
          <w14:ligatures w14:val="none"/>
        </w:rPr>
        <w:t>Comprehensive Engineering Strategy for an Agentic Software Product Lifecycle Management Framework in Contract Intelligence Systems</w:t>
      </w:r>
    </w:p>
    <w:p w14:paraId="48CC858E"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evolution of enterprise software development has reached a critical inflection point where traditional, manually intensive processes are no longer compatible with the required velocity of modern product cycles. For a modular Contract Management Product built on a robust stack of PostgreSQL, Java SpringBoot, Apigee, NodeJS, ReactJS, and Drools, the implementation of a Software Product Lifecycle Management (SPLM) framework is not merely an operational upgrade but a fundamental architectural transformation. By leveraging agentic AI workflows and the Model Context Protocol (MCP), the proposed framework aims to redefine efficiency, compressing a 24-person team’s output into a lean, highly specialized 5-person unit while simultaneously enhancing quality and compliance.</w:t>
      </w:r>
    </w:p>
    <w:p w14:paraId="692C623D" w14:textId="77777777" w:rsidR="00666EB6" w:rsidRPr="00666EB6" w:rsidRDefault="00666EB6" w:rsidP="00666EB6">
      <w:pPr>
        <w:spacing w:before="100" w:beforeAutospacing="1" w:after="100" w:afterAutospacing="1" w:line="240" w:lineRule="auto"/>
        <w:outlineLvl w:val="1"/>
        <w:rPr>
          <w:rFonts w:ascii="Calibri" w:eastAsia="Times New Roman" w:hAnsi="Calibri" w:cs="Calibri"/>
          <w:b/>
          <w:bCs/>
          <w:color w:val="000000" w:themeColor="text1"/>
          <w:kern w:val="0"/>
          <w:sz w:val="36"/>
          <w:szCs w:val="36"/>
          <w:lang w:eastAsia="en-GB"/>
          <w14:ligatures w14:val="none"/>
        </w:rPr>
      </w:pPr>
      <w:r w:rsidRPr="00666EB6">
        <w:rPr>
          <w:rFonts w:ascii="Calibri" w:eastAsia="Times New Roman" w:hAnsi="Calibri" w:cs="Calibri"/>
          <w:b/>
          <w:bCs/>
          <w:color w:val="000000" w:themeColor="text1"/>
          <w:kern w:val="0"/>
          <w:sz w:val="36"/>
          <w:szCs w:val="36"/>
          <w:lang w:eastAsia="en-GB"/>
          <w14:ligatures w14:val="none"/>
        </w:rPr>
        <w:t>The Domain of Modular Contract Management and Architectural Prerequisites</w:t>
      </w:r>
    </w:p>
    <w:p w14:paraId="66C1AD34"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Contract management is a high-stakes domain where the intersection of legal precision and technological agility is paramount. A modular architecture using Java SpringBoot for backend services and ReactJS for the user interface provides the necessary decoupling to scale discrete business functions, such as clause extraction, obligation tracking, and risk assessment. PostgreSQL serves as the primary relational persistence layer, ensuring acid-compliant transactions for legal records, while NodeJS facilitates high-concurrency middleware operations. Apigee, as a sophisticated API gateway, provides the governance and security layer required for exposing these modules to external agents and internal services.</w:t>
      </w:r>
    </w:p>
    <w:p w14:paraId="2F1E8513"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In this context, the Software Product Lifecycle Management (SPLM) framework functions as the "meta-layer" that governs how this modular product is conceived, documented, coded, tested, and deployed. The user's vision for an SPLM environment based on NextJS, PostgreSQL, and the Syncfusion DOCX editor, integrated via MCP and GitHub Copilot, creates a unified "Developer Experience" (DevEx) hub that serves as the single source of truth for all product lifecycle artifacts. This environment must move beyond static documentation, transforming every functional specification and technical diagram into an actionable, machine-readable instruction set for autonomous AI agents.</w:t>
      </w:r>
    </w:p>
    <w:p w14:paraId="40E3F3EF" w14:textId="77777777" w:rsidR="00666EB6" w:rsidRPr="00666EB6" w:rsidRDefault="00666EB6" w:rsidP="00666EB6">
      <w:pPr>
        <w:spacing w:before="100" w:beforeAutospacing="1" w:after="100" w:afterAutospacing="1" w:line="240" w:lineRule="auto"/>
        <w:outlineLvl w:val="1"/>
        <w:rPr>
          <w:rFonts w:ascii="Calibri" w:eastAsia="Times New Roman" w:hAnsi="Calibri" w:cs="Calibri"/>
          <w:b/>
          <w:bCs/>
          <w:color w:val="000000" w:themeColor="text1"/>
          <w:kern w:val="0"/>
          <w:sz w:val="36"/>
          <w:szCs w:val="36"/>
          <w:lang w:eastAsia="en-GB"/>
          <w14:ligatures w14:val="none"/>
        </w:rPr>
      </w:pPr>
      <w:r w:rsidRPr="00666EB6">
        <w:rPr>
          <w:rFonts w:ascii="Calibri" w:eastAsia="Times New Roman" w:hAnsi="Calibri" w:cs="Calibri"/>
          <w:b/>
          <w:bCs/>
          <w:color w:val="000000" w:themeColor="text1"/>
          <w:kern w:val="0"/>
          <w:sz w:val="36"/>
          <w:szCs w:val="36"/>
          <w:lang w:eastAsia="en-GB"/>
          <w14:ligatures w14:val="none"/>
        </w:rPr>
        <w:t>Architectural Blueprints of the SPLM Hub: NextJS, Syncfusion, and PostgreSQL</w:t>
      </w:r>
    </w:p>
    <w:p w14:paraId="0411DCFD"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lastRenderedPageBreak/>
        <w:t>The choice of NextJS 16+ as the foundation for the SPLM environment is strategic, particularly given its native support for the Model Context Protocol. This allows the SPLM portal to expose its internal state—such as build metrics, runtime errors, and documentation metadata—directly to AI agents. By installing the </w:t>
      </w:r>
      <w:r w:rsidRPr="00666EB6">
        <w:rPr>
          <w:rFonts w:ascii="Calibri" w:eastAsia="Times New Roman" w:hAnsi="Calibri" w:cs="Calibri"/>
          <w:color w:val="000000" w:themeColor="text1"/>
          <w:kern w:val="0"/>
          <w:sz w:val="20"/>
          <w:szCs w:val="20"/>
          <w:lang w:eastAsia="en-GB"/>
          <w14:ligatures w14:val="none"/>
        </w:rPr>
        <w:t>next-devtools-mcp</w:t>
      </w:r>
      <w:r w:rsidRPr="00666EB6">
        <w:rPr>
          <w:rFonts w:ascii="Calibri" w:eastAsia="Times New Roman" w:hAnsi="Calibri" w:cs="Calibri"/>
          <w:color w:val="000000" w:themeColor="text1"/>
          <w:kern w:val="0"/>
          <w:lang w:eastAsia="en-GB"/>
          <w14:ligatures w14:val="none"/>
        </w:rPr>
        <w:t> package, the framework enables coding agents to discover running NextJS instances and provide real-time diagnostics, a capability that is essential for a team seeking to eliminate middle management and rely on high-autonomy developers.   </w:t>
      </w:r>
    </w:p>
    <w:p w14:paraId="3C577C20"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integration of the Syncfusion DOCX editor into this NextJS hub provides a familiar, Microsoft Word-like interface for managing complex legal and technical documentation. However, unlike traditional document editors, the Syncfusion SDK allows for "Documentation-as-Code" workflows. Documents are stored in the Syncfusion Document Text (SFDT) format, an optimized JSON structure that allows AI agents to parse, modify, and synchronize content programmatically.  </w:t>
      </w:r>
    </w:p>
    <w:tbl>
      <w:tblPr>
        <w:tblW w:w="9980" w:type="dxa"/>
        <w:tblCellSpacing w:w="15" w:type="dxa"/>
        <w:tblCellMar>
          <w:top w:w="15" w:type="dxa"/>
          <w:left w:w="15" w:type="dxa"/>
          <w:bottom w:w="15" w:type="dxa"/>
          <w:right w:w="15" w:type="dxa"/>
        </w:tblCellMar>
        <w:tblLook w:val="04A0" w:firstRow="1" w:lastRow="0" w:firstColumn="1" w:lastColumn="0" w:noHBand="0" w:noVBand="1"/>
      </w:tblPr>
      <w:tblGrid>
        <w:gridCol w:w="1852"/>
        <w:gridCol w:w="2900"/>
        <w:gridCol w:w="5228"/>
      </w:tblGrid>
      <w:tr w:rsidR="00666EB6" w:rsidRPr="00666EB6" w14:paraId="2CBD7C34" w14:textId="77777777" w:rsidTr="00666EB6">
        <w:trPr>
          <w:trHeight w:val="293"/>
          <w:tblHeader/>
          <w:tblCellSpacing w:w="15" w:type="dxa"/>
        </w:trPr>
        <w:tc>
          <w:tcPr>
            <w:tcW w:w="0" w:type="auto"/>
            <w:tcMar>
              <w:top w:w="120" w:type="dxa"/>
              <w:left w:w="180" w:type="dxa"/>
              <w:bottom w:w="120" w:type="dxa"/>
              <w:right w:w="180" w:type="dxa"/>
            </w:tcMar>
            <w:hideMark/>
          </w:tcPr>
          <w:p w14:paraId="0341A388"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Component</w:t>
            </w:r>
          </w:p>
        </w:tc>
        <w:tc>
          <w:tcPr>
            <w:tcW w:w="0" w:type="auto"/>
            <w:tcMar>
              <w:top w:w="120" w:type="dxa"/>
              <w:left w:w="180" w:type="dxa"/>
              <w:bottom w:w="120" w:type="dxa"/>
              <w:right w:w="180" w:type="dxa"/>
            </w:tcMar>
            <w:hideMark/>
          </w:tcPr>
          <w:p w14:paraId="082B4BF6"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Strategic Role in SPLM</w:t>
            </w:r>
          </w:p>
        </w:tc>
        <w:tc>
          <w:tcPr>
            <w:tcW w:w="0" w:type="auto"/>
            <w:tcMar>
              <w:top w:w="120" w:type="dxa"/>
              <w:left w:w="180" w:type="dxa"/>
              <w:bottom w:w="120" w:type="dxa"/>
              <w:right w:w="180" w:type="dxa"/>
            </w:tcMar>
            <w:hideMark/>
          </w:tcPr>
          <w:p w14:paraId="000DCEA7"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Technical Implementation</w:t>
            </w:r>
          </w:p>
        </w:tc>
      </w:tr>
      <w:tr w:rsidR="00666EB6" w:rsidRPr="00666EB6" w14:paraId="2B1A122B" w14:textId="77777777" w:rsidTr="00666EB6">
        <w:trPr>
          <w:trHeight w:val="305"/>
          <w:tblCellSpacing w:w="15" w:type="dxa"/>
        </w:trPr>
        <w:tc>
          <w:tcPr>
            <w:tcW w:w="0" w:type="auto"/>
            <w:tcMar>
              <w:top w:w="120" w:type="dxa"/>
              <w:left w:w="180" w:type="dxa"/>
              <w:bottom w:w="120" w:type="dxa"/>
              <w:right w:w="180" w:type="dxa"/>
            </w:tcMar>
            <w:hideMark/>
          </w:tcPr>
          <w:p w14:paraId="7C52B387"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NextJS 16</w:t>
            </w:r>
          </w:p>
        </w:tc>
        <w:tc>
          <w:tcPr>
            <w:tcW w:w="0" w:type="auto"/>
            <w:tcMar>
              <w:top w:w="120" w:type="dxa"/>
              <w:left w:w="180" w:type="dxa"/>
              <w:bottom w:w="120" w:type="dxa"/>
              <w:right w:w="180" w:type="dxa"/>
            </w:tcMar>
            <w:hideMark/>
          </w:tcPr>
          <w:p w14:paraId="0BBE446C"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Universal UI &amp; Agent Gateway</w:t>
            </w:r>
          </w:p>
        </w:tc>
        <w:tc>
          <w:tcPr>
            <w:tcW w:w="0" w:type="auto"/>
            <w:tcMar>
              <w:top w:w="120" w:type="dxa"/>
              <w:left w:w="180" w:type="dxa"/>
              <w:bottom w:w="120" w:type="dxa"/>
              <w:right w:w="180" w:type="dxa"/>
            </w:tcMar>
            <w:hideMark/>
          </w:tcPr>
          <w:p w14:paraId="1D5398D0"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Native MCP endpoint at </w:t>
            </w:r>
            <w:r w:rsidRPr="00666EB6">
              <w:rPr>
                <w:rFonts w:ascii="Calibri" w:eastAsia="Times New Roman" w:hAnsi="Calibri" w:cs="Calibri"/>
                <w:color w:val="000000" w:themeColor="text1"/>
                <w:kern w:val="0"/>
                <w:sz w:val="20"/>
                <w:szCs w:val="20"/>
                <w:lang w:eastAsia="en-GB"/>
                <w14:ligatures w14:val="none"/>
              </w:rPr>
              <w:t>/_next/mcp</w:t>
            </w:r>
            <w:r w:rsidRPr="00666EB6">
              <w:rPr>
                <w:rFonts w:ascii="Calibri" w:eastAsia="Times New Roman" w:hAnsi="Calibri" w:cs="Calibri"/>
                <w:color w:val="000000" w:themeColor="text1"/>
                <w:kern w:val="0"/>
                <w:lang w:eastAsia="en-GB"/>
                <w14:ligatures w14:val="none"/>
              </w:rPr>
              <w:t> for real-time diagnostics.</w:t>
            </w:r>
          </w:p>
        </w:tc>
      </w:tr>
      <w:tr w:rsidR="00666EB6" w:rsidRPr="00666EB6" w14:paraId="774F74E0" w14:textId="77777777" w:rsidTr="00666EB6">
        <w:trPr>
          <w:trHeight w:val="598"/>
          <w:tblCellSpacing w:w="15" w:type="dxa"/>
        </w:trPr>
        <w:tc>
          <w:tcPr>
            <w:tcW w:w="0" w:type="auto"/>
            <w:tcMar>
              <w:top w:w="120" w:type="dxa"/>
              <w:left w:w="180" w:type="dxa"/>
              <w:bottom w:w="120" w:type="dxa"/>
              <w:right w:w="180" w:type="dxa"/>
            </w:tcMar>
            <w:hideMark/>
          </w:tcPr>
          <w:p w14:paraId="2237D4B7"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Syncfusion DOCX</w:t>
            </w:r>
          </w:p>
        </w:tc>
        <w:tc>
          <w:tcPr>
            <w:tcW w:w="0" w:type="auto"/>
            <w:tcMar>
              <w:top w:w="120" w:type="dxa"/>
              <w:left w:w="180" w:type="dxa"/>
              <w:bottom w:w="120" w:type="dxa"/>
              <w:right w:w="180" w:type="dxa"/>
            </w:tcMar>
            <w:hideMark/>
          </w:tcPr>
          <w:p w14:paraId="52E822D5"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Document Authoring &amp; Spec Engine</w:t>
            </w:r>
          </w:p>
        </w:tc>
        <w:tc>
          <w:tcPr>
            <w:tcW w:w="0" w:type="auto"/>
            <w:tcMar>
              <w:top w:w="120" w:type="dxa"/>
              <w:left w:w="180" w:type="dxa"/>
              <w:bottom w:w="120" w:type="dxa"/>
              <w:right w:w="180" w:type="dxa"/>
            </w:tcMar>
            <w:hideMark/>
          </w:tcPr>
          <w:p w14:paraId="2E8D219E"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SFDT format for programmatic document manipulation and AI assistance.</w:t>
            </w:r>
          </w:p>
        </w:tc>
      </w:tr>
      <w:tr w:rsidR="00666EB6" w:rsidRPr="00666EB6" w14:paraId="040DC2C0" w14:textId="77777777" w:rsidTr="00666EB6">
        <w:trPr>
          <w:trHeight w:val="305"/>
          <w:tblCellSpacing w:w="15" w:type="dxa"/>
        </w:trPr>
        <w:tc>
          <w:tcPr>
            <w:tcW w:w="0" w:type="auto"/>
            <w:tcMar>
              <w:top w:w="120" w:type="dxa"/>
              <w:left w:w="180" w:type="dxa"/>
              <w:bottom w:w="120" w:type="dxa"/>
              <w:right w:w="180" w:type="dxa"/>
            </w:tcMar>
            <w:hideMark/>
          </w:tcPr>
          <w:p w14:paraId="3E43A458"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PostgreSQL</w:t>
            </w:r>
          </w:p>
        </w:tc>
        <w:tc>
          <w:tcPr>
            <w:tcW w:w="0" w:type="auto"/>
            <w:tcMar>
              <w:top w:w="120" w:type="dxa"/>
              <w:left w:w="180" w:type="dxa"/>
              <w:bottom w:w="120" w:type="dxa"/>
              <w:right w:w="180" w:type="dxa"/>
            </w:tcMar>
            <w:hideMark/>
          </w:tcPr>
          <w:p w14:paraId="44049E42"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Artifact &amp; Knowledge Persistence</w:t>
            </w:r>
          </w:p>
        </w:tc>
        <w:tc>
          <w:tcPr>
            <w:tcW w:w="0" w:type="auto"/>
            <w:tcMar>
              <w:top w:w="120" w:type="dxa"/>
              <w:left w:w="180" w:type="dxa"/>
              <w:bottom w:w="120" w:type="dxa"/>
              <w:right w:w="180" w:type="dxa"/>
            </w:tcMar>
            <w:hideMark/>
          </w:tcPr>
          <w:p w14:paraId="00381F19"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pgEdge MCP server for schema introspection and audit trails.</w:t>
            </w:r>
          </w:p>
        </w:tc>
      </w:tr>
      <w:tr w:rsidR="00666EB6" w:rsidRPr="00666EB6" w14:paraId="03A82B8D" w14:textId="77777777" w:rsidTr="00666EB6">
        <w:trPr>
          <w:trHeight w:val="598"/>
          <w:tblCellSpacing w:w="15" w:type="dxa"/>
        </w:trPr>
        <w:tc>
          <w:tcPr>
            <w:tcW w:w="0" w:type="auto"/>
            <w:tcMar>
              <w:top w:w="120" w:type="dxa"/>
              <w:left w:w="180" w:type="dxa"/>
              <w:bottom w:w="120" w:type="dxa"/>
              <w:right w:w="180" w:type="dxa"/>
            </w:tcMar>
            <w:hideMark/>
          </w:tcPr>
          <w:p w14:paraId="1EF4E9DD"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GitHub Copilot</w:t>
            </w:r>
          </w:p>
        </w:tc>
        <w:tc>
          <w:tcPr>
            <w:tcW w:w="0" w:type="auto"/>
            <w:tcMar>
              <w:top w:w="120" w:type="dxa"/>
              <w:left w:w="180" w:type="dxa"/>
              <w:bottom w:w="120" w:type="dxa"/>
              <w:right w:w="180" w:type="dxa"/>
            </w:tcMar>
            <w:hideMark/>
          </w:tcPr>
          <w:p w14:paraId="34BC8848"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Primary Engineering Agent</w:t>
            </w:r>
          </w:p>
        </w:tc>
        <w:tc>
          <w:tcPr>
            <w:tcW w:w="0" w:type="auto"/>
            <w:tcMar>
              <w:top w:w="120" w:type="dxa"/>
              <w:left w:w="180" w:type="dxa"/>
              <w:bottom w:w="120" w:type="dxa"/>
              <w:right w:w="180" w:type="dxa"/>
            </w:tcMar>
            <w:hideMark/>
          </w:tcPr>
          <w:p w14:paraId="3FC50045"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Custom extension for Azure DevOps and Azure resource management.</w:t>
            </w:r>
          </w:p>
        </w:tc>
      </w:tr>
    </w:tbl>
    <w:p w14:paraId="659B7F3C"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  </w:t>
      </w:r>
    </w:p>
    <w:p w14:paraId="196D17C9"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persistence layer for this SPLM hub utilizes PostgreSQL, which, when paired with the pgEdge Postgres MCP Server, becomes "agent-aware". This server doesn't just list tables; it provides full schema introspection, identifying primary keys, foreign keys, and column constraints, which allows an AI agent to reason about the data model rather than simply executing queries. This is vital for the "Value" objective, as agents can help optimize slow queries and recommend index improvements based on </w:t>
      </w:r>
      <w:r w:rsidRPr="00666EB6">
        <w:rPr>
          <w:rFonts w:ascii="Calibri" w:eastAsia="Times New Roman" w:hAnsi="Calibri" w:cs="Calibri"/>
          <w:color w:val="000000" w:themeColor="text1"/>
          <w:kern w:val="0"/>
          <w:sz w:val="20"/>
          <w:szCs w:val="20"/>
          <w:lang w:eastAsia="en-GB"/>
          <w14:ligatures w14:val="none"/>
        </w:rPr>
        <w:t>pg_stat_statements</w:t>
      </w:r>
      <w:r w:rsidRPr="00666EB6">
        <w:rPr>
          <w:rFonts w:ascii="Calibri" w:eastAsia="Times New Roman" w:hAnsi="Calibri" w:cs="Calibri"/>
          <w:color w:val="000000" w:themeColor="text1"/>
          <w:kern w:val="0"/>
          <w:lang w:eastAsia="en-GB"/>
          <w14:ligatures w14:val="none"/>
        </w:rPr>
        <w:t> data.   </w:t>
      </w:r>
    </w:p>
    <w:p w14:paraId="09363E95" w14:textId="77777777" w:rsidR="00666EB6" w:rsidRPr="00666EB6" w:rsidRDefault="00666EB6" w:rsidP="00666EB6">
      <w:pPr>
        <w:spacing w:before="100" w:beforeAutospacing="1" w:after="100" w:afterAutospacing="1" w:line="240" w:lineRule="auto"/>
        <w:outlineLvl w:val="1"/>
        <w:rPr>
          <w:rFonts w:ascii="Calibri" w:eastAsia="Times New Roman" w:hAnsi="Calibri" w:cs="Calibri"/>
          <w:b/>
          <w:bCs/>
          <w:color w:val="000000" w:themeColor="text1"/>
          <w:kern w:val="0"/>
          <w:sz w:val="36"/>
          <w:szCs w:val="36"/>
          <w:lang w:eastAsia="en-GB"/>
          <w14:ligatures w14:val="none"/>
        </w:rPr>
      </w:pPr>
      <w:r w:rsidRPr="00666EB6">
        <w:rPr>
          <w:rFonts w:ascii="Calibri" w:eastAsia="Times New Roman" w:hAnsi="Calibri" w:cs="Calibri"/>
          <w:b/>
          <w:bCs/>
          <w:color w:val="000000" w:themeColor="text1"/>
          <w:kern w:val="0"/>
          <w:sz w:val="36"/>
          <w:szCs w:val="36"/>
          <w:lang w:eastAsia="en-GB"/>
          <w14:ligatures w14:val="none"/>
        </w:rPr>
        <w:t>The Model Context Protocol (MCP) as a Lifecycle Orchestrator</w:t>
      </w:r>
    </w:p>
    <w:p w14:paraId="010B9554"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Model Context Protocol (MCP) acts as the connective tissue of the entire framework, solving the fragmentation problem that traditionally plagues the software lifecycle. Instead of building bespoke integrations for every tool in the modular contract management stack, the team implements MCP once to unlock an entire ecosystem of agentic capabilities. MCP provides a structured, secure, and OS-agnostic way to connect AI agents to external tools, databases, and vendor systems.   </w:t>
      </w:r>
    </w:p>
    <w:p w14:paraId="346C57A9"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lastRenderedPageBreak/>
        <w:t>For the Contract Management Product, MCP servers serve as data gateways that expose specific resources and tools to AI applications like Claude Desktop or Visual Studio Code. For example, the Azure DevOps MCP Server enables natural language access to work item management and project insights. This allows the product manager and product owners to query the framework with prompts like "What is blocking our current sprint?" or "Summarize the technical debt in the clause extraction module".   </w:t>
      </w:r>
    </w:p>
    <w:p w14:paraId="3B6BC550" w14:textId="77777777" w:rsidR="00666EB6" w:rsidRPr="00666EB6" w:rsidRDefault="00666EB6" w:rsidP="00666EB6">
      <w:pPr>
        <w:spacing w:before="100" w:beforeAutospacing="1" w:after="100" w:afterAutospacing="1" w:line="240" w:lineRule="auto"/>
        <w:outlineLvl w:val="2"/>
        <w:rPr>
          <w:rFonts w:ascii="Calibri" w:eastAsia="Times New Roman" w:hAnsi="Calibri" w:cs="Calibri"/>
          <w:b/>
          <w:bCs/>
          <w:color w:val="000000" w:themeColor="text1"/>
          <w:kern w:val="0"/>
          <w:sz w:val="27"/>
          <w:szCs w:val="27"/>
          <w:lang w:eastAsia="en-GB"/>
          <w14:ligatures w14:val="none"/>
        </w:rPr>
      </w:pPr>
      <w:r w:rsidRPr="00666EB6">
        <w:rPr>
          <w:rFonts w:ascii="Calibri" w:eastAsia="Times New Roman" w:hAnsi="Calibri" w:cs="Calibri"/>
          <w:b/>
          <w:bCs/>
          <w:color w:val="000000" w:themeColor="text1"/>
          <w:kern w:val="0"/>
          <w:sz w:val="27"/>
          <w:szCs w:val="27"/>
          <w:lang w:eastAsia="en-GB"/>
          <w14:ligatures w14:val="none"/>
        </w:rPr>
        <w:t>The Efficiency Gain through Code Execution and MCP</w:t>
      </w:r>
    </w:p>
    <w:p w14:paraId="307D6804"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 xml:space="preserve">A significant advancement in MCP adoption is the ability of agents to execute code within a secure environment to interact with tools more efficiently. Traditionally, passing thousands of tool definitions through an agent's context window was costly and slow. The proposed SPLM framework utilizes "progressive disclosure," where the agent only loads the necessary tools for a specific task—such as a "Drools Generation Tool" or a "SpringBoot </w:t>
      </w:r>
      <w:r w:rsidRPr="00666EB6">
        <w:rPr>
          <w:rFonts w:ascii="Calibri" w:eastAsia="Times New Roman" w:hAnsi="Calibri" w:cs="Calibri"/>
          <w:color w:val="000000" w:themeColor="text1"/>
          <w:kern w:val="0"/>
          <w:lang w:eastAsia="en-GB"/>
          <w14:ligatures w14:val="none"/>
        </w:rPr>
        <w:t>Refactoring Tool"—thereby reducing token consumption and improving response times.   </w:t>
      </w:r>
    </w:p>
    <w:tbl>
      <w:tblPr>
        <w:tblW w:w="10441" w:type="dxa"/>
        <w:tblCellSpacing w:w="15" w:type="dxa"/>
        <w:tblCellMar>
          <w:top w:w="15" w:type="dxa"/>
          <w:left w:w="15" w:type="dxa"/>
          <w:bottom w:w="15" w:type="dxa"/>
          <w:right w:w="15" w:type="dxa"/>
        </w:tblCellMar>
        <w:tblLook w:val="04A0" w:firstRow="1" w:lastRow="0" w:firstColumn="1" w:lastColumn="0" w:noHBand="0" w:noVBand="1"/>
      </w:tblPr>
      <w:tblGrid>
        <w:gridCol w:w="2794"/>
        <w:gridCol w:w="3484"/>
        <w:gridCol w:w="1366"/>
        <w:gridCol w:w="2797"/>
      </w:tblGrid>
      <w:tr w:rsidR="00666EB6" w:rsidRPr="00666EB6" w14:paraId="0FAE99E8" w14:textId="77777777" w:rsidTr="00666EB6">
        <w:trPr>
          <w:tblHeader/>
          <w:tblCellSpacing w:w="15" w:type="dxa"/>
        </w:trPr>
        <w:tc>
          <w:tcPr>
            <w:tcW w:w="0" w:type="auto"/>
            <w:tcMar>
              <w:top w:w="120" w:type="dxa"/>
              <w:left w:w="180" w:type="dxa"/>
              <w:bottom w:w="120" w:type="dxa"/>
              <w:right w:w="180" w:type="dxa"/>
            </w:tcMar>
            <w:hideMark/>
          </w:tcPr>
          <w:p w14:paraId="560C2A6F"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Integration Method</w:t>
            </w:r>
          </w:p>
        </w:tc>
        <w:tc>
          <w:tcPr>
            <w:tcW w:w="0" w:type="auto"/>
            <w:tcMar>
              <w:top w:w="120" w:type="dxa"/>
              <w:left w:w="180" w:type="dxa"/>
              <w:bottom w:w="120" w:type="dxa"/>
              <w:right w:w="180" w:type="dxa"/>
            </w:tcMar>
            <w:hideMark/>
          </w:tcPr>
          <w:p w14:paraId="2BC4BB05"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Token Overhead</w:t>
            </w:r>
          </w:p>
        </w:tc>
        <w:tc>
          <w:tcPr>
            <w:tcW w:w="0" w:type="auto"/>
            <w:tcMar>
              <w:top w:w="120" w:type="dxa"/>
              <w:left w:w="180" w:type="dxa"/>
              <w:bottom w:w="120" w:type="dxa"/>
              <w:right w:w="180" w:type="dxa"/>
            </w:tcMar>
            <w:hideMark/>
          </w:tcPr>
          <w:p w14:paraId="3547685D"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Latency</w:t>
            </w:r>
          </w:p>
        </w:tc>
        <w:tc>
          <w:tcPr>
            <w:tcW w:w="0" w:type="auto"/>
            <w:tcMar>
              <w:top w:w="120" w:type="dxa"/>
              <w:left w:w="180" w:type="dxa"/>
              <w:bottom w:w="120" w:type="dxa"/>
              <w:right w:w="180" w:type="dxa"/>
            </w:tcMar>
            <w:hideMark/>
          </w:tcPr>
          <w:p w14:paraId="0F7B7E72"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Complexity</w:t>
            </w:r>
          </w:p>
        </w:tc>
      </w:tr>
      <w:tr w:rsidR="00666EB6" w:rsidRPr="00666EB6" w14:paraId="28961955" w14:textId="77777777" w:rsidTr="00666EB6">
        <w:trPr>
          <w:tblCellSpacing w:w="15" w:type="dxa"/>
        </w:trPr>
        <w:tc>
          <w:tcPr>
            <w:tcW w:w="0" w:type="auto"/>
            <w:tcMar>
              <w:top w:w="120" w:type="dxa"/>
              <w:left w:w="180" w:type="dxa"/>
              <w:bottom w:w="120" w:type="dxa"/>
              <w:right w:w="180" w:type="dxa"/>
            </w:tcMar>
            <w:hideMark/>
          </w:tcPr>
          <w:p w14:paraId="38531F7D"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Traditional API Wrappers</w:t>
            </w:r>
          </w:p>
        </w:tc>
        <w:tc>
          <w:tcPr>
            <w:tcW w:w="0" w:type="auto"/>
            <w:tcMar>
              <w:top w:w="120" w:type="dxa"/>
              <w:left w:w="180" w:type="dxa"/>
              <w:bottom w:w="120" w:type="dxa"/>
              <w:right w:w="180" w:type="dxa"/>
            </w:tcMar>
            <w:hideMark/>
          </w:tcPr>
          <w:p w14:paraId="67EBDFD1"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High (definitions in context)</w:t>
            </w:r>
          </w:p>
        </w:tc>
        <w:tc>
          <w:tcPr>
            <w:tcW w:w="0" w:type="auto"/>
            <w:tcMar>
              <w:top w:w="120" w:type="dxa"/>
              <w:left w:w="180" w:type="dxa"/>
              <w:bottom w:w="120" w:type="dxa"/>
              <w:right w:w="180" w:type="dxa"/>
            </w:tcMar>
            <w:hideMark/>
          </w:tcPr>
          <w:p w14:paraId="5EF633DC"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Moderate</w:t>
            </w:r>
          </w:p>
        </w:tc>
        <w:tc>
          <w:tcPr>
            <w:tcW w:w="0" w:type="auto"/>
            <w:tcMar>
              <w:top w:w="120" w:type="dxa"/>
              <w:left w:w="180" w:type="dxa"/>
              <w:bottom w:w="120" w:type="dxa"/>
              <w:right w:w="180" w:type="dxa"/>
            </w:tcMar>
            <w:hideMark/>
          </w:tcPr>
          <w:p w14:paraId="26305E15"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High (custom logic)</w:t>
            </w:r>
          </w:p>
        </w:tc>
      </w:tr>
      <w:tr w:rsidR="00666EB6" w:rsidRPr="00666EB6" w14:paraId="52BA6E41" w14:textId="77777777" w:rsidTr="00666EB6">
        <w:trPr>
          <w:tblCellSpacing w:w="15" w:type="dxa"/>
        </w:trPr>
        <w:tc>
          <w:tcPr>
            <w:tcW w:w="0" w:type="auto"/>
            <w:tcMar>
              <w:top w:w="120" w:type="dxa"/>
              <w:left w:w="180" w:type="dxa"/>
              <w:bottom w:w="120" w:type="dxa"/>
              <w:right w:w="180" w:type="dxa"/>
            </w:tcMar>
            <w:hideMark/>
          </w:tcPr>
          <w:p w14:paraId="21569338"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Standard MCP</w:t>
            </w:r>
          </w:p>
        </w:tc>
        <w:tc>
          <w:tcPr>
            <w:tcW w:w="0" w:type="auto"/>
            <w:tcMar>
              <w:top w:w="120" w:type="dxa"/>
              <w:left w:w="180" w:type="dxa"/>
              <w:bottom w:w="120" w:type="dxa"/>
              <w:right w:w="180" w:type="dxa"/>
            </w:tcMar>
            <w:hideMark/>
          </w:tcPr>
          <w:p w14:paraId="115A8DCF"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Moderate (manual tool selection)</w:t>
            </w:r>
          </w:p>
        </w:tc>
        <w:tc>
          <w:tcPr>
            <w:tcW w:w="0" w:type="auto"/>
            <w:tcMar>
              <w:top w:w="120" w:type="dxa"/>
              <w:left w:w="180" w:type="dxa"/>
              <w:bottom w:w="120" w:type="dxa"/>
              <w:right w:w="180" w:type="dxa"/>
            </w:tcMar>
            <w:hideMark/>
          </w:tcPr>
          <w:p w14:paraId="59FEF618"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Low</w:t>
            </w:r>
          </w:p>
        </w:tc>
        <w:tc>
          <w:tcPr>
            <w:tcW w:w="0" w:type="auto"/>
            <w:tcMar>
              <w:top w:w="120" w:type="dxa"/>
              <w:left w:w="180" w:type="dxa"/>
              <w:bottom w:w="120" w:type="dxa"/>
              <w:right w:w="180" w:type="dxa"/>
            </w:tcMar>
            <w:hideMark/>
          </w:tcPr>
          <w:p w14:paraId="2533E3E4"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Low (standardized)</w:t>
            </w:r>
          </w:p>
        </w:tc>
      </w:tr>
      <w:tr w:rsidR="00666EB6" w:rsidRPr="00666EB6" w14:paraId="408E1DEE" w14:textId="77777777" w:rsidTr="00666EB6">
        <w:trPr>
          <w:tblCellSpacing w:w="15" w:type="dxa"/>
        </w:trPr>
        <w:tc>
          <w:tcPr>
            <w:tcW w:w="0" w:type="auto"/>
            <w:tcMar>
              <w:top w:w="120" w:type="dxa"/>
              <w:left w:w="180" w:type="dxa"/>
              <w:bottom w:w="120" w:type="dxa"/>
              <w:right w:w="180" w:type="dxa"/>
            </w:tcMar>
            <w:hideMark/>
          </w:tcPr>
          <w:p w14:paraId="552497F1"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MCP with Code Execution</w:t>
            </w:r>
          </w:p>
        </w:tc>
        <w:tc>
          <w:tcPr>
            <w:tcW w:w="0" w:type="auto"/>
            <w:tcMar>
              <w:top w:w="120" w:type="dxa"/>
              <w:left w:w="180" w:type="dxa"/>
              <w:bottom w:w="120" w:type="dxa"/>
              <w:right w:w="180" w:type="dxa"/>
            </w:tcMar>
            <w:hideMark/>
          </w:tcPr>
          <w:p w14:paraId="77E5DAB4"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Very Low (on-demand loading)</w:t>
            </w:r>
          </w:p>
        </w:tc>
        <w:tc>
          <w:tcPr>
            <w:tcW w:w="0" w:type="auto"/>
            <w:tcMar>
              <w:top w:w="120" w:type="dxa"/>
              <w:left w:w="180" w:type="dxa"/>
              <w:bottom w:w="120" w:type="dxa"/>
              <w:right w:w="180" w:type="dxa"/>
            </w:tcMar>
            <w:hideMark/>
          </w:tcPr>
          <w:p w14:paraId="480429A5"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Very Low</w:t>
            </w:r>
          </w:p>
        </w:tc>
        <w:tc>
          <w:tcPr>
            <w:tcW w:w="0" w:type="auto"/>
            <w:tcMar>
              <w:top w:w="120" w:type="dxa"/>
              <w:left w:w="180" w:type="dxa"/>
              <w:bottom w:w="120" w:type="dxa"/>
              <w:right w:w="180" w:type="dxa"/>
            </w:tcMar>
            <w:hideMark/>
          </w:tcPr>
          <w:p w14:paraId="62BE7B54"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Low (agent-orchestrated)</w:t>
            </w:r>
          </w:p>
        </w:tc>
      </w:tr>
    </w:tbl>
    <w:p w14:paraId="271F1A31"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This standard enables the ambitious team structure to maintain a high degree of "Agent Autonomy". The AI agents can autonomously discover available tools, create execution plans to fulfill user requests, and chain multiple actions—such as creating a GitHub issue, generating the corresponding SpringBoot service, and then notifying the team via Slack.  </w:t>
      </w:r>
    </w:p>
    <w:p w14:paraId="6F3C7E66" w14:textId="77777777" w:rsidR="00666EB6" w:rsidRPr="00666EB6" w:rsidRDefault="00666EB6" w:rsidP="00666EB6">
      <w:pPr>
        <w:spacing w:before="100" w:beforeAutospacing="1" w:after="100" w:afterAutospacing="1" w:line="240" w:lineRule="auto"/>
        <w:outlineLvl w:val="1"/>
        <w:rPr>
          <w:rFonts w:ascii="Calibri" w:eastAsia="Times New Roman" w:hAnsi="Calibri" w:cs="Calibri"/>
          <w:b/>
          <w:bCs/>
          <w:color w:val="000000" w:themeColor="text1"/>
          <w:kern w:val="0"/>
          <w:sz w:val="36"/>
          <w:szCs w:val="36"/>
          <w:lang w:eastAsia="en-GB"/>
          <w14:ligatures w14:val="none"/>
        </w:rPr>
      </w:pPr>
      <w:r w:rsidRPr="00666EB6">
        <w:rPr>
          <w:rFonts w:ascii="Calibri" w:eastAsia="Times New Roman" w:hAnsi="Calibri" w:cs="Calibri"/>
          <w:b/>
          <w:bCs/>
          <w:color w:val="000000" w:themeColor="text1"/>
          <w:kern w:val="0"/>
          <w:sz w:val="36"/>
          <w:szCs w:val="36"/>
          <w:lang w:eastAsia="en-GB"/>
          <w14:ligatures w14:val="none"/>
        </w:rPr>
        <w:t>Automating the Ideation and Backlog Pipeline</w:t>
      </w:r>
    </w:p>
    <w:p w14:paraId="7EC9FC85"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SPLM workflow begins with "Feature Mgmt" and "Issue/Bug Mgmt," as illustrated in the user's provided lifecycle diagram. In the current state, Azure DevOps is utilized for the backlog, but documentation is mostly absent. The agentic SPLM framework bridges this gap by using a "Requirements Analyst Agent" to facilitate the transition from a rough feature idea to a fleshed-out GitHub issue or Azure DevOps work item.   </w:t>
      </w:r>
    </w:p>
    <w:p w14:paraId="25E9890F"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 xml:space="preserve">Using tools like Anthropic's Prompt Improver, the team can create a custom command that transforms natural language input into a detailed specification. Each backlog item generated by the agent includes a clear problem statement, a proposed technical solution, and a step-by-step implementation plan that takes into account the existing Java and NodeJS codebase. This ensures that the "Product Roadmap" box in the user's diagram is not just a </w:t>
      </w:r>
      <w:r w:rsidRPr="00666EB6">
        <w:rPr>
          <w:rFonts w:ascii="Calibri" w:eastAsia="Times New Roman" w:hAnsi="Calibri" w:cs="Calibri"/>
          <w:color w:val="000000" w:themeColor="text1"/>
          <w:kern w:val="0"/>
          <w:lang w:eastAsia="en-GB"/>
          <w14:ligatures w14:val="none"/>
        </w:rPr>
        <w:lastRenderedPageBreak/>
        <w:t>static plan but a dynamic, data-driven artifact that updates in real-time as features are decomposed and estimated by AI.   </w:t>
      </w:r>
    </w:p>
    <w:p w14:paraId="0B3BB8FA" w14:textId="77777777" w:rsidR="00666EB6" w:rsidRPr="00666EB6" w:rsidRDefault="00666EB6" w:rsidP="00666EB6">
      <w:pPr>
        <w:spacing w:before="100" w:beforeAutospacing="1" w:after="100" w:afterAutospacing="1" w:line="240" w:lineRule="auto"/>
        <w:outlineLvl w:val="2"/>
        <w:rPr>
          <w:rFonts w:ascii="Calibri" w:eastAsia="Times New Roman" w:hAnsi="Calibri" w:cs="Calibri"/>
          <w:b/>
          <w:bCs/>
          <w:color w:val="000000" w:themeColor="text1"/>
          <w:kern w:val="0"/>
          <w:sz w:val="27"/>
          <w:szCs w:val="27"/>
          <w:lang w:eastAsia="en-GB"/>
          <w14:ligatures w14:val="none"/>
        </w:rPr>
      </w:pPr>
      <w:r w:rsidRPr="00666EB6">
        <w:rPr>
          <w:rFonts w:ascii="Calibri" w:eastAsia="Times New Roman" w:hAnsi="Calibri" w:cs="Calibri"/>
          <w:b/>
          <w:bCs/>
          <w:color w:val="000000" w:themeColor="text1"/>
          <w:kern w:val="0"/>
          <w:sz w:val="27"/>
          <w:szCs w:val="27"/>
          <w:lang w:eastAsia="en-GB"/>
          <w14:ligatures w14:val="none"/>
        </w:rPr>
        <w:t>Causal Insights into Backlog Prioritization</w:t>
      </w:r>
    </w:p>
    <w:p w14:paraId="0D340EF6"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By utilizing AI to analyze factors such as severity, affected systems, and historical team velocity, the framework can automatically triage and prioritize defects and features. This addresses the "Speed" and "Value" objectives by ensuring that the limited human bandwidth (two senior developers) is always focused on the most impactful tasks. The causal relationship between automated triaging and project velocity is measurable: teams utilizing agentic backlog management often see a significant reduction in time-to-market for MVP features.   </w:t>
      </w:r>
    </w:p>
    <w:p w14:paraId="212EB96D" w14:textId="77777777" w:rsidR="00666EB6" w:rsidRPr="00666EB6" w:rsidRDefault="00666EB6" w:rsidP="00666EB6">
      <w:pPr>
        <w:spacing w:before="100" w:beforeAutospacing="1" w:after="100" w:afterAutospacing="1" w:line="240" w:lineRule="auto"/>
        <w:outlineLvl w:val="1"/>
        <w:rPr>
          <w:rFonts w:ascii="Calibri" w:eastAsia="Times New Roman" w:hAnsi="Calibri" w:cs="Calibri"/>
          <w:b/>
          <w:bCs/>
          <w:color w:val="000000" w:themeColor="text1"/>
          <w:kern w:val="0"/>
          <w:sz w:val="36"/>
          <w:szCs w:val="36"/>
          <w:lang w:eastAsia="en-GB"/>
          <w14:ligatures w14:val="none"/>
        </w:rPr>
      </w:pPr>
      <w:r w:rsidRPr="00666EB6">
        <w:rPr>
          <w:rFonts w:ascii="Calibri" w:eastAsia="Times New Roman" w:hAnsi="Calibri" w:cs="Calibri"/>
          <w:b/>
          <w:bCs/>
          <w:color w:val="000000" w:themeColor="text1"/>
          <w:kern w:val="0"/>
          <w:sz w:val="36"/>
          <w:szCs w:val="36"/>
          <w:lang w:eastAsia="en-GB"/>
          <w14:ligatures w14:val="none"/>
        </w:rPr>
        <w:t>The Documentation Engine: Functional to Technical Synthesis</w:t>
      </w:r>
    </w:p>
    <w:p w14:paraId="188C5E12"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"Solution Documentation" block at the center of the user's diagram is the most critical component of the SPLM hub. It encompasses functional, technical, UX, NFR (Non-Functional Requirements), compliance, and test specifications. In the absence of existing documentation, the framework utilizes AI agents to retrospectively document the current modular stack and prospectively generate new documentation as the product evolves.</w:t>
      </w:r>
    </w:p>
    <w:p w14:paraId="5C01995A" w14:textId="77777777" w:rsidR="00666EB6" w:rsidRPr="00666EB6" w:rsidRDefault="00666EB6" w:rsidP="00666EB6">
      <w:pPr>
        <w:spacing w:before="100" w:beforeAutospacing="1" w:after="100" w:afterAutospacing="1" w:line="240" w:lineRule="auto"/>
        <w:outlineLvl w:val="2"/>
        <w:rPr>
          <w:rFonts w:ascii="Calibri" w:eastAsia="Times New Roman" w:hAnsi="Calibri" w:cs="Calibri"/>
          <w:b/>
          <w:bCs/>
          <w:color w:val="000000" w:themeColor="text1"/>
          <w:kern w:val="0"/>
          <w:sz w:val="27"/>
          <w:szCs w:val="27"/>
          <w:lang w:eastAsia="en-GB"/>
          <w14:ligatures w14:val="none"/>
        </w:rPr>
      </w:pPr>
      <w:r w:rsidRPr="00666EB6">
        <w:rPr>
          <w:rFonts w:ascii="Calibri" w:eastAsia="Times New Roman" w:hAnsi="Calibri" w:cs="Calibri"/>
          <w:b/>
          <w:bCs/>
          <w:color w:val="000000" w:themeColor="text1"/>
          <w:kern w:val="0"/>
          <w:sz w:val="27"/>
          <w:szCs w:val="27"/>
          <w:lang w:eastAsia="en-GB"/>
          <w14:ligatures w14:val="none"/>
        </w:rPr>
        <w:t>Spec-Driven Development (SDD) via Syncfusion</w:t>
      </w:r>
    </w:p>
    <w:p w14:paraId="4464F01B"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framework adopts a "Spec-Driven Development" (SDD) methodology, where the primary artifact is the Specification File managed within the Syncfusion DOCX editor.</w:t>
      </w:r>
      <w:r w:rsidRPr="00666EB6">
        <w:rPr>
          <w:rFonts w:ascii="Calibri" w:eastAsia="Times New Roman" w:hAnsi="Calibri" w:cs="Calibri"/>
          <w:color w:val="000000" w:themeColor="text1"/>
          <w:kern w:val="0"/>
          <w:vertAlign w:val="superscript"/>
          <w:lang w:eastAsia="en-GB"/>
          <w14:ligatures w14:val="none"/>
        </w:rPr>
        <w:t>1 </w:t>
      </w:r>
      <w:r w:rsidRPr="00666EB6">
        <w:rPr>
          <w:rFonts w:ascii="Calibri" w:eastAsia="Times New Roman" w:hAnsi="Calibri" w:cs="Calibri"/>
          <w:color w:val="000000" w:themeColor="text1"/>
          <w:kern w:val="0"/>
          <w:lang w:eastAsia="en-GB"/>
          <w14:ligatures w14:val="none"/>
        </w:rPr>
        <w:t> This file acts as the "Constitution" for any new feature. The workflow is as follows:   </w:t>
      </w:r>
    </w:p>
    <w:p w14:paraId="6F5C108D"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fldChar w:fldCharType="begin"/>
      </w:r>
      <w:r w:rsidRPr="00666EB6">
        <w:rPr>
          <w:rFonts w:ascii="Calibri" w:eastAsia="Times New Roman" w:hAnsi="Calibri" w:cs="Calibri"/>
          <w:color w:val="000000" w:themeColor="text1"/>
          <w:kern w:val="0"/>
          <w:lang w:eastAsia="en-GB"/>
          <w14:ligatures w14:val="none"/>
        </w:rPr>
        <w:instrText>HYPERLINK "https://medium.com/@shuaib_18577/from-human-coders-to-autonomous-ai-engineers-the-future-of-software-development-db82ea2083b3" \t "_blank"</w:instrText>
      </w:r>
      <w:r w:rsidRPr="00666EB6">
        <w:rPr>
          <w:rFonts w:ascii="Calibri" w:eastAsia="Times New Roman" w:hAnsi="Calibri" w:cs="Calibri"/>
          <w:color w:val="000000" w:themeColor="text1"/>
          <w:kern w:val="0"/>
          <w:lang w:eastAsia="en-GB"/>
          <w14:ligatures w14:val="none"/>
        </w:rPr>
      </w:r>
      <w:r w:rsidRPr="00666EB6">
        <w:rPr>
          <w:rFonts w:ascii="Calibri" w:eastAsia="Times New Roman" w:hAnsi="Calibri" w:cs="Calibri"/>
          <w:color w:val="000000" w:themeColor="text1"/>
          <w:kern w:val="0"/>
          <w:lang w:eastAsia="en-GB"/>
          <w14:ligatures w14:val="none"/>
        </w:rPr>
        <w:fldChar w:fldCharType="separate"/>
      </w:r>
    </w:p>
    <w:p w14:paraId="39F3DBC5"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From Human Coders to Autonomous AI Engineers: The Future of Software Development | by Shuaib | Jan, 2026 | Medium </w:t>
      </w:r>
    </w:p>
    <w:p w14:paraId="5B42F9A5" w14:textId="5518C6D4"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fldChar w:fldCharType="end"/>
      </w:r>
    </w:p>
    <w:p w14:paraId="3322FAF4" w14:textId="2B3A191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p>
    <w:p w14:paraId="60023F40" w14:textId="77777777" w:rsidR="00666EB6" w:rsidRPr="00666EB6" w:rsidRDefault="00666EB6" w:rsidP="00666EB6">
      <w:pPr>
        <w:numPr>
          <w:ilvl w:val="0"/>
          <w:numId w:val="1"/>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developer or product owner describes a need in plain English within the SPLM hub.</w:t>
      </w:r>
    </w:p>
    <w:p w14:paraId="51416792" w14:textId="77777777" w:rsidR="00666EB6" w:rsidRPr="00666EB6" w:rsidRDefault="00666EB6" w:rsidP="00666EB6">
      <w:pPr>
        <w:numPr>
          <w:ilvl w:val="0"/>
          <w:numId w:val="1"/>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An AI agent, utilizing the Syncfusion Document SDK Assistant MCP Server, generates a comprehensive technical and functional specification in the editor.   </w:t>
      </w:r>
    </w:p>
    <w:p w14:paraId="552F2667" w14:textId="77777777" w:rsidR="00666EB6" w:rsidRPr="00666EB6" w:rsidRDefault="00666EB6" w:rsidP="00666EB6">
      <w:pPr>
        <w:numPr>
          <w:ilvl w:val="0"/>
          <w:numId w:val="1"/>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specification is stored in PostgreSQL and synced to the GitHub repository.   </w:t>
      </w:r>
    </w:p>
    <w:p w14:paraId="0CE11982" w14:textId="77777777" w:rsidR="00666EB6" w:rsidRPr="00666EB6" w:rsidRDefault="00666EB6" w:rsidP="00666EB6">
      <w:pPr>
        <w:numPr>
          <w:ilvl w:val="0"/>
          <w:numId w:val="1"/>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coding agent then "reads" this specification to generate the implementation in SpringBoot or ReactJS.   </w:t>
      </w:r>
    </w:p>
    <w:p w14:paraId="329C4CC5"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This ensures that the documentation is never stale. If the code drifts from the specification, the agent detects the discrepancy and proposes either a code refactor or a documentation update to maintain synchronization. This bi-directional traceability is essential for the "Compliance" objective, particularly in regulated industries like contract management.   </w:t>
      </w:r>
    </w:p>
    <w:p w14:paraId="3139F26A" w14:textId="77777777" w:rsidR="00666EB6" w:rsidRPr="00666EB6" w:rsidRDefault="00666EB6" w:rsidP="00666EB6">
      <w:pPr>
        <w:spacing w:before="100" w:beforeAutospacing="1" w:after="100" w:afterAutospacing="1" w:line="240" w:lineRule="auto"/>
        <w:outlineLvl w:val="2"/>
        <w:rPr>
          <w:rFonts w:ascii="Calibri" w:eastAsia="Times New Roman" w:hAnsi="Calibri" w:cs="Calibri"/>
          <w:b/>
          <w:bCs/>
          <w:color w:val="000000" w:themeColor="text1"/>
          <w:kern w:val="0"/>
          <w:sz w:val="27"/>
          <w:szCs w:val="27"/>
          <w:lang w:eastAsia="en-GB"/>
          <w14:ligatures w14:val="none"/>
        </w:rPr>
      </w:pPr>
      <w:r w:rsidRPr="00666EB6">
        <w:rPr>
          <w:rFonts w:ascii="Calibri" w:eastAsia="Times New Roman" w:hAnsi="Calibri" w:cs="Calibri"/>
          <w:b/>
          <w:bCs/>
          <w:color w:val="000000" w:themeColor="text1"/>
          <w:kern w:val="0"/>
          <w:sz w:val="27"/>
          <w:szCs w:val="27"/>
          <w:lang w:eastAsia="en-GB"/>
          <w14:ligatures w14:val="none"/>
        </w:rPr>
        <w:lastRenderedPageBreak/>
        <w:t>Document Synchronization Causal Chain</w:t>
      </w:r>
    </w:p>
    <w:p w14:paraId="1715A5FA"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i/>
          <w:iCs/>
          <w:color w:val="000000" w:themeColor="text1"/>
          <w:kern w:val="0"/>
          <w:sz w:val="29"/>
          <w:szCs w:val="29"/>
          <w:lang w:eastAsia="en-GB"/>
          <w14:ligatures w14:val="none"/>
        </w:rPr>
        <w:t>D</w:t>
      </w:r>
      <w:r w:rsidRPr="00666EB6">
        <w:rPr>
          <w:rFonts w:ascii="Calibri" w:eastAsia="Times New Roman" w:hAnsi="Calibri" w:cs="Calibri"/>
          <w:i/>
          <w:iCs/>
          <w:color w:val="000000" w:themeColor="text1"/>
          <w:kern w:val="0"/>
          <w:sz w:val="20"/>
          <w:szCs w:val="20"/>
          <w:lang w:eastAsia="en-GB"/>
          <w14:ligatures w14:val="none"/>
        </w:rPr>
        <w:t>sync</w:t>
      </w:r>
      <w:r w:rsidRPr="00666EB6">
        <w:rPr>
          <w:rFonts w:ascii="Calibri" w:eastAsia="Times New Roman" w:hAnsi="Calibri" w:cs="Calibri"/>
          <w:color w:val="000000" w:themeColor="text1"/>
          <w:kern w:val="0"/>
          <w:sz w:val="2"/>
          <w:szCs w:val="2"/>
          <w:lang w:eastAsia="en-GB"/>
          <w14:ligatures w14:val="none"/>
        </w:rPr>
        <w:t>​</w:t>
      </w:r>
      <w:r w:rsidRPr="00666EB6">
        <w:rPr>
          <w:rFonts w:ascii="Calibri" w:eastAsia="Times New Roman" w:hAnsi="Calibri" w:cs="Calibri"/>
          <w:color w:val="000000" w:themeColor="text1"/>
          <w:kern w:val="0"/>
          <w:sz w:val="29"/>
          <w:szCs w:val="29"/>
          <w:lang w:eastAsia="en-GB"/>
          <w14:ligatures w14:val="none"/>
        </w:rPr>
        <w:t>=</w:t>
      </w:r>
      <w:r w:rsidRPr="00666EB6">
        <w:rPr>
          <w:rFonts w:ascii="Calibri" w:eastAsia="Times New Roman" w:hAnsi="Calibri" w:cs="Calibri"/>
          <w:i/>
          <w:iCs/>
          <w:color w:val="000000" w:themeColor="text1"/>
          <w:kern w:val="0"/>
          <w:sz w:val="20"/>
          <w:szCs w:val="20"/>
          <w:lang w:eastAsia="en-GB"/>
          <w14:ligatures w14:val="none"/>
        </w:rPr>
        <w:t>i</w:t>
      </w:r>
      <w:r w:rsidRPr="00666EB6">
        <w:rPr>
          <w:rFonts w:ascii="Calibri" w:eastAsia="Times New Roman" w:hAnsi="Calibri" w:cs="Calibri"/>
          <w:color w:val="000000" w:themeColor="text1"/>
          <w:kern w:val="0"/>
          <w:sz w:val="20"/>
          <w:szCs w:val="20"/>
          <w:lang w:eastAsia="en-GB"/>
          <w14:ligatures w14:val="none"/>
        </w:rPr>
        <w:t>=1</w:t>
      </w:r>
      <w:r w:rsidRPr="00666EB6">
        <w:rPr>
          <w:rFonts w:ascii="Calibri" w:eastAsia="Times New Roman" w:hAnsi="Calibri" w:cs="Calibri"/>
          <w:color w:val="000000" w:themeColor="text1"/>
          <w:kern w:val="0"/>
          <w:sz w:val="29"/>
          <w:szCs w:val="29"/>
          <w:lang w:eastAsia="en-GB"/>
          <w14:ligatures w14:val="none"/>
        </w:rPr>
        <w:t>∑</w:t>
      </w:r>
      <w:r w:rsidRPr="00666EB6">
        <w:rPr>
          <w:rFonts w:ascii="Calibri" w:eastAsia="Times New Roman" w:hAnsi="Calibri" w:cs="Calibri"/>
          <w:i/>
          <w:iCs/>
          <w:color w:val="000000" w:themeColor="text1"/>
          <w:kern w:val="0"/>
          <w:sz w:val="20"/>
          <w:szCs w:val="20"/>
          <w:lang w:eastAsia="en-GB"/>
          <w14:ligatures w14:val="none"/>
        </w:rPr>
        <w:t>n</w:t>
      </w:r>
      <w:r w:rsidRPr="00666EB6">
        <w:rPr>
          <w:rFonts w:ascii="Calibri" w:eastAsia="Times New Roman" w:hAnsi="Calibri" w:cs="Calibri"/>
          <w:color w:val="000000" w:themeColor="text1"/>
          <w:kern w:val="0"/>
          <w:sz w:val="2"/>
          <w:szCs w:val="2"/>
          <w:lang w:eastAsia="en-GB"/>
          <w14:ligatures w14:val="none"/>
        </w:rPr>
        <w:t>​</w:t>
      </w:r>
      <w:r w:rsidRPr="00666EB6">
        <w:rPr>
          <w:rFonts w:ascii="Calibri" w:eastAsia="Times New Roman" w:hAnsi="Calibri" w:cs="Calibri"/>
          <w:color w:val="000000" w:themeColor="text1"/>
          <w:kern w:val="0"/>
          <w:sz w:val="29"/>
          <w:szCs w:val="29"/>
          <w:lang w:eastAsia="en-GB"/>
          <w14:ligatures w14:val="none"/>
        </w:rPr>
        <w:t>(</w:t>
      </w:r>
      <w:r w:rsidRPr="00666EB6">
        <w:rPr>
          <w:rFonts w:ascii="Calibri" w:eastAsia="Times New Roman" w:hAnsi="Calibri" w:cs="Calibri"/>
          <w:i/>
          <w:iCs/>
          <w:color w:val="000000" w:themeColor="text1"/>
          <w:kern w:val="0"/>
          <w:sz w:val="29"/>
          <w:szCs w:val="29"/>
          <w:lang w:eastAsia="en-GB"/>
          <w14:ligatures w14:val="none"/>
        </w:rPr>
        <w:t>Commit</w:t>
      </w:r>
      <w:r w:rsidRPr="00666EB6">
        <w:rPr>
          <w:rFonts w:ascii="Calibri" w:eastAsia="Times New Roman" w:hAnsi="Calibri" w:cs="Calibri"/>
          <w:i/>
          <w:iCs/>
          <w:color w:val="000000" w:themeColor="text1"/>
          <w:kern w:val="0"/>
          <w:sz w:val="20"/>
          <w:szCs w:val="20"/>
          <w:lang w:eastAsia="en-GB"/>
          <w14:ligatures w14:val="none"/>
        </w:rPr>
        <w:t>i</w:t>
      </w:r>
      <w:r w:rsidRPr="00666EB6">
        <w:rPr>
          <w:rFonts w:ascii="Calibri" w:eastAsia="Times New Roman" w:hAnsi="Calibri" w:cs="Calibri"/>
          <w:color w:val="000000" w:themeColor="text1"/>
          <w:kern w:val="0"/>
          <w:sz w:val="2"/>
          <w:szCs w:val="2"/>
          <w:lang w:eastAsia="en-GB"/>
          <w14:ligatures w14:val="none"/>
        </w:rPr>
        <w:t>​</w:t>
      </w:r>
      <w:r w:rsidRPr="00666EB6">
        <w:rPr>
          <w:rFonts w:ascii="Calibri" w:eastAsia="Times New Roman" w:hAnsi="Calibri" w:cs="Calibri"/>
          <w:color w:val="000000" w:themeColor="text1"/>
          <w:kern w:val="0"/>
          <w:sz w:val="29"/>
          <w:szCs w:val="29"/>
          <w:lang w:eastAsia="en-GB"/>
          <w14:ligatures w14:val="none"/>
        </w:rPr>
        <w:t>∩</w:t>
      </w:r>
      <w:r w:rsidRPr="00666EB6">
        <w:rPr>
          <w:rFonts w:ascii="Calibri" w:eastAsia="Times New Roman" w:hAnsi="Calibri" w:cs="Calibri"/>
          <w:i/>
          <w:iCs/>
          <w:color w:val="000000" w:themeColor="text1"/>
          <w:kern w:val="0"/>
          <w:sz w:val="29"/>
          <w:szCs w:val="29"/>
          <w:lang w:eastAsia="en-GB"/>
          <w14:ligatures w14:val="none"/>
        </w:rPr>
        <w:t>DocUpdate</w:t>
      </w:r>
      <w:r w:rsidRPr="00666EB6">
        <w:rPr>
          <w:rFonts w:ascii="Calibri" w:eastAsia="Times New Roman" w:hAnsi="Calibri" w:cs="Calibri"/>
          <w:i/>
          <w:iCs/>
          <w:color w:val="000000" w:themeColor="text1"/>
          <w:kern w:val="0"/>
          <w:sz w:val="20"/>
          <w:szCs w:val="20"/>
          <w:lang w:eastAsia="en-GB"/>
          <w14:ligatures w14:val="none"/>
        </w:rPr>
        <w:t>i</w:t>
      </w:r>
      <w:r w:rsidRPr="00666EB6">
        <w:rPr>
          <w:rFonts w:ascii="Calibri" w:eastAsia="Times New Roman" w:hAnsi="Calibri" w:cs="Calibri"/>
          <w:color w:val="000000" w:themeColor="text1"/>
          <w:kern w:val="0"/>
          <w:sz w:val="2"/>
          <w:szCs w:val="2"/>
          <w:lang w:eastAsia="en-GB"/>
          <w14:ligatures w14:val="none"/>
        </w:rPr>
        <w:t>​</w:t>
      </w:r>
      <w:r w:rsidRPr="00666EB6">
        <w:rPr>
          <w:rFonts w:ascii="Calibri" w:eastAsia="Times New Roman" w:hAnsi="Calibri" w:cs="Calibri"/>
          <w:color w:val="000000" w:themeColor="text1"/>
          <w:kern w:val="0"/>
          <w:sz w:val="29"/>
          <w:szCs w:val="29"/>
          <w:lang w:eastAsia="en-GB"/>
          <w14:ligatures w14:val="none"/>
        </w:rPr>
        <w:t>)</w:t>
      </w:r>
    </w:p>
    <w:p w14:paraId="348D16A7"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Where </w:t>
      </w:r>
      <w:r w:rsidRPr="00666EB6">
        <w:rPr>
          <w:rFonts w:ascii="Calibri" w:eastAsia="Times New Roman" w:hAnsi="Calibri" w:cs="Calibri"/>
          <w:i/>
          <w:iCs/>
          <w:color w:val="000000" w:themeColor="text1"/>
          <w:kern w:val="0"/>
          <w:sz w:val="29"/>
          <w:szCs w:val="29"/>
          <w:lang w:eastAsia="en-GB"/>
          <w14:ligatures w14:val="none"/>
        </w:rPr>
        <w:t>D</w:t>
      </w:r>
      <w:r w:rsidRPr="00666EB6">
        <w:rPr>
          <w:rFonts w:ascii="Calibri" w:eastAsia="Times New Roman" w:hAnsi="Calibri" w:cs="Calibri"/>
          <w:i/>
          <w:iCs/>
          <w:color w:val="000000" w:themeColor="text1"/>
          <w:kern w:val="0"/>
          <w:sz w:val="20"/>
          <w:szCs w:val="20"/>
          <w:lang w:eastAsia="en-GB"/>
          <w14:ligatures w14:val="none"/>
        </w:rPr>
        <w:t>sync</w:t>
      </w:r>
      <w:r w:rsidRPr="00666EB6">
        <w:rPr>
          <w:rFonts w:ascii="Calibri" w:eastAsia="Times New Roman" w:hAnsi="Calibri" w:cs="Calibri"/>
          <w:color w:val="000000" w:themeColor="text1"/>
          <w:kern w:val="0"/>
          <w:sz w:val="2"/>
          <w:szCs w:val="2"/>
          <w:lang w:eastAsia="en-GB"/>
          <w14:ligatures w14:val="none"/>
        </w:rPr>
        <w:t>​</w:t>
      </w:r>
      <w:r w:rsidRPr="00666EB6">
        <w:rPr>
          <w:rFonts w:ascii="Calibri" w:eastAsia="Times New Roman" w:hAnsi="Calibri" w:cs="Calibri"/>
          <w:color w:val="000000" w:themeColor="text1"/>
          <w:kern w:val="0"/>
          <w:lang w:eastAsia="en-GB"/>
          <w14:ligatures w14:val="none"/>
        </w:rPr>
        <w:t> is the synchronization coefficient, representing the degree to which every code commit is accompanied by a documentation update proposed by the agentic framework. Automated CI/CD pipelines in GitHub Actions use tools like TypeDoc or JSDoc to further automate this process, generating API documentation from source code and uploading it back to the SPLM portal.   </w:t>
      </w:r>
    </w:p>
    <w:p w14:paraId="23AACC4D" w14:textId="77777777" w:rsidR="00666EB6" w:rsidRPr="00666EB6" w:rsidRDefault="00666EB6" w:rsidP="00666EB6">
      <w:pPr>
        <w:spacing w:before="100" w:beforeAutospacing="1" w:after="100" w:afterAutospacing="1" w:line="240" w:lineRule="auto"/>
        <w:outlineLvl w:val="1"/>
        <w:rPr>
          <w:rFonts w:ascii="Calibri" w:eastAsia="Times New Roman" w:hAnsi="Calibri" w:cs="Calibri"/>
          <w:b/>
          <w:bCs/>
          <w:color w:val="000000" w:themeColor="text1"/>
          <w:kern w:val="0"/>
          <w:sz w:val="36"/>
          <w:szCs w:val="36"/>
          <w:lang w:eastAsia="en-GB"/>
          <w14:ligatures w14:val="none"/>
        </w:rPr>
      </w:pPr>
      <w:r w:rsidRPr="00666EB6">
        <w:rPr>
          <w:rFonts w:ascii="Calibri" w:eastAsia="Times New Roman" w:hAnsi="Calibri" w:cs="Calibri"/>
          <w:b/>
          <w:bCs/>
          <w:color w:val="000000" w:themeColor="text1"/>
          <w:kern w:val="0"/>
          <w:sz w:val="36"/>
          <w:szCs w:val="36"/>
          <w:lang w:eastAsia="en-GB"/>
          <w14:ligatures w14:val="none"/>
        </w:rPr>
        <w:t>Agentic Engineering in Java, NodeJS, and React</w:t>
      </w:r>
    </w:p>
    <w:p w14:paraId="6A6C7253"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transition to a five-person team hinges on the "Code Creation" and "Local Testing" blocks of the user's diagram. Senior developers in this model shift from writing boilerplate code to high-level orchestration and validation. The framework leverages specialized assistants like the Syncfusion React AI Coding Assistant and the Spring Boot AI evaluation tools to accelerate this shift.   </w:t>
      </w:r>
    </w:p>
    <w:p w14:paraId="5D6AB783" w14:textId="77777777" w:rsidR="00666EB6" w:rsidRPr="00666EB6" w:rsidRDefault="00666EB6" w:rsidP="00666EB6">
      <w:pPr>
        <w:spacing w:before="100" w:beforeAutospacing="1" w:after="100" w:afterAutospacing="1" w:line="240" w:lineRule="auto"/>
        <w:outlineLvl w:val="2"/>
        <w:rPr>
          <w:rFonts w:ascii="Calibri" w:eastAsia="Times New Roman" w:hAnsi="Calibri" w:cs="Calibri"/>
          <w:b/>
          <w:bCs/>
          <w:color w:val="000000" w:themeColor="text1"/>
          <w:kern w:val="0"/>
          <w:sz w:val="27"/>
          <w:szCs w:val="27"/>
          <w:lang w:eastAsia="en-GB"/>
          <w14:ligatures w14:val="none"/>
        </w:rPr>
      </w:pPr>
      <w:r w:rsidRPr="00666EB6">
        <w:rPr>
          <w:rFonts w:ascii="Calibri" w:eastAsia="Times New Roman" w:hAnsi="Calibri" w:cs="Calibri"/>
          <w:b/>
          <w:bCs/>
          <w:color w:val="000000" w:themeColor="text1"/>
          <w:kern w:val="0"/>
          <w:sz w:val="27"/>
          <w:szCs w:val="27"/>
          <w:lang w:eastAsia="en-GB"/>
          <w14:ligatures w14:val="none"/>
        </w:rPr>
        <w:t>Java SpringBoot and Spring AI Integration</w:t>
      </w:r>
    </w:p>
    <w:p w14:paraId="620F02DD"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For the backend modular services, the framework utilizes Spring AI to create specialized agents capable of autonomously refactoring and testing Java code. By defining agents with specific "System Prompts" and providing them with tool access (via </w:t>
      </w:r>
      <w:r w:rsidRPr="00666EB6">
        <w:rPr>
          <w:rFonts w:ascii="Calibri" w:eastAsia="Times New Roman" w:hAnsi="Calibri" w:cs="Calibri"/>
          <w:color w:val="000000" w:themeColor="text1"/>
          <w:kern w:val="0"/>
          <w:sz w:val="20"/>
          <w:szCs w:val="20"/>
          <w:lang w:eastAsia="en-GB"/>
          <w14:ligatures w14:val="none"/>
        </w:rPr>
        <w:t>@Tool</w:t>
      </w:r>
      <w:r w:rsidRPr="00666EB6">
        <w:rPr>
          <w:rFonts w:ascii="Calibri" w:eastAsia="Times New Roman" w:hAnsi="Calibri" w:cs="Calibri"/>
          <w:color w:val="000000" w:themeColor="text1"/>
          <w:kern w:val="0"/>
          <w:lang w:eastAsia="en-GB"/>
          <w14:ligatures w14:val="none"/>
        </w:rPr>
        <w:t> annotations), the framework allows agents to interact with downstream services and databases.   </w:t>
      </w:r>
    </w:p>
    <w:tbl>
      <w:tblPr>
        <w:tblW w:w="10244" w:type="dxa"/>
        <w:tblCellSpacing w:w="15" w:type="dxa"/>
        <w:tblCellMar>
          <w:top w:w="15" w:type="dxa"/>
          <w:left w:w="15" w:type="dxa"/>
          <w:bottom w:w="15" w:type="dxa"/>
          <w:right w:w="15" w:type="dxa"/>
        </w:tblCellMar>
        <w:tblLook w:val="04A0" w:firstRow="1" w:lastRow="0" w:firstColumn="1" w:lastColumn="0" w:noHBand="0" w:noVBand="1"/>
      </w:tblPr>
      <w:tblGrid>
        <w:gridCol w:w="3016"/>
        <w:gridCol w:w="3242"/>
        <w:gridCol w:w="3986"/>
      </w:tblGrid>
      <w:tr w:rsidR="00666EB6" w:rsidRPr="00666EB6" w14:paraId="54C047A0" w14:textId="77777777" w:rsidTr="00666EB6">
        <w:trPr>
          <w:trHeight w:val="302"/>
          <w:tblHeader/>
          <w:tblCellSpacing w:w="15" w:type="dxa"/>
        </w:trPr>
        <w:tc>
          <w:tcPr>
            <w:tcW w:w="0" w:type="auto"/>
            <w:tcMar>
              <w:top w:w="120" w:type="dxa"/>
              <w:left w:w="180" w:type="dxa"/>
              <w:bottom w:w="120" w:type="dxa"/>
              <w:right w:w="180" w:type="dxa"/>
            </w:tcMar>
            <w:hideMark/>
          </w:tcPr>
          <w:p w14:paraId="74EDD629"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Engineering Task</w:t>
            </w:r>
          </w:p>
        </w:tc>
        <w:tc>
          <w:tcPr>
            <w:tcW w:w="0" w:type="auto"/>
            <w:tcMar>
              <w:top w:w="120" w:type="dxa"/>
              <w:left w:w="180" w:type="dxa"/>
              <w:bottom w:w="120" w:type="dxa"/>
              <w:right w:w="180" w:type="dxa"/>
            </w:tcMar>
            <w:hideMark/>
          </w:tcPr>
          <w:p w14:paraId="633DE917"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Agent Automation Level</w:t>
            </w:r>
          </w:p>
        </w:tc>
        <w:tc>
          <w:tcPr>
            <w:tcW w:w="0" w:type="auto"/>
            <w:tcMar>
              <w:top w:w="120" w:type="dxa"/>
              <w:left w:w="180" w:type="dxa"/>
              <w:bottom w:w="120" w:type="dxa"/>
              <w:right w:w="180" w:type="dxa"/>
            </w:tcMar>
            <w:hideMark/>
          </w:tcPr>
          <w:p w14:paraId="5923FD7B"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Tooling</w:t>
            </w:r>
          </w:p>
        </w:tc>
      </w:tr>
      <w:tr w:rsidR="00666EB6" w:rsidRPr="00666EB6" w14:paraId="4C41D4F3" w14:textId="77777777" w:rsidTr="00666EB6">
        <w:trPr>
          <w:trHeight w:val="315"/>
          <w:tblCellSpacing w:w="15" w:type="dxa"/>
        </w:trPr>
        <w:tc>
          <w:tcPr>
            <w:tcW w:w="0" w:type="auto"/>
            <w:tcMar>
              <w:top w:w="120" w:type="dxa"/>
              <w:left w:w="180" w:type="dxa"/>
              <w:bottom w:w="120" w:type="dxa"/>
              <w:right w:w="180" w:type="dxa"/>
            </w:tcMar>
            <w:hideMark/>
          </w:tcPr>
          <w:p w14:paraId="6F88AD33"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Boilerplate CRUD</w:t>
            </w:r>
          </w:p>
        </w:tc>
        <w:tc>
          <w:tcPr>
            <w:tcW w:w="0" w:type="auto"/>
            <w:tcMar>
              <w:top w:w="120" w:type="dxa"/>
              <w:left w:w="180" w:type="dxa"/>
              <w:bottom w:w="120" w:type="dxa"/>
              <w:right w:w="180" w:type="dxa"/>
            </w:tcMar>
            <w:hideMark/>
          </w:tcPr>
          <w:p w14:paraId="696962D4"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Full Automation</w:t>
            </w:r>
          </w:p>
        </w:tc>
        <w:tc>
          <w:tcPr>
            <w:tcW w:w="0" w:type="auto"/>
            <w:tcMar>
              <w:top w:w="120" w:type="dxa"/>
              <w:left w:w="180" w:type="dxa"/>
              <w:bottom w:w="120" w:type="dxa"/>
              <w:right w:w="180" w:type="dxa"/>
            </w:tcMar>
            <w:hideMark/>
          </w:tcPr>
          <w:p w14:paraId="0B014F09"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Spring AI ChatClient </w:t>
            </w:r>
          </w:p>
        </w:tc>
      </w:tr>
      <w:tr w:rsidR="00666EB6" w:rsidRPr="00666EB6" w14:paraId="6955C821" w14:textId="77777777" w:rsidTr="00666EB6">
        <w:trPr>
          <w:trHeight w:val="315"/>
          <w:tblCellSpacing w:w="15" w:type="dxa"/>
        </w:trPr>
        <w:tc>
          <w:tcPr>
            <w:tcW w:w="0" w:type="auto"/>
            <w:tcMar>
              <w:top w:w="120" w:type="dxa"/>
              <w:left w:w="180" w:type="dxa"/>
              <w:bottom w:w="120" w:type="dxa"/>
              <w:right w:w="180" w:type="dxa"/>
            </w:tcMar>
            <w:hideMark/>
          </w:tcPr>
          <w:p w14:paraId="14934F76"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API Spec Generation</w:t>
            </w:r>
          </w:p>
        </w:tc>
        <w:tc>
          <w:tcPr>
            <w:tcW w:w="0" w:type="auto"/>
            <w:tcMar>
              <w:top w:w="120" w:type="dxa"/>
              <w:left w:w="180" w:type="dxa"/>
              <w:bottom w:w="120" w:type="dxa"/>
              <w:right w:w="180" w:type="dxa"/>
            </w:tcMar>
            <w:hideMark/>
          </w:tcPr>
          <w:p w14:paraId="725C2BE5"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Full Automation</w:t>
            </w:r>
          </w:p>
        </w:tc>
        <w:tc>
          <w:tcPr>
            <w:tcW w:w="0" w:type="auto"/>
            <w:tcMar>
              <w:top w:w="120" w:type="dxa"/>
              <w:left w:w="180" w:type="dxa"/>
              <w:bottom w:w="120" w:type="dxa"/>
              <w:right w:w="180" w:type="dxa"/>
            </w:tcMar>
            <w:hideMark/>
          </w:tcPr>
          <w:p w14:paraId="550CDBB6"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Gemini Code Assist in Apigee </w:t>
            </w:r>
          </w:p>
        </w:tc>
      </w:tr>
      <w:tr w:rsidR="00666EB6" w:rsidRPr="00666EB6" w14:paraId="1CE763B4" w14:textId="77777777" w:rsidTr="00666EB6">
        <w:trPr>
          <w:trHeight w:val="315"/>
          <w:tblCellSpacing w:w="15" w:type="dxa"/>
        </w:trPr>
        <w:tc>
          <w:tcPr>
            <w:tcW w:w="0" w:type="auto"/>
            <w:tcMar>
              <w:top w:w="120" w:type="dxa"/>
              <w:left w:w="180" w:type="dxa"/>
              <w:bottom w:w="120" w:type="dxa"/>
              <w:right w:w="180" w:type="dxa"/>
            </w:tcMar>
            <w:hideMark/>
          </w:tcPr>
          <w:p w14:paraId="1AEB933A"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Complex Refactoring</w:t>
            </w:r>
          </w:p>
        </w:tc>
        <w:tc>
          <w:tcPr>
            <w:tcW w:w="0" w:type="auto"/>
            <w:tcMar>
              <w:top w:w="120" w:type="dxa"/>
              <w:left w:w="180" w:type="dxa"/>
              <w:bottom w:w="120" w:type="dxa"/>
              <w:right w:w="180" w:type="dxa"/>
            </w:tcMar>
            <w:hideMark/>
          </w:tcPr>
          <w:p w14:paraId="5A7BC780"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Semi-Autonomous</w:t>
            </w:r>
          </w:p>
        </w:tc>
        <w:tc>
          <w:tcPr>
            <w:tcW w:w="0" w:type="auto"/>
            <w:tcMar>
              <w:top w:w="120" w:type="dxa"/>
              <w:left w:w="180" w:type="dxa"/>
              <w:bottom w:w="120" w:type="dxa"/>
              <w:right w:w="180" w:type="dxa"/>
            </w:tcMar>
            <w:hideMark/>
          </w:tcPr>
          <w:p w14:paraId="59A15283"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Syncfusion Agent Mode </w:t>
            </w:r>
          </w:p>
        </w:tc>
      </w:tr>
      <w:tr w:rsidR="00666EB6" w:rsidRPr="00666EB6" w14:paraId="70AA0072" w14:textId="77777777" w:rsidTr="00666EB6">
        <w:trPr>
          <w:trHeight w:val="302"/>
          <w:tblCellSpacing w:w="15" w:type="dxa"/>
        </w:trPr>
        <w:tc>
          <w:tcPr>
            <w:tcW w:w="0" w:type="auto"/>
            <w:tcMar>
              <w:top w:w="120" w:type="dxa"/>
              <w:left w:w="180" w:type="dxa"/>
              <w:bottom w:w="120" w:type="dxa"/>
              <w:right w:w="180" w:type="dxa"/>
            </w:tcMar>
            <w:hideMark/>
          </w:tcPr>
          <w:p w14:paraId="73E8AA62"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Legacy Modernization</w:t>
            </w:r>
          </w:p>
        </w:tc>
        <w:tc>
          <w:tcPr>
            <w:tcW w:w="0" w:type="auto"/>
            <w:tcMar>
              <w:top w:w="120" w:type="dxa"/>
              <w:left w:w="180" w:type="dxa"/>
              <w:bottom w:w="120" w:type="dxa"/>
              <w:right w:w="180" w:type="dxa"/>
            </w:tcMar>
            <w:hideMark/>
          </w:tcPr>
          <w:p w14:paraId="3FDD6212"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Guided Assistance</w:t>
            </w:r>
          </w:p>
        </w:tc>
        <w:tc>
          <w:tcPr>
            <w:tcW w:w="0" w:type="auto"/>
            <w:tcMar>
              <w:top w:w="120" w:type="dxa"/>
              <w:left w:w="180" w:type="dxa"/>
              <w:bottom w:w="120" w:type="dxa"/>
              <w:right w:w="180" w:type="dxa"/>
            </w:tcMar>
            <w:hideMark/>
          </w:tcPr>
          <w:p w14:paraId="2B0818BE"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WinForms/Java Expert Agents </w:t>
            </w:r>
          </w:p>
        </w:tc>
      </w:tr>
    </w:tbl>
    <w:p w14:paraId="44E003EF"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  </w:t>
      </w:r>
    </w:p>
    <w:p w14:paraId="6103BEAA"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One of the most powerful features of this setup is the "Agent Mode" available in Syncfusion Code Studio, which independently handles multi-file changes. The agent analyzes the prompt and codebase, creates a step-by-step plan, uses built-in terminal tools to execute changes, and then verifies the result through local builds. This "reasoning + action" cycle is what allows two senior developers to maintain the productivity levels of fifteen.   </w:t>
      </w:r>
    </w:p>
    <w:p w14:paraId="67B66D9A" w14:textId="77777777" w:rsidR="00666EB6" w:rsidRPr="00666EB6" w:rsidRDefault="00666EB6" w:rsidP="00666EB6">
      <w:pPr>
        <w:spacing w:before="100" w:beforeAutospacing="1" w:after="100" w:afterAutospacing="1" w:line="240" w:lineRule="auto"/>
        <w:outlineLvl w:val="1"/>
        <w:rPr>
          <w:rFonts w:ascii="Calibri" w:eastAsia="Times New Roman" w:hAnsi="Calibri" w:cs="Calibri"/>
          <w:b/>
          <w:bCs/>
          <w:color w:val="000000" w:themeColor="text1"/>
          <w:kern w:val="0"/>
          <w:sz w:val="36"/>
          <w:szCs w:val="36"/>
          <w:lang w:eastAsia="en-GB"/>
          <w14:ligatures w14:val="none"/>
        </w:rPr>
      </w:pPr>
      <w:r w:rsidRPr="00666EB6">
        <w:rPr>
          <w:rFonts w:ascii="Calibri" w:eastAsia="Times New Roman" w:hAnsi="Calibri" w:cs="Calibri"/>
          <w:b/>
          <w:bCs/>
          <w:color w:val="000000" w:themeColor="text1"/>
          <w:kern w:val="0"/>
          <w:sz w:val="36"/>
          <w:szCs w:val="36"/>
          <w:lang w:eastAsia="en-GB"/>
          <w14:ligatures w14:val="none"/>
        </w:rPr>
        <w:t>Rules-Driven Logic and the AI-Drools Interface</w:t>
      </w:r>
    </w:p>
    <w:p w14:paraId="5C9791B9"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lastRenderedPageBreak/>
        <w:t>A unique requirement of this framework is the integration with Drools (Drules) for business rules management. Traditionally, business rules engines (BRE) like Drools require deep Java expertise and are difficult for non-technical staff to manage. The SPLM framework reimagines this by using AI agents to generate DRL (Drools Rule Language) code from natural language functional specifications.   </w:t>
      </w:r>
    </w:p>
    <w:p w14:paraId="3DBE4BCF"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This creates a hybrid decision-making system where the AI agent provides the flexibility to understand complex, unstructured user intent, while the Drools engine provides the precision and auditability required for business-critical logic, such as contract compliance checks or fraud detection. The "Documentation Generator Agent" maintains the DRL files as part of the formal requirements documentation, ensuring that rules can be updated by non-developers through a low-code interface within the SPLM hub.   </w:t>
      </w:r>
    </w:p>
    <w:p w14:paraId="486F29BA" w14:textId="77777777" w:rsidR="00666EB6" w:rsidRPr="00666EB6" w:rsidRDefault="00666EB6" w:rsidP="00666EB6">
      <w:pPr>
        <w:spacing w:before="100" w:beforeAutospacing="1" w:after="100" w:afterAutospacing="1" w:line="240" w:lineRule="auto"/>
        <w:outlineLvl w:val="1"/>
        <w:rPr>
          <w:rFonts w:ascii="Calibri" w:eastAsia="Times New Roman" w:hAnsi="Calibri" w:cs="Calibri"/>
          <w:b/>
          <w:bCs/>
          <w:color w:val="000000" w:themeColor="text1"/>
          <w:kern w:val="0"/>
          <w:sz w:val="36"/>
          <w:szCs w:val="36"/>
          <w:lang w:eastAsia="en-GB"/>
          <w14:ligatures w14:val="none"/>
        </w:rPr>
      </w:pPr>
      <w:r w:rsidRPr="00666EB6">
        <w:rPr>
          <w:rFonts w:ascii="Calibri" w:eastAsia="Times New Roman" w:hAnsi="Calibri" w:cs="Calibri"/>
          <w:b/>
          <w:bCs/>
          <w:color w:val="000000" w:themeColor="text1"/>
          <w:kern w:val="0"/>
          <w:sz w:val="36"/>
          <w:szCs w:val="36"/>
          <w:lang w:eastAsia="en-GB"/>
          <w14:ligatures w14:val="none"/>
        </w:rPr>
        <w:t>Quality Engineering and Autonomous Testing Management</w:t>
      </w:r>
    </w:p>
    <w:p w14:paraId="6BA0A321"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user's diagram explicitly includes a "Testing Mgmt" block that feeds into "Acceptance Testing" and "Local Testing." In the agentic SPLM framework, testing is transformed from a reactive phase into a proactive, autonomous operation. AI testing agents act as "digital coworkers" that examine the application’s UI or API, spot bugs, and adapt their testing strategy based on new features.   </w:t>
      </w:r>
    </w:p>
    <w:p w14:paraId="0C9F0BAC" w14:textId="77777777" w:rsidR="00666EB6" w:rsidRPr="00666EB6" w:rsidRDefault="00666EB6" w:rsidP="00666EB6">
      <w:pPr>
        <w:spacing w:before="100" w:beforeAutospacing="1" w:after="100" w:afterAutospacing="1" w:line="240" w:lineRule="auto"/>
        <w:outlineLvl w:val="2"/>
        <w:rPr>
          <w:rFonts w:ascii="Calibri" w:eastAsia="Times New Roman" w:hAnsi="Calibri" w:cs="Calibri"/>
          <w:b/>
          <w:bCs/>
          <w:color w:val="000000" w:themeColor="text1"/>
          <w:kern w:val="0"/>
          <w:sz w:val="27"/>
          <w:szCs w:val="27"/>
          <w:lang w:eastAsia="en-GB"/>
          <w14:ligatures w14:val="none"/>
        </w:rPr>
      </w:pPr>
      <w:r w:rsidRPr="00666EB6">
        <w:rPr>
          <w:rFonts w:ascii="Calibri" w:eastAsia="Times New Roman" w:hAnsi="Calibri" w:cs="Calibri"/>
          <w:b/>
          <w:bCs/>
          <w:color w:val="000000" w:themeColor="text1"/>
          <w:kern w:val="0"/>
          <w:sz w:val="27"/>
          <w:szCs w:val="27"/>
          <w:lang w:eastAsia="en-GB"/>
          <w14:ligatures w14:val="none"/>
        </w:rPr>
        <w:t>From Specifications to Executable Tests</w:t>
      </w:r>
    </w:p>
    <w:p w14:paraId="4C8F8180"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"Test Specification" artifact generated in the Syncfusion editor serves as the input for autonomous test generation agents. For the ReactJS frontend, agents can generate Selenium or Playwright scripts directly from natural language instructions. For the Java backend, tools like Diffblue use static code analysis and symbolic execution to generate comprehensive unit tests.   </w:t>
      </w:r>
    </w:p>
    <w:tbl>
      <w:tblPr>
        <w:tblW w:w="10016" w:type="dxa"/>
        <w:tblCellSpacing w:w="15" w:type="dxa"/>
        <w:tblCellMar>
          <w:top w:w="15" w:type="dxa"/>
          <w:left w:w="15" w:type="dxa"/>
          <w:bottom w:w="15" w:type="dxa"/>
          <w:right w:w="15" w:type="dxa"/>
        </w:tblCellMar>
        <w:tblLook w:val="04A0" w:firstRow="1" w:lastRow="0" w:firstColumn="1" w:lastColumn="0" w:noHBand="0" w:noVBand="1"/>
      </w:tblPr>
      <w:tblGrid>
        <w:gridCol w:w="2105"/>
        <w:gridCol w:w="4622"/>
        <w:gridCol w:w="3289"/>
      </w:tblGrid>
      <w:tr w:rsidR="00666EB6" w:rsidRPr="00666EB6" w14:paraId="7880F199" w14:textId="77777777" w:rsidTr="00666EB6">
        <w:trPr>
          <w:trHeight w:val="302"/>
          <w:tblHeader/>
          <w:tblCellSpacing w:w="15" w:type="dxa"/>
        </w:trPr>
        <w:tc>
          <w:tcPr>
            <w:tcW w:w="0" w:type="auto"/>
            <w:tcMar>
              <w:top w:w="120" w:type="dxa"/>
              <w:left w:w="180" w:type="dxa"/>
              <w:bottom w:w="120" w:type="dxa"/>
              <w:right w:w="180" w:type="dxa"/>
            </w:tcMar>
            <w:hideMark/>
          </w:tcPr>
          <w:p w14:paraId="3867F84C"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Testing Level</w:t>
            </w:r>
          </w:p>
        </w:tc>
        <w:tc>
          <w:tcPr>
            <w:tcW w:w="0" w:type="auto"/>
            <w:tcMar>
              <w:top w:w="120" w:type="dxa"/>
              <w:left w:w="180" w:type="dxa"/>
              <w:bottom w:w="120" w:type="dxa"/>
              <w:right w:w="180" w:type="dxa"/>
            </w:tcMar>
            <w:hideMark/>
          </w:tcPr>
          <w:p w14:paraId="07AD4B90"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Agent Activity</w:t>
            </w:r>
          </w:p>
        </w:tc>
        <w:tc>
          <w:tcPr>
            <w:tcW w:w="0" w:type="auto"/>
            <w:tcMar>
              <w:top w:w="120" w:type="dxa"/>
              <w:left w:w="180" w:type="dxa"/>
              <w:bottom w:w="120" w:type="dxa"/>
              <w:right w:w="180" w:type="dxa"/>
            </w:tcMar>
            <w:hideMark/>
          </w:tcPr>
          <w:p w14:paraId="1E387F86"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Outcome</w:t>
            </w:r>
          </w:p>
        </w:tc>
      </w:tr>
      <w:tr w:rsidR="00666EB6" w:rsidRPr="00666EB6" w14:paraId="5339BC16" w14:textId="77777777" w:rsidTr="00666EB6">
        <w:trPr>
          <w:trHeight w:val="315"/>
          <w:tblCellSpacing w:w="15" w:type="dxa"/>
        </w:trPr>
        <w:tc>
          <w:tcPr>
            <w:tcW w:w="0" w:type="auto"/>
            <w:tcMar>
              <w:top w:w="120" w:type="dxa"/>
              <w:left w:w="180" w:type="dxa"/>
              <w:bottom w:w="120" w:type="dxa"/>
              <w:right w:w="180" w:type="dxa"/>
            </w:tcMar>
            <w:hideMark/>
          </w:tcPr>
          <w:p w14:paraId="05C16416"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Unit Testing</w:t>
            </w:r>
          </w:p>
        </w:tc>
        <w:tc>
          <w:tcPr>
            <w:tcW w:w="0" w:type="auto"/>
            <w:tcMar>
              <w:top w:w="120" w:type="dxa"/>
              <w:left w:w="180" w:type="dxa"/>
              <w:bottom w:w="120" w:type="dxa"/>
              <w:right w:w="180" w:type="dxa"/>
            </w:tcMar>
            <w:hideMark/>
          </w:tcPr>
          <w:p w14:paraId="672949E0"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Automated Java/Spring unit test generation.</w:t>
            </w:r>
          </w:p>
        </w:tc>
        <w:tc>
          <w:tcPr>
            <w:tcW w:w="0" w:type="auto"/>
            <w:tcMar>
              <w:top w:w="120" w:type="dxa"/>
              <w:left w:w="180" w:type="dxa"/>
              <w:bottom w:w="120" w:type="dxa"/>
              <w:right w:w="180" w:type="dxa"/>
            </w:tcMar>
            <w:hideMark/>
          </w:tcPr>
          <w:p w14:paraId="360404D2"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High coverage, low regression risk.</w:t>
            </w:r>
          </w:p>
        </w:tc>
      </w:tr>
      <w:tr w:rsidR="00666EB6" w:rsidRPr="00666EB6" w14:paraId="45A59B32" w14:textId="77777777" w:rsidTr="00666EB6">
        <w:trPr>
          <w:trHeight w:val="315"/>
          <w:tblCellSpacing w:w="15" w:type="dxa"/>
        </w:trPr>
        <w:tc>
          <w:tcPr>
            <w:tcW w:w="0" w:type="auto"/>
            <w:tcMar>
              <w:top w:w="120" w:type="dxa"/>
              <w:left w:w="180" w:type="dxa"/>
              <w:bottom w:w="120" w:type="dxa"/>
              <w:right w:w="180" w:type="dxa"/>
            </w:tcMar>
            <w:hideMark/>
          </w:tcPr>
          <w:p w14:paraId="68F182FD"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Functional Testing</w:t>
            </w:r>
          </w:p>
        </w:tc>
        <w:tc>
          <w:tcPr>
            <w:tcW w:w="0" w:type="auto"/>
            <w:tcMar>
              <w:top w:w="120" w:type="dxa"/>
              <w:left w:w="180" w:type="dxa"/>
              <w:bottom w:w="120" w:type="dxa"/>
              <w:right w:w="180" w:type="dxa"/>
            </w:tcMar>
            <w:hideMark/>
          </w:tcPr>
          <w:p w14:paraId="143B0C70"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Fragmenting OpenAPI docs into Postman collections.</w:t>
            </w:r>
          </w:p>
        </w:tc>
        <w:tc>
          <w:tcPr>
            <w:tcW w:w="0" w:type="auto"/>
            <w:tcMar>
              <w:top w:w="120" w:type="dxa"/>
              <w:left w:w="180" w:type="dxa"/>
              <w:bottom w:w="120" w:type="dxa"/>
              <w:right w:w="180" w:type="dxa"/>
            </w:tcMar>
            <w:hideMark/>
          </w:tcPr>
          <w:p w14:paraId="3858E713"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Standardized API validation.</w:t>
            </w:r>
          </w:p>
        </w:tc>
      </w:tr>
      <w:tr w:rsidR="00666EB6" w:rsidRPr="00666EB6" w14:paraId="2467CE24" w14:textId="77777777" w:rsidTr="00666EB6">
        <w:trPr>
          <w:trHeight w:val="315"/>
          <w:tblCellSpacing w:w="15" w:type="dxa"/>
        </w:trPr>
        <w:tc>
          <w:tcPr>
            <w:tcW w:w="0" w:type="auto"/>
            <w:tcMar>
              <w:top w:w="120" w:type="dxa"/>
              <w:left w:w="180" w:type="dxa"/>
              <w:bottom w:w="120" w:type="dxa"/>
              <w:right w:w="180" w:type="dxa"/>
            </w:tcMar>
            <w:hideMark/>
          </w:tcPr>
          <w:p w14:paraId="7D3F9817"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UI/Acceptance</w:t>
            </w:r>
          </w:p>
        </w:tc>
        <w:tc>
          <w:tcPr>
            <w:tcW w:w="0" w:type="auto"/>
            <w:tcMar>
              <w:top w:w="120" w:type="dxa"/>
              <w:left w:w="180" w:type="dxa"/>
              <w:bottom w:w="120" w:type="dxa"/>
              <w:right w:w="180" w:type="dxa"/>
            </w:tcMar>
            <w:hideMark/>
          </w:tcPr>
          <w:p w14:paraId="0BBA9CC6"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Vision-based agents exploring the React interface.</w:t>
            </w:r>
          </w:p>
        </w:tc>
        <w:tc>
          <w:tcPr>
            <w:tcW w:w="0" w:type="auto"/>
            <w:tcMar>
              <w:top w:w="120" w:type="dxa"/>
              <w:left w:w="180" w:type="dxa"/>
              <w:bottom w:w="120" w:type="dxa"/>
              <w:right w:w="180" w:type="dxa"/>
            </w:tcMar>
            <w:hideMark/>
          </w:tcPr>
          <w:p w14:paraId="111D197F"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Real-world user flow validation.</w:t>
            </w:r>
          </w:p>
        </w:tc>
      </w:tr>
      <w:tr w:rsidR="00666EB6" w:rsidRPr="00666EB6" w14:paraId="5D6906B2" w14:textId="77777777" w:rsidTr="00666EB6">
        <w:trPr>
          <w:trHeight w:val="302"/>
          <w:tblCellSpacing w:w="15" w:type="dxa"/>
        </w:trPr>
        <w:tc>
          <w:tcPr>
            <w:tcW w:w="0" w:type="auto"/>
            <w:tcMar>
              <w:top w:w="120" w:type="dxa"/>
              <w:left w:w="180" w:type="dxa"/>
              <w:bottom w:w="120" w:type="dxa"/>
              <w:right w:w="180" w:type="dxa"/>
            </w:tcMar>
            <w:hideMark/>
          </w:tcPr>
          <w:p w14:paraId="3D5C0CFA"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Performance</w:t>
            </w:r>
          </w:p>
        </w:tc>
        <w:tc>
          <w:tcPr>
            <w:tcW w:w="0" w:type="auto"/>
            <w:tcMar>
              <w:top w:w="120" w:type="dxa"/>
              <w:left w:w="180" w:type="dxa"/>
              <w:bottom w:w="120" w:type="dxa"/>
              <w:right w:w="180" w:type="dxa"/>
            </w:tcMar>
            <w:hideMark/>
          </w:tcPr>
          <w:p w14:paraId="0F6A9AC1"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Simulating system behavior under varying loads.</w:t>
            </w:r>
          </w:p>
        </w:tc>
        <w:tc>
          <w:tcPr>
            <w:tcW w:w="0" w:type="auto"/>
            <w:tcMar>
              <w:top w:w="120" w:type="dxa"/>
              <w:left w:w="180" w:type="dxa"/>
              <w:bottom w:w="120" w:type="dxa"/>
              <w:right w:w="180" w:type="dxa"/>
            </w:tcMar>
            <w:hideMark/>
          </w:tcPr>
          <w:p w14:paraId="07BF9FFB"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Proactive failure prediction.</w:t>
            </w:r>
          </w:p>
        </w:tc>
      </w:tr>
    </w:tbl>
    <w:p w14:paraId="2132C271"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  </w:t>
      </w:r>
    </w:p>
    <w:p w14:paraId="335A327B"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 xml:space="preserve">The causal impact of this automation is a drastically reduced manual effort in the QA phase, allowing the team to move from requirement parsing to executable validation within hours </w:t>
      </w:r>
      <w:r w:rsidRPr="00666EB6">
        <w:rPr>
          <w:rFonts w:ascii="Calibri" w:eastAsia="Times New Roman" w:hAnsi="Calibri" w:cs="Calibri"/>
          <w:color w:val="000000" w:themeColor="text1"/>
          <w:kern w:val="0"/>
          <w:lang w:eastAsia="en-GB"/>
          <w14:ligatures w14:val="none"/>
        </w:rPr>
        <w:lastRenderedPageBreak/>
        <w:t>rather than days. Furthermore, "self-healing" tests can automatically adjust to UI changes, significantly cutting maintenance overhead—a prerequisite for a five-person team managing a complex product.   </w:t>
      </w:r>
    </w:p>
    <w:p w14:paraId="264F72D3" w14:textId="77777777" w:rsidR="00666EB6" w:rsidRPr="00666EB6" w:rsidRDefault="00666EB6" w:rsidP="00666EB6">
      <w:pPr>
        <w:spacing w:before="100" w:beforeAutospacing="1" w:after="100" w:afterAutospacing="1" w:line="240" w:lineRule="auto"/>
        <w:outlineLvl w:val="1"/>
        <w:rPr>
          <w:rFonts w:ascii="Calibri" w:eastAsia="Times New Roman" w:hAnsi="Calibri" w:cs="Calibri"/>
          <w:b/>
          <w:bCs/>
          <w:color w:val="000000" w:themeColor="text1"/>
          <w:kern w:val="0"/>
          <w:sz w:val="36"/>
          <w:szCs w:val="36"/>
          <w:lang w:eastAsia="en-GB"/>
          <w14:ligatures w14:val="none"/>
        </w:rPr>
      </w:pPr>
      <w:r w:rsidRPr="00666EB6">
        <w:rPr>
          <w:rFonts w:ascii="Calibri" w:eastAsia="Times New Roman" w:hAnsi="Calibri" w:cs="Calibri"/>
          <w:b/>
          <w:bCs/>
          <w:color w:val="000000" w:themeColor="text1"/>
          <w:kern w:val="0"/>
          <w:sz w:val="36"/>
          <w:szCs w:val="36"/>
          <w:lang w:eastAsia="en-GB"/>
          <w14:ligatures w14:val="none"/>
        </w:rPr>
        <w:t>Release, Training, and User Education Automation</w:t>
      </w:r>
    </w:p>
    <w:p w14:paraId="50F4CFD5"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user's diagram includes "Release Notes Mgmt," "Solution Manual Mgmt," and "Training Portal Mgmt." These are often the first areas to suffer when a team is reduced in size, yet they are vital for "Value" and "Compliance."</w:t>
      </w:r>
    </w:p>
    <w:p w14:paraId="5AD60DA5" w14:textId="77777777" w:rsidR="00666EB6" w:rsidRPr="00666EB6" w:rsidRDefault="00666EB6" w:rsidP="00666EB6">
      <w:pPr>
        <w:spacing w:before="100" w:beforeAutospacing="1" w:after="100" w:afterAutospacing="1" w:line="240" w:lineRule="auto"/>
        <w:outlineLvl w:val="2"/>
        <w:rPr>
          <w:rFonts w:ascii="Calibri" w:eastAsia="Times New Roman" w:hAnsi="Calibri" w:cs="Calibri"/>
          <w:b/>
          <w:bCs/>
          <w:color w:val="000000" w:themeColor="text1"/>
          <w:kern w:val="0"/>
          <w:sz w:val="27"/>
          <w:szCs w:val="27"/>
          <w:lang w:eastAsia="en-GB"/>
          <w14:ligatures w14:val="none"/>
        </w:rPr>
      </w:pPr>
      <w:r w:rsidRPr="00666EB6">
        <w:rPr>
          <w:rFonts w:ascii="Calibri" w:eastAsia="Times New Roman" w:hAnsi="Calibri" w:cs="Calibri"/>
          <w:b/>
          <w:bCs/>
          <w:color w:val="000000" w:themeColor="text1"/>
          <w:kern w:val="0"/>
          <w:sz w:val="27"/>
          <w:szCs w:val="27"/>
          <w:lang w:eastAsia="en-GB"/>
          <w14:ligatures w14:val="none"/>
        </w:rPr>
        <w:t>Autonomous Manual and Training Generation</w:t>
      </w:r>
    </w:p>
    <w:p w14:paraId="60D66907"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SPLM framework uses the finalized technical and functional specifications to feed a "Documentation Generator Agent" that produces user instructions, help guides, and FAQs. This ensures that the "Solution Manual Mgmt" is always in lockstep with the latest production release.   </w:t>
      </w:r>
    </w:p>
    <w:p w14:paraId="1C881593"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For the "Training Portal Mgmt," AI agents can analyze the updated documentation to generate user training modules and quizzes. These agents can also personalize the onboarding experience by analyzing user roles and previous interactions within the contract management system.   </w:t>
      </w:r>
    </w:p>
    <w:p w14:paraId="2BB06EB0" w14:textId="77777777" w:rsidR="00666EB6" w:rsidRPr="00666EB6" w:rsidRDefault="00666EB6" w:rsidP="00666EB6">
      <w:pPr>
        <w:spacing w:before="100" w:beforeAutospacing="1" w:after="100" w:afterAutospacing="1" w:line="240" w:lineRule="auto"/>
        <w:outlineLvl w:val="2"/>
        <w:rPr>
          <w:rFonts w:ascii="Calibri" w:eastAsia="Times New Roman" w:hAnsi="Calibri" w:cs="Calibri"/>
          <w:b/>
          <w:bCs/>
          <w:color w:val="000000" w:themeColor="text1"/>
          <w:kern w:val="0"/>
          <w:sz w:val="27"/>
          <w:szCs w:val="27"/>
          <w:lang w:eastAsia="en-GB"/>
          <w14:ligatures w14:val="none"/>
        </w:rPr>
      </w:pPr>
      <w:r w:rsidRPr="00666EB6">
        <w:rPr>
          <w:rFonts w:ascii="Calibri" w:eastAsia="Times New Roman" w:hAnsi="Calibri" w:cs="Calibri"/>
          <w:b/>
          <w:bCs/>
          <w:color w:val="000000" w:themeColor="text1"/>
          <w:kern w:val="0"/>
          <w:sz w:val="27"/>
          <w:szCs w:val="27"/>
          <w:lang w:eastAsia="en-GB"/>
          <w14:ligatures w14:val="none"/>
        </w:rPr>
        <w:t>Automated Release Notes</w:t>
      </w:r>
    </w:p>
    <w:p w14:paraId="2A9317F3"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"Release Notes Mgmt" box is automated by a multi-agent workflow that:</w:t>
      </w:r>
    </w:p>
    <w:p w14:paraId="680AA017" w14:textId="77777777" w:rsidR="00666EB6" w:rsidRPr="00666EB6" w:rsidRDefault="00666EB6" w:rsidP="00666EB6">
      <w:pPr>
        <w:numPr>
          <w:ilvl w:val="0"/>
          <w:numId w:val="2"/>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Aggregates all merged pull requests since the last release.</w:t>
      </w:r>
    </w:p>
    <w:p w14:paraId="7AAC71E3" w14:textId="77777777" w:rsidR="00666EB6" w:rsidRPr="00666EB6" w:rsidRDefault="00666EB6" w:rsidP="00666EB6">
      <w:pPr>
        <w:numPr>
          <w:ilvl w:val="0"/>
          <w:numId w:val="2"/>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Cross-references them with the corresponding Azure DevOps work items and documentation updates in the Syncfusion editor.</w:t>
      </w:r>
    </w:p>
    <w:p w14:paraId="449A0202" w14:textId="77777777" w:rsidR="00666EB6" w:rsidRPr="00666EB6" w:rsidRDefault="00666EB6" w:rsidP="00666EB6">
      <w:pPr>
        <w:numPr>
          <w:ilvl w:val="0"/>
          <w:numId w:val="2"/>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Generates a stakeholder-friendly summary of new features, bug fixes, and compliance updates.</w:t>
      </w:r>
    </w:p>
    <w:p w14:paraId="634BD9D2" w14:textId="77777777" w:rsidR="00666EB6" w:rsidRPr="00666EB6" w:rsidRDefault="00666EB6" w:rsidP="00666EB6">
      <w:pPr>
        <w:numPr>
          <w:ilvl w:val="0"/>
          <w:numId w:val="2"/>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Publishes the notes to the SPLM training portal and the Apigee developer portal.   </w:t>
      </w:r>
    </w:p>
    <w:p w14:paraId="6FF037FC" w14:textId="77777777" w:rsidR="00666EB6" w:rsidRPr="00666EB6" w:rsidRDefault="00666EB6" w:rsidP="00666EB6">
      <w:pPr>
        <w:spacing w:before="100" w:beforeAutospacing="1" w:after="100" w:afterAutospacing="1" w:line="240" w:lineRule="auto"/>
        <w:outlineLvl w:val="1"/>
        <w:rPr>
          <w:rFonts w:ascii="Calibri" w:eastAsia="Times New Roman" w:hAnsi="Calibri" w:cs="Calibri"/>
          <w:b/>
          <w:bCs/>
          <w:color w:val="000000" w:themeColor="text1"/>
          <w:kern w:val="0"/>
          <w:sz w:val="36"/>
          <w:szCs w:val="36"/>
          <w:lang w:eastAsia="en-GB"/>
          <w14:ligatures w14:val="none"/>
        </w:rPr>
      </w:pPr>
      <w:r w:rsidRPr="00666EB6">
        <w:rPr>
          <w:rFonts w:ascii="Calibri" w:eastAsia="Times New Roman" w:hAnsi="Calibri" w:cs="Calibri"/>
          <w:b/>
          <w:bCs/>
          <w:color w:val="000000" w:themeColor="text1"/>
          <w:kern w:val="0"/>
          <w:sz w:val="36"/>
          <w:szCs w:val="36"/>
          <w:lang w:eastAsia="en-GB"/>
          <w14:ligatures w14:val="none"/>
        </w:rPr>
        <w:t>The Elite Five: Transitioning to the AI-First Team Model</w:t>
      </w:r>
    </w:p>
    <w:p w14:paraId="6DA0B18F"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user's ambition to replace a twenty-four-person structure with five specialized roles is the ultimate test of this framework. This reduction represents the transition from a "Human-Centric" era to an "Agentic Era" of software development.   </w:t>
      </w:r>
    </w:p>
    <w:p w14:paraId="48C8B442" w14:textId="77777777" w:rsidR="00666EB6" w:rsidRPr="00666EB6" w:rsidRDefault="00666EB6" w:rsidP="00666EB6">
      <w:pPr>
        <w:spacing w:before="100" w:beforeAutospacing="1" w:after="100" w:afterAutospacing="1" w:line="240" w:lineRule="auto"/>
        <w:outlineLvl w:val="2"/>
        <w:rPr>
          <w:rFonts w:ascii="Calibri" w:eastAsia="Times New Roman" w:hAnsi="Calibri" w:cs="Calibri"/>
          <w:b/>
          <w:bCs/>
          <w:color w:val="000000" w:themeColor="text1"/>
          <w:kern w:val="0"/>
          <w:sz w:val="27"/>
          <w:szCs w:val="27"/>
          <w:lang w:eastAsia="en-GB"/>
          <w14:ligatures w14:val="none"/>
        </w:rPr>
      </w:pPr>
      <w:r w:rsidRPr="00666EB6">
        <w:rPr>
          <w:rFonts w:ascii="Calibri" w:eastAsia="Times New Roman" w:hAnsi="Calibri" w:cs="Calibri"/>
          <w:b/>
          <w:bCs/>
          <w:color w:val="000000" w:themeColor="text1"/>
          <w:kern w:val="0"/>
          <w:sz w:val="27"/>
          <w:szCs w:val="27"/>
          <w:lang w:eastAsia="en-GB"/>
          <w14:ligatures w14:val="none"/>
        </w:rPr>
        <w:t>Managing the Transition Risks</w:t>
      </w:r>
    </w:p>
    <w:p w14:paraId="56B824D0"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Research suggests that while cost savings can be significant—upwards of $238K annually after tooling costs—the risks of context loss and "catastrophic failure at context" are high. Senior developers function as the organizational immune system; they remember historical decisions and architectural choices that AI agents, which often start with "amnesia," do not.   </w:t>
      </w:r>
    </w:p>
    <w:p w14:paraId="71691B6C"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lastRenderedPageBreak/>
        <w:t>To mitigate these risks, the two senior developers must embrace the "Janitor Effect"—the reality that they will spend significant mental energy cleaning up and verifying messy or subtly incorrect code produced by agents. The framework must prioritize "Deep Work" and focus time distribution, as even in an AI-augmented environment, elite teams require 5.5+ hours of daily focus time to solve complex architectural problems.   </w:t>
      </w:r>
    </w:p>
    <w:p w14:paraId="684DF299" w14:textId="77777777" w:rsidR="00666EB6" w:rsidRPr="00666EB6" w:rsidRDefault="00666EB6" w:rsidP="00666EB6">
      <w:pPr>
        <w:spacing w:before="100" w:beforeAutospacing="1" w:after="100" w:afterAutospacing="1" w:line="240" w:lineRule="auto"/>
        <w:outlineLvl w:val="2"/>
        <w:rPr>
          <w:rFonts w:ascii="Calibri" w:eastAsia="Times New Roman" w:hAnsi="Calibri" w:cs="Calibri"/>
          <w:b/>
          <w:bCs/>
          <w:color w:val="000000" w:themeColor="text1"/>
          <w:kern w:val="0"/>
          <w:sz w:val="27"/>
          <w:szCs w:val="27"/>
          <w:lang w:eastAsia="en-GB"/>
          <w14:ligatures w14:val="none"/>
        </w:rPr>
      </w:pPr>
      <w:r w:rsidRPr="00666EB6">
        <w:rPr>
          <w:rFonts w:ascii="Calibri" w:eastAsia="Times New Roman" w:hAnsi="Calibri" w:cs="Calibri"/>
          <w:b/>
          <w:bCs/>
          <w:color w:val="000000" w:themeColor="text1"/>
          <w:kern w:val="0"/>
          <w:sz w:val="27"/>
          <w:szCs w:val="27"/>
          <w:lang w:eastAsia="en-GB"/>
          <w14:ligatures w14:val="none"/>
        </w:rPr>
        <w:t>Productivity and Team Structure Comparison</w:t>
      </w:r>
    </w:p>
    <w:tbl>
      <w:tblPr>
        <w:tblW w:w="10039" w:type="dxa"/>
        <w:tblCellSpacing w:w="15" w:type="dxa"/>
        <w:tblCellMar>
          <w:top w:w="15" w:type="dxa"/>
          <w:left w:w="15" w:type="dxa"/>
          <w:bottom w:w="15" w:type="dxa"/>
          <w:right w:w="15" w:type="dxa"/>
        </w:tblCellMar>
        <w:tblLook w:val="04A0" w:firstRow="1" w:lastRow="0" w:firstColumn="1" w:lastColumn="0" w:noHBand="0" w:noVBand="1"/>
      </w:tblPr>
      <w:tblGrid>
        <w:gridCol w:w="2158"/>
        <w:gridCol w:w="2247"/>
        <w:gridCol w:w="2754"/>
        <w:gridCol w:w="2880"/>
      </w:tblGrid>
      <w:tr w:rsidR="00666EB6" w:rsidRPr="00666EB6" w14:paraId="6C0E4ED7" w14:textId="77777777" w:rsidTr="00666EB6">
        <w:trPr>
          <w:trHeight w:val="288"/>
          <w:tblHeader/>
          <w:tblCellSpacing w:w="15" w:type="dxa"/>
        </w:trPr>
        <w:tc>
          <w:tcPr>
            <w:tcW w:w="0" w:type="auto"/>
            <w:tcMar>
              <w:top w:w="120" w:type="dxa"/>
              <w:left w:w="180" w:type="dxa"/>
              <w:bottom w:w="120" w:type="dxa"/>
              <w:right w:w="180" w:type="dxa"/>
            </w:tcMar>
            <w:hideMark/>
          </w:tcPr>
          <w:p w14:paraId="1160B4DF"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Metric</w:t>
            </w:r>
          </w:p>
        </w:tc>
        <w:tc>
          <w:tcPr>
            <w:tcW w:w="0" w:type="auto"/>
            <w:tcMar>
              <w:top w:w="120" w:type="dxa"/>
              <w:left w:w="180" w:type="dxa"/>
              <w:bottom w:w="120" w:type="dxa"/>
              <w:right w:w="180" w:type="dxa"/>
            </w:tcMar>
            <w:hideMark/>
          </w:tcPr>
          <w:p w14:paraId="460787F5"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Traditional Team (24)</w:t>
            </w:r>
          </w:p>
        </w:tc>
        <w:tc>
          <w:tcPr>
            <w:tcW w:w="0" w:type="auto"/>
            <w:tcMar>
              <w:top w:w="120" w:type="dxa"/>
              <w:left w:w="180" w:type="dxa"/>
              <w:bottom w:w="120" w:type="dxa"/>
              <w:right w:w="180" w:type="dxa"/>
            </w:tcMar>
            <w:hideMark/>
          </w:tcPr>
          <w:p w14:paraId="29F79DA5"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AI-First Team (5)</w:t>
            </w:r>
          </w:p>
        </w:tc>
        <w:tc>
          <w:tcPr>
            <w:tcW w:w="0" w:type="auto"/>
            <w:tcMar>
              <w:top w:w="120" w:type="dxa"/>
              <w:left w:w="180" w:type="dxa"/>
              <w:bottom w:w="120" w:type="dxa"/>
              <w:right w:w="180" w:type="dxa"/>
            </w:tcMar>
            <w:hideMark/>
          </w:tcPr>
          <w:p w14:paraId="1B677C0A"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Causal Implication</w:t>
            </w:r>
          </w:p>
        </w:tc>
      </w:tr>
      <w:tr w:rsidR="00666EB6" w:rsidRPr="00666EB6" w14:paraId="30163E2C" w14:textId="77777777" w:rsidTr="00666EB6">
        <w:trPr>
          <w:trHeight w:val="588"/>
          <w:tblCellSpacing w:w="15" w:type="dxa"/>
        </w:trPr>
        <w:tc>
          <w:tcPr>
            <w:tcW w:w="0" w:type="auto"/>
            <w:tcMar>
              <w:top w:w="120" w:type="dxa"/>
              <w:left w:w="180" w:type="dxa"/>
              <w:bottom w:w="120" w:type="dxa"/>
              <w:right w:w="180" w:type="dxa"/>
            </w:tcMar>
            <w:hideMark/>
          </w:tcPr>
          <w:p w14:paraId="7BF38BAF"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Management Overhead</w:t>
            </w:r>
          </w:p>
        </w:tc>
        <w:tc>
          <w:tcPr>
            <w:tcW w:w="0" w:type="auto"/>
            <w:tcMar>
              <w:top w:w="120" w:type="dxa"/>
              <w:left w:w="180" w:type="dxa"/>
              <w:bottom w:w="120" w:type="dxa"/>
              <w:right w:w="180" w:type="dxa"/>
            </w:tcMar>
            <w:hideMark/>
          </w:tcPr>
          <w:p w14:paraId="4942A2E6"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High (2 SM, 1 PM, 2 PO)</w:t>
            </w:r>
          </w:p>
        </w:tc>
        <w:tc>
          <w:tcPr>
            <w:tcW w:w="0" w:type="auto"/>
            <w:tcMar>
              <w:top w:w="120" w:type="dxa"/>
              <w:left w:w="180" w:type="dxa"/>
              <w:bottom w:w="120" w:type="dxa"/>
              <w:right w:w="180" w:type="dxa"/>
            </w:tcMar>
            <w:hideMark/>
          </w:tcPr>
          <w:p w14:paraId="1C7021CE"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Low (Zero middle mgmt)</w:t>
            </w:r>
          </w:p>
        </w:tc>
        <w:tc>
          <w:tcPr>
            <w:tcW w:w="0" w:type="auto"/>
            <w:tcMar>
              <w:top w:w="120" w:type="dxa"/>
              <w:left w:w="180" w:type="dxa"/>
              <w:bottom w:w="120" w:type="dxa"/>
              <w:right w:w="180" w:type="dxa"/>
            </w:tcMar>
            <w:hideMark/>
          </w:tcPr>
          <w:p w14:paraId="14CDA3EB"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Faster decision-making, less friction.</w:t>
            </w:r>
          </w:p>
        </w:tc>
      </w:tr>
      <w:tr w:rsidR="00666EB6" w:rsidRPr="00666EB6" w14:paraId="24317189" w14:textId="77777777" w:rsidTr="00666EB6">
        <w:trPr>
          <w:trHeight w:val="600"/>
          <w:tblCellSpacing w:w="15" w:type="dxa"/>
        </w:trPr>
        <w:tc>
          <w:tcPr>
            <w:tcW w:w="0" w:type="auto"/>
            <w:tcMar>
              <w:top w:w="120" w:type="dxa"/>
              <w:left w:w="180" w:type="dxa"/>
              <w:bottom w:w="120" w:type="dxa"/>
              <w:right w:w="180" w:type="dxa"/>
            </w:tcMar>
            <w:hideMark/>
          </w:tcPr>
          <w:p w14:paraId="605BE29E"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Code Production</w:t>
            </w:r>
          </w:p>
        </w:tc>
        <w:tc>
          <w:tcPr>
            <w:tcW w:w="0" w:type="auto"/>
            <w:tcMar>
              <w:top w:w="120" w:type="dxa"/>
              <w:left w:w="180" w:type="dxa"/>
              <w:bottom w:w="120" w:type="dxa"/>
              <w:right w:w="180" w:type="dxa"/>
            </w:tcMar>
            <w:hideMark/>
          </w:tcPr>
          <w:p w14:paraId="4011AFEC"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2-3 PRs/week/dev</w:t>
            </w:r>
          </w:p>
        </w:tc>
        <w:tc>
          <w:tcPr>
            <w:tcW w:w="0" w:type="auto"/>
            <w:tcMar>
              <w:top w:w="120" w:type="dxa"/>
              <w:left w:w="180" w:type="dxa"/>
              <w:bottom w:w="120" w:type="dxa"/>
              <w:right w:w="180" w:type="dxa"/>
            </w:tcMar>
            <w:hideMark/>
          </w:tcPr>
          <w:p w14:paraId="0196D97D"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15-20 PRs/week/agent</w:t>
            </w:r>
          </w:p>
        </w:tc>
        <w:tc>
          <w:tcPr>
            <w:tcW w:w="0" w:type="auto"/>
            <w:tcMar>
              <w:top w:w="120" w:type="dxa"/>
              <w:left w:w="180" w:type="dxa"/>
              <w:bottom w:w="120" w:type="dxa"/>
              <w:right w:w="180" w:type="dxa"/>
            </w:tcMar>
            <w:hideMark/>
          </w:tcPr>
          <w:p w14:paraId="13224157"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Massive velocity increase, requires strict review.</w:t>
            </w:r>
          </w:p>
        </w:tc>
      </w:tr>
      <w:tr w:rsidR="00666EB6" w:rsidRPr="00666EB6" w14:paraId="2AF2B758" w14:textId="77777777" w:rsidTr="00666EB6">
        <w:trPr>
          <w:trHeight w:val="588"/>
          <w:tblCellSpacing w:w="15" w:type="dxa"/>
        </w:trPr>
        <w:tc>
          <w:tcPr>
            <w:tcW w:w="0" w:type="auto"/>
            <w:tcMar>
              <w:top w:w="120" w:type="dxa"/>
              <w:left w:w="180" w:type="dxa"/>
              <w:bottom w:w="120" w:type="dxa"/>
              <w:right w:w="180" w:type="dxa"/>
            </w:tcMar>
            <w:hideMark/>
          </w:tcPr>
          <w:p w14:paraId="17DD6C53"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Quality Control</w:t>
            </w:r>
          </w:p>
        </w:tc>
        <w:tc>
          <w:tcPr>
            <w:tcW w:w="0" w:type="auto"/>
            <w:tcMar>
              <w:top w:w="120" w:type="dxa"/>
              <w:left w:w="180" w:type="dxa"/>
              <w:bottom w:w="120" w:type="dxa"/>
              <w:right w:w="180" w:type="dxa"/>
            </w:tcMar>
            <w:hideMark/>
          </w:tcPr>
          <w:p w14:paraId="24917C4A"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Manual QA &amp; Code Review</w:t>
            </w:r>
          </w:p>
        </w:tc>
        <w:tc>
          <w:tcPr>
            <w:tcW w:w="0" w:type="auto"/>
            <w:tcMar>
              <w:top w:w="120" w:type="dxa"/>
              <w:left w:w="180" w:type="dxa"/>
              <w:bottom w:w="120" w:type="dxa"/>
              <w:right w:w="180" w:type="dxa"/>
            </w:tcMar>
            <w:hideMark/>
          </w:tcPr>
          <w:p w14:paraId="7C59F3B1"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Agent-led pre-debugging &amp; validation</w:t>
            </w:r>
          </w:p>
        </w:tc>
        <w:tc>
          <w:tcPr>
            <w:tcW w:w="0" w:type="auto"/>
            <w:tcMar>
              <w:top w:w="120" w:type="dxa"/>
              <w:left w:w="180" w:type="dxa"/>
              <w:bottom w:w="120" w:type="dxa"/>
              <w:right w:w="180" w:type="dxa"/>
            </w:tcMar>
            <w:hideMark/>
          </w:tcPr>
          <w:p w14:paraId="21E6B677"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Shift from finding bugs to validating designs.</w:t>
            </w:r>
          </w:p>
        </w:tc>
      </w:tr>
      <w:tr w:rsidR="00666EB6" w:rsidRPr="00666EB6" w14:paraId="5F213BE0" w14:textId="77777777" w:rsidTr="00666EB6">
        <w:trPr>
          <w:trHeight w:val="588"/>
          <w:tblCellSpacing w:w="15" w:type="dxa"/>
        </w:trPr>
        <w:tc>
          <w:tcPr>
            <w:tcW w:w="0" w:type="auto"/>
            <w:tcMar>
              <w:top w:w="120" w:type="dxa"/>
              <w:left w:w="180" w:type="dxa"/>
              <w:bottom w:w="120" w:type="dxa"/>
              <w:right w:w="180" w:type="dxa"/>
            </w:tcMar>
            <w:hideMark/>
          </w:tcPr>
          <w:p w14:paraId="3C7062B7"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Organizational Memory</w:t>
            </w:r>
          </w:p>
        </w:tc>
        <w:tc>
          <w:tcPr>
            <w:tcW w:w="0" w:type="auto"/>
            <w:tcMar>
              <w:top w:w="120" w:type="dxa"/>
              <w:left w:w="180" w:type="dxa"/>
              <w:bottom w:w="120" w:type="dxa"/>
              <w:right w:w="180" w:type="dxa"/>
            </w:tcMar>
            <w:hideMark/>
          </w:tcPr>
          <w:p w14:paraId="3E87E5B7"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Distributed in people</w:t>
            </w:r>
          </w:p>
        </w:tc>
        <w:tc>
          <w:tcPr>
            <w:tcW w:w="0" w:type="auto"/>
            <w:tcMar>
              <w:top w:w="120" w:type="dxa"/>
              <w:left w:w="180" w:type="dxa"/>
              <w:bottom w:w="120" w:type="dxa"/>
              <w:right w:w="180" w:type="dxa"/>
            </w:tcMar>
            <w:hideMark/>
          </w:tcPr>
          <w:p w14:paraId="7E847225"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Persisted in the SPLM Hub</w:t>
            </w:r>
          </w:p>
        </w:tc>
        <w:tc>
          <w:tcPr>
            <w:tcW w:w="0" w:type="auto"/>
            <w:tcMar>
              <w:top w:w="120" w:type="dxa"/>
              <w:left w:w="180" w:type="dxa"/>
              <w:bottom w:w="120" w:type="dxa"/>
              <w:right w:w="180" w:type="dxa"/>
            </w:tcMar>
            <w:hideMark/>
          </w:tcPr>
          <w:p w14:paraId="3A1BFF63"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Risk of loss if Hub is not maintained.</w:t>
            </w:r>
          </w:p>
        </w:tc>
      </w:tr>
    </w:tbl>
    <w:p w14:paraId="1902E216" w14:textId="77777777" w:rsidR="00666EB6" w:rsidRPr="00666EB6" w:rsidRDefault="00666EB6" w:rsidP="00666EB6">
      <w:pPr>
        <w:spacing w:after="0"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  </w:t>
      </w:r>
    </w:p>
    <w:p w14:paraId="1EA81413"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framework’s success depends on the developers’ shift from "Coding" to "Orchestration". They must become technical leaders who mentor the AI agents, providing the "blueprints" while the agents handle the "bricks".   </w:t>
      </w:r>
    </w:p>
    <w:p w14:paraId="3116EB94" w14:textId="77777777" w:rsidR="00666EB6" w:rsidRPr="00666EB6" w:rsidRDefault="00666EB6" w:rsidP="00666EB6">
      <w:pPr>
        <w:spacing w:before="100" w:beforeAutospacing="1" w:after="100" w:afterAutospacing="1" w:line="240" w:lineRule="auto"/>
        <w:outlineLvl w:val="1"/>
        <w:rPr>
          <w:rFonts w:ascii="Calibri" w:eastAsia="Times New Roman" w:hAnsi="Calibri" w:cs="Calibri"/>
          <w:b/>
          <w:bCs/>
          <w:color w:val="000000" w:themeColor="text1"/>
          <w:kern w:val="0"/>
          <w:sz w:val="36"/>
          <w:szCs w:val="36"/>
          <w:lang w:eastAsia="en-GB"/>
          <w14:ligatures w14:val="none"/>
        </w:rPr>
      </w:pPr>
      <w:r w:rsidRPr="00666EB6">
        <w:rPr>
          <w:rFonts w:ascii="Calibri" w:eastAsia="Times New Roman" w:hAnsi="Calibri" w:cs="Calibri"/>
          <w:b/>
          <w:bCs/>
          <w:color w:val="000000" w:themeColor="text1"/>
          <w:kern w:val="0"/>
          <w:sz w:val="36"/>
          <w:szCs w:val="36"/>
          <w:lang w:eastAsia="en-GB"/>
          <w14:ligatures w14:val="none"/>
        </w:rPr>
        <w:t>Deployment, Governance, and Compliance Architecture</w:t>
      </w:r>
    </w:p>
    <w:p w14:paraId="57585BF7"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final blocks in the user's diagram are the "CI/CD Automation" and "Production" environments, deployed on AWS and Kubernetes (EKS). This infrastructure must be as agent-aware as the development environment.</w:t>
      </w:r>
    </w:p>
    <w:p w14:paraId="73CCEC58" w14:textId="77777777" w:rsidR="00666EB6" w:rsidRPr="00666EB6" w:rsidRDefault="00666EB6" w:rsidP="00666EB6">
      <w:pPr>
        <w:spacing w:before="100" w:beforeAutospacing="1" w:after="100" w:afterAutospacing="1" w:line="240" w:lineRule="auto"/>
        <w:outlineLvl w:val="2"/>
        <w:rPr>
          <w:rFonts w:ascii="Calibri" w:eastAsia="Times New Roman" w:hAnsi="Calibri" w:cs="Calibri"/>
          <w:b/>
          <w:bCs/>
          <w:color w:val="000000" w:themeColor="text1"/>
          <w:kern w:val="0"/>
          <w:sz w:val="27"/>
          <w:szCs w:val="27"/>
          <w:lang w:eastAsia="en-GB"/>
          <w14:ligatures w14:val="none"/>
        </w:rPr>
      </w:pPr>
      <w:r w:rsidRPr="00666EB6">
        <w:rPr>
          <w:rFonts w:ascii="Calibri" w:eastAsia="Times New Roman" w:hAnsi="Calibri" w:cs="Calibri"/>
          <w:b/>
          <w:bCs/>
          <w:color w:val="000000" w:themeColor="text1"/>
          <w:kern w:val="0"/>
          <w:sz w:val="27"/>
          <w:szCs w:val="27"/>
          <w:lang w:eastAsia="en-GB"/>
          <w14:ligatures w14:val="none"/>
        </w:rPr>
        <w:t>Apigee as the Governance Intermediary</w:t>
      </w:r>
    </w:p>
    <w:p w14:paraId="1793CF1A"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Apigee acts as the critical intermediary between the AI-powered SPLM hub and the production modular services. It provides the necessary "Model Abstraction" so that workflows can utilize multiple LLMs (e.g., Gemini for code generation, GPT-4o for speed, Claude for reasoning) without breaking the API contract.   </w:t>
      </w:r>
    </w:p>
    <w:p w14:paraId="1C7CD7E9"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Crucially, Apigee’s "Advanced API Security" and "Model Armor" sanitize all prompts and responses to protect against injection attacks and ensure compliance with regional data protection laws like GDPR. This is essential for the "Compliance" objective, as agents autonomously managing contracts must operate within strict legal guardrails.   </w:t>
      </w:r>
    </w:p>
    <w:p w14:paraId="7C73D9B6" w14:textId="77777777" w:rsidR="00666EB6" w:rsidRPr="00666EB6" w:rsidRDefault="00666EB6" w:rsidP="00666EB6">
      <w:pPr>
        <w:spacing w:before="100" w:beforeAutospacing="1" w:after="100" w:afterAutospacing="1" w:line="240" w:lineRule="auto"/>
        <w:outlineLvl w:val="2"/>
        <w:rPr>
          <w:rFonts w:ascii="Calibri" w:eastAsia="Times New Roman" w:hAnsi="Calibri" w:cs="Calibri"/>
          <w:b/>
          <w:bCs/>
          <w:color w:val="000000" w:themeColor="text1"/>
          <w:kern w:val="0"/>
          <w:sz w:val="27"/>
          <w:szCs w:val="27"/>
          <w:lang w:eastAsia="en-GB"/>
          <w14:ligatures w14:val="none"/>
        </w:rPr>
      </w:pPr>
      <w:r w:rsidRPr="00666EB6">
        <w:rPr>
          <w:rFonts w:ascii="Calibri" w:eastAsia="Times New Roman" w:hAnsi="Calibri" w:cs="Calibri"/>
          <w:b/>
          <w:bCs/>
          <w:color w:val="000000" w:themeColor="text1"/>
          <w:kern w:val="0"/>
          <w:sz w:val="27"/>
          <w:szCs w:val="27"/>
          <w:lang w:eastAsia="en-GB"/>
          <w14:ligatures w14:val="none"/>
        </w:rPr>
        <w:lastRenderedPageBreak/>
        <w:t>Kubernetes and GitOps Orchestration</w:t>
      </w:r>
    </w:p>
    <w:p w14:paraId="037413AE"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framework utilizes GitOps principles to operate and manage the Kubernetes cluster. AI agents, integrated via Azure DevOps and AWS CLI tools, can autonomously manage infrastructure as code (IaC). This includes:   </w:t>
      </w:r>
    </w:p>
    <w:p w14:paraId="1723B7BB" w14:textId="77777777" w:rsidR="00666EB6" w:rsidRPr="00666EB6" w:rsidRDefault="00666EB6" w:rsidP="00666EB6">
      <w:pPr>
        <w:numPr>
          <w:ilvl w:val="0"/>
          <w:numId w:val="3"/>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Generating provider-specific Terraform code.   </w:t>
      </w:r>
    </w:p>
    <w:p w14:paraId="504C3947" w14:textId="77777777" w:rsidR="00666EB6" w:rsidRPr="00666EB6" w:rsidRDefault="00666EB6" w:rsidP="00666EB6">
      <w:pPr>
        <w:numPr>
          <w:ilvl w:val="0"/>
          <w:numId w:val="3"/>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Applying security policies and compliance rules at the cluster level.   </w:t>
      </w:r>
    </w:p>
    <w:p w14:paraId="173E496A" w14:textId="77777777" w:rsidR="00666EB6" w:rsidRPr="00666EB6" w:rsidRDefault="00666EB6" w:rsidP="00666EB6">
      <w:pPr>
        <w:numPr>
          <w:ilvl w:val="0"/>
          <w:numId w:val="3"/>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Predicting load spikes and pre-provisioning resources through infrastructure scaling agents.   </w:t>
      </w:r>
    </w:p>
    <w:p w14:paraId="4B931B35" w14:textId="77777777" w:rsidR="00666EB6" w:rsidRPr="00666EB6" w:rsidRDefault="00666EB6" w:rsidP="00666EB6">
      <w:pPr>
        <w:numPr>
          <w:ilvl w:val="0"/>
          <w:numId w:val="3"/>
        </w:num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Executing automated rollbacks when production anomalies are detected by monitoring agents.   </w:t>
      </w:r>
    </w:p>
    <w:p w14:paraId="6587A6D4" w14:textId="77777777" w:rsidR="00666EB6" w:rsidRPr="00666EB6" w:rsidRDefault="00666EB6" w:rsidP="00666EB6">
      <w:pPr>
        <w:spacing w:before="100" w:beforeAutospacing="1" w:after="100" w:afterAutospacing="1" w:line="240" w:lineRule="auto"/>
        <w:outlineLvl w:val="1"/>
        <w:rPr>
          <w:rFonts w:ascii="Calibri" w:eastAsia="Times New Roman" w:hAnsi="Calibri" w:cs="Calibri"/>
          <w:b/>
          <w:bCs/>
          <w:color w:val="000000" w:themeColor="text1"/>
          <w:kern w:val="0"/>
          <w:sz w:val="36"/>
          <w:szCs w:val="36"/>
          <w:lang w:eastAsia="en-GB"/>
          <w14:ligatures w14:val="none"/>
        </w:rPr>
      </w:pPr>
      <w:r w:rsidRPr="00666EB6">
        <w:rPr>
          <w:rFonts w:ascii="Calibri" w:eastAsia="Times New Roman" w:hAnsi="Calibri" w:cs="Calibri"/>
          <w:b/>
          <w:bCs/>
          <w:color w:val="000000" w:themeColor="text1"/>
          <w:kern w:val="0"/>
          <w:sz w:val="36"/>
          <w:szCs w:val="36"/>
          <w:lang w:eastAsia="en-GB"/>
          <w14:ligatures w14:val="none"/>
        </w:rPr>
        <w:t>Strategic Roadmap and Implementation Recommendations</w:t>
      </w:r>
    </w:p>
    <w:p w14:paraId="20180668"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To transition from the current state (no documentation, large team) to the envisioned agentic SPLM framework, the following phased approach is recommended:</w:t>
      </w:r>
    </w:p>
    <w:p w14:paraId="54BA9321" w14:textId="77777777" w:rsidR="00666EB6" w:rsidRPr="00666EB6" w:rsidRDefault="00666EB6" w:rsidP="00666EB6">
      <w:pPr>
        <w:spacing w:before="100" w:beforeAutospacing="1" w:after="100" w:afterAutospacing="1" w:line="240" w:lineRule="auto"/>
        <w:outlineLvl w:val="2"/>
        <w:rPr>
          <w:rFonts w:ascii="Calibri" w:eastAsia="Times New Roman" w:hAnsi="Calibri" w:cs="Calibri"/>
          <w:b/>
          <w:bCs/>
          <w:color w:val="000000" w:themeColor="text1"/>
          <w:kern w:val="0"/>
          <w:sz w:val="27"/>
          <w:szCs w:val="27"/>
          <w:lang w:eastAsia="en-GB"/>
          <w14:ligatures w14:val="none"/>
        </w:rPr>
      </w:pPr>
      <w:r w:rsidRPr="00666EB6">
        <w:rPr>
          <w:rFonts w:ascii="Calibri" w:eastAsia="Times New Roman" w:hAnsi="Calibri" w:cs="Calibri"/>
          <w:b/>
          <w:bCs/>
          <w:color w:val="000000" w:themeColor="text1"/>
          <w:kern w:val="0"/>
          <w:sz w:val="27"/>
          <w:szCs w:val="27"/>
          <w:lang w:eastAsia="en-GB"/>
          <w14:ligatures w14:val="none"/>
        </w:rPr>
        <w:t>Phase 1: Knowledge Capture and Hub Establishment (Month 1-2)</w:t>
      </w:r>
    </w:p>
    <w:p w14:paraId="14AB408B"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The primary goal is to stand up the SPLM hub using NextJS, PostgreSQL, and Syncfusion. Utilize AI agents to retrospectively analyze the existing Java and NodeJS codebase to generate the initial functional and technical specifications in the hub. Establish the MCP servers for PostgreSQL and Azure DevOps to begin the "Agentic Bridge".  </w:t>
      </w:r>
    </w:p>
    <w:p w14:paraId="08D7C906" w14:textId="77777777" w:rsidR="00666EB6" w:rsidRPr="00666EB6" w:rsidRDefault="00666EB6" w:rsidP="00666EB6">
      <w:pPr>
        <w:spacing w:before="100" w:beforeAutospacing="1" w:after="100" w:afterAutospacing="1" w:line="240" w:lineRule="auto"/>
        <w:outlineLvl w:val="2"/>
        <w:rPr>
          <w:rFonts w:ascii="Calibri" w:eastAsia="Times New Roman" w:hAnsi="Calibri" w:cs="Calibri"/>
          <w:b/>
          <w:bCs/>
          <w:color w:val="000000" w:themeColor="text1"/>
          <w:kern w:val="0"/>
          <w:sz w:val="27"/>
          <w:szCs w:val="27"/>
          <w:lang w:eastAsia="en-GB"/>
          <w14:ligatures w14:val="none"/>
        </w:rPr>
      </w:pPr>
      <w:r w:rsidRPr="00666EB6">
        <w:rPr>
          <w:rFonts w:ascii="Calibri" w:eastAsia="Times New Roman" w:hAnsi="Calibri" w:cs="Calibri"/>
          <w:b/>
          <w:bCs/>
          <w:color w:val="000000" w:themeColor="text1"/>
          <w:kern w:val="0"/>
          <w:sz w:val="27"/>
          <w:szCs w:val="27"/>
          <w:lang w:eastAsia="en-GB"/>
          <w14:ligatures w14:val="none"/>
        </w:rPr>
        <w:t>Phase 2: Workflow Automation and Team Upskilling (Month 3-5)</w:t>
      </w:r>
    </w:p>
    <w:p w14:paraId="5947AB51"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Deploy the "Requirements Analyst" and "Testing Management" agents to automate the transition from backlog items to testable code. This is the phase where the developer team begins downsizing as senior members transition to orchestration roles. Implement the Drools DRL generation pipeline to accelerate business logic deployment.   </w:t>
      </w:r>
    </w:p>
    <w:p w14:paraId="2D842ED9" w14:textId="77777777" w:rsidR="00666EB6" w:rsidRPr="00666EB6" w:rsidRDefault="00666EB6" w:rsidP="00666EB6">
      <w:pPr>
        <w:spacing w:before="100" w:beforeAutospacing="1" w:after="100" w:afterAutospacing="1" w:line="240" w:lineRule="auto"/>
        <w:outlineLvl w:val="2"/>
        <w:rPr>
          <w:rFonts w:ascii="Calibri" w:eastAsia="Times New Roman" w:hAnsi="Calibri" w:cs="Calibri"/>
          <w:b/>
          <w:bCs/>
          <w:color w:val="000000" w:themeColor="text1"/>
          <w:kern w:val="0"/>
          <w:sz w:val="27"/>
          <w:szCs w:val="27"/>
          <w:lang w:eastAsia="en-GB"/>
          <w14:ligatures w14:val="none"/>
        </w:rPr>
      </w:pPr>
      <w:r w:rsidRPr="00666EB6">
        <w:rPr>
          <w:rFonts w:ascii="Calibri" w:eastAsia="Times New Roman" w:hAnsi="Calibri" w:cs="Calibri"/>
          <w:b/>
          <w:bCs/>
          <w:color w:val="000000" w:themeColor="text1"/>
          <w:kern w:val="0"/>
          <w:sz w:val="27"/>
          <w:szCs w:val="27"/>
          <w:lang w:eastAsia="en-GB"/>
          <w14:ligatures w14:val="none"/>
        </w:rPr>
        <w:t>Phase 3: Governance, Security, and Production Scaling (Month 6+)</w:t>
      </w:r>
    </w:p>
    <w:p w14:paraId="43060E4D"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Fully integrate Apigee for multi-agent orchestration and security. Implement the "SRE Agent" in production to monitor health across Kubernetes and databases, closing the feedback loop from "Production" to "Feature Mgmt". Finalize the automation of "Training Portal Mgmt" and "Solution Manual Mgmt" to ensure full lifecycle coverage.   </w:t>
      </w:r>
    </w:p>
    <w:p w14:paraId="5A5F8726" w14:textId="77777777" w:rsidR="00666EB6" w:rsidRPr="00666EB6" w:rsidRDefault="00666EB6" w:rsidP="00666EB6">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666EB6">
        <w:rPr>
          <w:rFonts w:ascii="Calibri" w:eastAsia="Times New Roman" w:hAnsi="Calibri" w:cs="Calibri"/>
          <w:color w:val="000000" w:themeColor="text1"/>
          <w:kern w:val="0"/>
          <w:lang w:eastAsia="en-GB"/>
          <w14:ligatures w14:val="none"/>
        </w:rPr>
        <w:t>By strictly following this strategy, the Contract Management Product can achieve its ambitious objectives of speed, quality, compliance, and cost-efficiency. The framework ensures that every stage of the lifecycle—from a single feature idea to a multi-cloud production deployment—is optimized by intelligent agents working under the strategic guidance of an elite, AI-first engineering team.</w:t>
      </w:r>
    </w:p>
    <w:p w14:paraId="2A1F964C" w14:textId="77777777" w:rsidR="00603047" w:rsidRPr="00666EB6" w:rsidRDefault="00603047">
      <w:pPr>
        <w:rPr>
          <w:rFonts w:ascii="Calibri" w:hAnsi="Calibri" w:cs="Calibri"/>
          <w:color w:val="000000" w:themeColor="text1"/>
        </w:rPr>
      </w:pPr>
    </w:p>
    <w:sectPr w:rsidR="00603047" w:rsidRPr="00666E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3AE"/>
    <w:multiLevelType w:val="multilevel"/>
    <w:tmpl w:val="BD98F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046B1"/>
    <w:multiLevelType w:val="multilevel"/>
    <w:tmpl w:val="61B4B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BC4E3F"/>
    <w:multiLevelType w:val="multilevel"/>
    <w:tmpl w:val="04FC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4344384">
    <w:abstractNumId w:val="1"/>
  </w:num>
  <w:num w:numId="2" w16cid:durableId="1357192655">
    <w:abstractNumId w:val="0"/>
  </w:num>
  <w:num w:numId="3" w16cid:durableId="1297875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EB6"/>
    <w:rsid w:val="00025209"/>
    <w:rsid w:val="00166062"/>
    <w:rsid w:val="00603047"/>
    <w:rsid w:val="00666EB6"/>
    <w:rsid w:val="00855EC6"/>
    <w:rsid w:val="00F34A1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15483CBD"/>
  <w15:chartTrackingRefBased/>
  <w15:docId w15:val="{AF7DB42F-3436-D441-BC1D-2085C715C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6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6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6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6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EB6"/>
    <w:rPr>
      <w:rFonts w:eastAsiaTheme="majorEastAsia" w:cstheme="majorBidi"/>
      <w:color w:val="272727" w:themeColor="text1" w:themeTint="D8"/>
    </w:rPr>
  </w:style>
  <w:style w:type="paragraph" w:styleId="Title">
    <w:name w:val="Title"/>
    <w:basedOn w:val="Normal"/>
    <w:next w:val="Normal"/>
    <w:link w:val="TitleChar"/>
    <w:uiPriority w:val="10"/>
    <w:qFormat/>
    <w:rsid w:val="00666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EB6"/>
    <w:pPr>
      <w:spacing w:before="160"/>
      <w:jc w:val="center"/>
    </w:pPr>
    <w:rPr>
      <w:i/>
      <w:iCs/>
      <w:color w:val="404040" w:themeColor="text1" w:themeTint="BF"/>
    </w:rPr>
  </w:style>
  <w:style w:type="character" w:customStyle="1" w:styleId="QuoteChar">
    <w:name w:val="Quote Char"/>
    <w:basedOn w:val="DefaultParagraphFont"/>
    <w:link w:val="Quote"/>
    <w:uiPriority w:val="29"/>
    <w:rsid w:val="00666EB6"/>
    <w:rPr>
      <w:i/>
      <w:iCs/>
      <w:color w:val="404040" w:themeColor="text1" w:themeTint="BF"/>
    </w:rPr>
  </w:style>
  <w:style w:type="paragraph" w:styleId="ListParagraph">
    <w:name w:val="List Paragraph"/>
    <w:basedOn w:val="Normal"/>
    <w:uiPriority w:val="34"/>
    <w:qFormat/>
    <w:rsid w:val="00666EB6"/>
    <w:pPr>
      <w:ind w:left="720"/>
      <w:contextualSpacing/>
    </w:pPr>
  </w:style>
  <w:style w:type="character" w:styleId="IntenseEmphasis">
    <w:name w:val="Intense Emphasis"/>
    <w:basedOn w:val="DefaultParagraphFont"/>
    <w:uiPriority w:val="21"/>
    <w:qFormat/>
    <w:rsid w:val="00666EB6"/>
    <w:rPr>
      <w:i/>
      <w:iCs/>
      <w:color w:val="0F4761" w:themeColor="accent1" w:themeShade="BF"/>
    </w:rPr>
  </w:style>
  <w:style w:type="paragraph" w:styleId="IntenseQuote">
    <w:name w:val="Intense Quote"/>
    <w:basedOn w:val="Normal"/>
    <w:next w:val="Normal"/>
    <w:link w:val="IntenseQuoteChar"/>
    <w:uiPriority w:val="30"/>
    <w:qFormat/>
    <w:rsid w:val="00666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EB6"/>
    <w:rPr>
      <w:i/>
      <w:iCs/>
      <w:color w:val="0F4761" w:themeColor="accent1" w:themeShade="BF"/>
    </w:rPr>
  </w:style>
  <w:style w:type="character" w:styleId="IntenseReference">
    <w:name w:val="Intense Reference"/>
    <w:basedOn w:val="DefaultParagraphFont"/>
    <w:uiPriority w:val="32"/>
    <w:qFormat/>
    <w:rsid w:val="00666EB6"/>
    <w:rPr>
      <w:b/>
      <w:bCs/>
      <w:smallCaps/>
      <w:color w:val="0F4761" w:themeColor="accent1" w:themeShade="BF"/>
      <w:spacing w:val="5"/>
    </w:rPr>
  </w:style>
  <w:style w:type="paragraph" w:styleId="NormalWeb">
    <w:name w:val="Normal (Web)"/>
    <w:basedOn w:val="Normal"/>
    <w:uiPriority w:val="99"/>
    <w:semiHidden/>
    <w:unhideWhenUsed/>
    <w:rsid w:val="00666EB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666EB6"/>
  </w:style>
  <w:style w:type="character" w:styleId="HTMLCode">
    <w:name w:val="HTML Code"/>
    <w:basedOn w:val="DefaultParagraphFont"/>
    <w:uiPriority w:val="99"/>
    <w:semiHidden/>
    <w:unhideWhenUsed/>
    <w:rsid w:val="00666EB6"/>
    <w:rPr>
      <w:rFonts w:ascii="Courier New" w:eastAsia="Times New Roman" w:hAnsi="Courier New" w:cs="Courier New"/>
      <w:sz w:val="20"/>
      <w:szCs w:val="20"/>
    </w:rPr>
  </w:style>
  <w:style w:type="character" w:customStyle="1" w:styleId="button-container">
    <w:name w:val="button-container"/>
    <w:basedOn w:val="DefaultParagraphFont"/>
    <w:rsid w:val="00666EB6"/>
  </w:style>
  <w:style w:type="character" w:styleId="Hyperlink">
    <w:name w:val="Hyperlink"/>
    <w:basedOn w:val="DefaultParagraphFont"/>
    <w:uiPriority w:val="99"/>
    <w:semiHidden/>
    <w:unhideWhenUsed/>
    <w:rsid w:val="00666EB6"/>
    <w:rPr>
      <w:color w:val="0000FF"/>
      <w:u w:val="single"/>
    </w:rPr>
  </w:style>
  <w:style w:type="character" w:customStyle="1" w:styleId="ellipsis">
    <w:name w:val="ellipsis"/>
    <w:basedOn w:val="DefaultParagraphFont"/>
    <w:rsid w:val="00666EB6"/>
  </w:style>
  <w:style w:type="character" w:customStyle="1" w:styleId="source-card-attribution-text">
    <w:name w:val="source-card-attribution-text"/>
    <w:basedOn w:val="DefaultParagraphFont"/>
    <w:rsid w:val="00666EB6"/>
  </w:style>
  <w:style w:type="character" w:customStyle="1" w:styleId="mord">
    <w:name w:val="mord"/>
    <w:basedOn w:val="DefaultParagraphFont"/>
    <w:rsid w:val="00666EB6"/>
  </w:style>
  <w:style w:type="character" w:customStyle="1" w:styleId="vlist-s">
    <w:name w:val="vlist-s"/>
    <w:basedOn w:val="DefaultParagraphFont"/>
    <w:rsid w:val="00666EB6"/>
  </w:style>
  <w:style w:type="character" w:customStyle="1" w:styleId="mrel">
    <w:name w:val="mrel"/>
    <w:basedOn w:val="DefaultParagraphFont"/>
    <w:rsid w:val="00666EB6"/>
  </w:style>
  <w:style w:type="character" w:customStyle="1" w:styleId="mop">
    <w:name w:val="mop"/>
    <w:basedOn w:val="DefaultParagraphFont"/>
    <w:rsid w:val="00666EB6"/>
  </w:style>
  <w:style w:type="character" w:customStyle="1" w:styleId="mopen">
    <w:name w:val="mopen"/>
    <w:basedOn w:val="DefaultParagraphFont"/>
    <w:rsid w:val="00666EB6"/>
  </w:style>
  <w:style w:type="character" w:customStyle="1" w:styleId="mbin">
    <w:name w:val="mbin"/>
    <w:basedOn w:val="DefaultParagraphFont"/>
    <w:rsid w:val="00666EB6"/>
  </w:style>
  <w:style w:type="character" w:customStyle="1" w:styleId="mclose">
    <w:name w:val="mclose"/>
    <w:basedOn w:val="DefaultParagraphFont"/>
    <w:rsid w:val="00666E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996093">
      <w:bodyDiv w:val="1"/>
      <w:marLeft w:val="0"/>
      <w:marRight w:val="0"/>
      <w:marTop w:val="0"/>
      <w:marBottom w:val="0"/>
      <w:divBdr>
        <w:top w:val="none" w:sz="0" w:space="0" w:color="auto"/>
        <w:left w:val="none" w:sz="0" w:space="0" w:color="auto"/>
        <w:bottom w:val="none" w:sz="0" w:space="0" w:color="auto"/>
        <w:right w:val="none" w:sz="0" w:space="0" w:color="auto"/>
      </w:divBdr>
      <w:divsChild>
        <w:div w:id="1188133335">
          <w:marLeft w:val="0"/>
          <w:marRight w:val="0"/>
          <w:marTop w:val="0"/>
          <w:marBottom w:val="0"/>
          <w:divBdr>
            <w:top w:val="none" w:sz="0" w:space="0" w:color="auto"/>
            <w:left w:val="none" w:sz="0" w:space="0" w:color="auto"/>
            <w:bottom w:val="none" w:sz="0" w:space="0" w:color="auto"/>
            <w:right w:val="none" w:sz="0" w:space="0" w:color="auto"/>
          </w:divBdr>
        </w:div>
        <w:div w:id="953948263">
          <w:marLeft w:val="0"/>
          <w:marRight w:val="0"/>
          <w:marTop w:val="0"/>
          <w:marBottom w:val="0"/>
          <w:divBdr>
            <w:top w:val="none" w:sz="0" w:space="0" w:color="auto"/>
            <w:left w:val="none" w:sz="0" w:space="0" w:color="auto"/>
            <w:bottom w:val="none" w:sz="0" w:space="0" w:color="auto"/>
            <w:right w:val="none" w:sz="0" w:space="0" w:color="auto"/>
          </w:divBdr>
          <w:divsChild>
            <w:div w:id="1998999609">
              <w:marLeft w:val="0"/>
              <w:marRight w:val="0"/>
              <w:marTop w:val="0"/>
              <w:marBottom w:val="0"/>
              <w:divBdr>
                <w:top w:val="none" w:sz="0" w:space="0" w:color="auto"/>
                <w:left w:val="none" w:sz="0" w:space="0" w:color="auto"/>
                <w:bottom w:val="none" w:sz="0" w:space="0" w:color="auto"/>
                <w:right w:val="none" w:sz="0" w:space="0" w:color="auto"/>
              </w:divBdr>
              <w:divsChild>
                <w:div w:id="225457919">
                  <w:marLeft w:val="0"/>
                  <w:marRight w:val="0"/>
                  <w:marTop w:val="0"/>
                  <w:marBottom w:val="0"/>
                  <w:divBdr>
                    <w:top w:val="none" w:sz="0" w:space="0" w:color="auto"/>
                    <w:left w:val="none" w:sz="0" w:space="0" w:color="auto"/>
                    <w:bottom w:val="none" w:sz="0" w:space="0" w:color="auto"/>
                    <w:right w:val="none" w:sz="0" w:space="0" w:color="auto"/>
                  </w:divBdr>
                  <w:divsChild>
                    <w:div w:id="119657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3036">
          <w:marLeft w:val="0"/>
          <w:marRight w:val="0"/>
          <w:marTop w:val="225"/>
          <w:marBottom w:val="0"/>
          <w:divBdr>
            <w:top w:val="none" w:sz="0" w:space="0" w:color="auto"/>
            <w:left w:val="none" w:sz="0" w:space="0" w:color="auto"/>
            <w:bottom w:val="none" w:sz="0" w:space="0" w:color="auto"/>
            <w:right w:val="none" w:sz="0" w:space="0" w:color="auto"/>
          </w:divBdr>
          <w:divsChild>
            <w:div w:id="357851109">
              <w:marLeft w:val="0"/>
              <w:marRight w:val="0"/>
              <w:marTop w:val="0"/>
              <w:marBottom w:val="0"/>
              <w:divBdr>
                <w:top w:val="none" w:sz="0" w:space="0" w:color="auto"/>
                <w:left w:val="none" w:sz="0" w:space="0" w:color="auto"/>
                <w:bottom w:val="none" w:sz="0" w:space="0" w:color="auto"/>
                <w:right w:val="none" w:sz="0" w:space="0" w:color="auto"/>
              </w:divBdr>
              <w:divsChild>
                <w:div w:id="1669360251">
                  <w:marLeft w:val="0"/>
                  <w:marRight w:val="0"/>
                  <w:marTop w:val="0"/>
                  <w:marBottom w:val="0"/>
                  <w:divBdr>
                    <w:top w:val="none" w:sz="0" w:space="0" w:color="auto"/>
                    <w:left w:val="none" w:sz="0" w:space="0" w:color="auto"/>
                    <w:bottom w:val="none" w:sz="0" w:space="0" w:color="auto"/>
                    <w:right w:val="none" w:sz="0" w:space="0" w:color="auto"/>
                  </w:divBdr>
                  <w:divsChild>
                    <w:div w:id="1330251182">
                      <w:marLeft w:val="0"/>
                      <w:marRight w:val="0"/>
                      <w:marTop w:val="0"/>
                      <w:marBottom w:val="0"/>
                      <w:divBdr>
                        <w:top w:val="none" w:sz="0" w:space="0" w:color="auto"/>
                        <w:left w:val="none" w:sz="0" w:space="0" w:color="auto"/>
                        <w:bottom w:val="none" w:sz="0" w:space="0" w:color="auto"/>
                        <w:right w:val="none" w:sz="0" w:space="0" w:color="auto"/>
                      </w:divBdr>
                      <w:divsChild>
                        <w:div w:id="1334651776">
                          <w:marLeft w:val="0"/>
                          <w:marRight w:val="0"/>
                          <w:marTop w:val="0"/>
                          <w:marBottom w:val="0"/>
                          <w:divBdr>
                            <w:top w:val="none" w:sz="0" w:space="0" w:color="auto"/>
                            <w:left w:val="none" w:sz="0" w:space="0" w:color="auto"/>
                            <w:bottom w:val="none" w:sz="0" w:space="0" w:color="auto"/>
                            <w:right w:val="none" w:sz="0" w:space="0" w:color="auto"/>
                          </w:divBdr>
                          <w:divsChild>
                            <w:div w:id="872697360">
                              <w:marLeft w:val="0"/>
                              <w:marRight w:val="0"/>
                              <w:marTop w:val="0"/>
                              <w:marBottom w:val="0"/>
                              <w:divBdr>
                                <w:top w:val="none" w:sz="0" w:space="0" w:color="auto"/>
                                <w:left w:val="none" w:sz="0" w:space="0" w:color="auto"/>
                                <w:bottom w:val="none" w:sz="0" w:space="0" w:color="auto"/>
                                <w:right w:val="none" w:sz="0" w:space="0" w:color="auto"/>
                              </w:divBdr>
                              <w:divsChild>
                                <w:div w:id="731317371">
                                  <w:marLeft w:val="0"/>
                                  <w:marRight w:val="0"/>
                                  <w:marTop w:val="0"/>
                                  <w:marBottom w:val="0"/>
                                  <w:divBdr>
                                    <w:top w:val="none" w:sz="0" w:space="0" w:color="auto"/>
                                    <w:left w:val="none" w:sz="0" w:space="0" w:color="auto"/>
                                    <w:bottom w:val="none" w:sz="0" w:space="0" w:color="auto"/>
                                    <w:right w:val="none" w:sz="0" w:space="0" w:color="auto"/>
                                  </w:divBdr>
                                  <w:divsChild>
                                    <w:div w:id="1487821491">
                                      <w:marLeft w:val="0"/>
                                      <w:marRight w:val="0"/>
                                      <w:marTop w:val="0"/>
                                      <w:marBottom w:val="0"/>
                                      <w:divBdr>
                                        <w:top w:val="none" w:sz="0" w:space="0" w:color="auto"/>
                                        <w:left w:val="none" w:sz="0" w:space="0" w:color="auto"/>
                                        <w:bottom w:val="none" w:sz="0" w:space="0" w:color="auto"/>
                                        <w:right w:val="none" w:sz="0" w:space="0" w:color="auto"/>
                                      </w:divBdr>
                                      <w:divsChild>
                                        <w:div w:id="163594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28634">
                                  <w:marLeft w:val="0"/>
                                  <w:marRight w:val="0"/>
                                  <w:marTop w:val="0"/>
                                  <w:marBottom w:val="0"/>
                                  <w:divBdr>
                                    <w:top w:val="none" w:sz="0" w:space="0" w:color="auto"/>
                                    <w:left w:val="none" w:sz="0" w:space="0" w:color="auto"/>
                                    <w:bottom w:val="none" w:sz="0" w:space="0" w:color="auto"/>
                                    <w:right w:val="none" w:sz="0" w:space="0" w:color="auto"/>
                                  </w:divBdr>
                                  <w:divsChild>
                                    <w:div w:id="1709837850">
                                      <w:marLeft w:val="0"/>
                                      <w:marRight w:val="0"/>
                                      <w:marTop w:val="0"/>
                                      <w:marBottom w:val="0"/>
                                      <w:divBdr>
                                        <w:top w:val="none" w:sz="0" w:space="0" w:color="auto"/>
                                        <w:left w:val="none" w:sz="0" w:space="0" w:color="auto"/>
                                        <w:bottom w:val="none" w:sz="0" w:space="0" w:color="auto"/>
                                        <w:right w:val="none" w:sz="0" w:space="0" w:color="auto"/>
                                      </w:divBdr>
                                      <w:divsChild>
                                        <w:div w:id="172899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14246">
          <w:marLeft w:val="0"/>
          <w:marRight w:val="0"/>
          <w:marTop w:val="0"/>
          <w:marBottom w:val="0"/>
          <w:divBdr>
            <w:top w:val="none" w:sz="0" w:space="0" w:color="auto"/>
            <w:left w:val="none" w:sz="0" w:space="0" w:color="auto"/>
            <w:bottom w:val="none" w:sz="0" w:space="0" w:color="auto"/>
            <w:right w:val="none" w:sz="0" w:space="0" w:color="auto"/>
          </w:divBdr>
          <w:divsChild>
            <w:div w:id="824781170">
              <w:marLeft w:val="0"/>
              <w:marRight w:val="0"/>
              <w:marTop w:val="0"/>
              <w:marBottom w:val="0"/>
              <w:divBdr>
                <w:top w:val="none" w:sz="0" w:space="0" w:color="auto"/>
                <w:left w:val="none" w:sz="0" w:space="0" w:color="auto"/>
                <w:bottom w:val="none" w:sz="0" w:space="0" w:color="auto"/>
                <w:right w:val="none" w:sz="0" w:space="0" w:color="auto"/>
              </w:divBdr>
            </w:div>
          </w:divsChild>
        </w:div>
        <w:div w:id="444420473">
          <w:marLeft w:val="0"/>
          <w:marRight w:val="0"/>
          <w:marTop w:val="0"/>
          <w:marBottom w:val="0"/>
          <w:divBdr>
            <w:top w:val="none" w:sz="0" w:space="0" w:color="auto"/>
            <w:left w:val="none" w:sz="0" w:space="0" w:color="auto"/>
            <w:bottom w:val="none" w:sz="0" w:space="0" w:color="auto"/>
            <w:right w:val="none" w:sz="0" w:space="0" w:color="auto"/>
          </w:divBdr>
        </w:div>
        <w:div w:id="1629697091">
          <w:marLeft w:val="0"/>
          <w:marRight w:val="0"/>
          <w:marTop w:val="0"/>
          <w:marBottom w:val="0"/>
          <w:divBdr>
            <w:top w:val="none" w:sz="0" w:space="0" w:color="auto"/>
            <w:left w:val="none" w:sz="0" w:space="0" w:color="auto"/>
            <w:bottom w:val="none" w:sz="0" w:space="0" w:color="auto"/>
            <w:right w:val="none" w:sz="0" w:space="0" w:color="auto"/>
          </w:divBdr>
        </w:div>
        <w:div w:id="13650552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3206</Words>
  <Characters>18276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Oijen, Murphy van</dc:creator>
  <cp:keywords/>
  <dc:description/>
  <cp:lastModifiedBy>Oijen, Murphy van</cp:lastModifiedBy>
  <cp:revision>1</cp:revision>
  <dcterms:created xsi:type="dcterms:W3CDTF">2026-02-14T05:26:00Z</dcterms:created>
  <dcterms:modified xsi:type="dcterms:W3CDTF">2026-02-22T12:04:00Z</dcterms:modified>
</cp:coreProperties>
</file>