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p>
    <w:p>
      <w:pPr>
        <w:spacing w:after="160" w:before="0"/>
        <w:jc w:val="center"/>
      </w:pPr>
      <w:r>
        <w:rPr>
          <w:rFonts w:ascii="Calibri" w:cs="Calibri" w:eastAsia="Calibri" w:hAnsi="Calibri"/>
          <w:b/>
          <w:bCs/>
          <w:color w:val="1F3864"/>
          <w:sz w:val="64"/>
          <w:szCs w:val="64"/>
        </w:rPr>
        <w:t xml:space="preserve">DualUoM-BC</w:t>
      </w:r>
    </w:p>
    <w:p>
      <w:pPr>
        <w:spacing w:after="480" w:before="0"/>
        <w:jc w:val="center"/>
      </w:pPr>
      <w:r>
        <w:rPr>
          <w:rFonts w:ascii="Calibri" w:cs="Calibri" w:eastAsia="Calibri" w:hAnsi="Calibri"/>
          <w:i/>
          <w:iCs/>
          <w:color w:val="2E5FA3"/>
          <w:sz w:val="28"/>
          <w:szCs w:val="28"/>
        </w:rPr>
        <w:t xml:space="preserve">Segunda Unidad de Medida para Microsoft Dynamics 365 Business Central</w:t>
      </w:r>
    </w:p>
    <w:p>
      <w:pPr>
        <w:shd w:fill="4472C4" w:color="4472C4" w:val="solid"/>
        <w:spacing w:after="120" w:before="120"/>
        <w:jc w:val="center"/>
      </w:pPr>
      <w:r>
        <w:rPr>
          <w:rFonts w:ascii="Calibri" w:cs="Calibri" w:eastAsia="Calibri" w:hAnsi="Calibri"/>
          <w:b/>
          <w:bCs/>
          <w:caps/>
          <w:color w:val="FFFFFF"/>
          <w:sz w:val="36"/>
          <w:szCs w:val="36"/>
        </w:rPr>
        <w:t xml:space="preserve">PROPUESTA COMERCIAL</w:t>
      </w:r>
    </w:p>
    <w:p>
      <w:pPr>
        <w:spacing w:after="600" w:before="600"/>
      </w:pPr>
    </w:p>
    <w:p>
      <w:pPr>
        <w:spacing w:after="80" w:before="0"/>
        <w:jc w:val="center"/>
      </w:pPr>
      <w:r>
        <w:rPr>
          <w:rFonts w:ascii="Calibri" w:cs="Calibri" w:eastAsia="Calibri" w:hAnsi="Calibri"/>
          <w:color w:val="404040"/>
          <w:sz w:val="22"/>
          <w:szCs w:val="22"/>
        </w:rPr>
        <w:t xml:space="preserve">Preparada para:</w:t>
      </w:r>
    </w:p>
    <w:p>
      <w:pPr>
        <w:spacing w:after="400" w:before="0"/>
        <w:jc w:val="center"/>
      </w:pPr>
      <w:r>
        <w:rPr>
          <w:rFonts w:ascii="Calibri" w:cs="Calibri" w:eastAsia="Calibri" w:hAnsi="Calibri"/>
          <w:b/>
          <w:bCs/>
          <w:color w:val="1F3864"/>
          <w:sz w:val="30"/>
          <w:szCs w:val="30"/>
          <w:u w:val="single" w:color="1F3864"/>
        </w:rPr>
        <w:t xml:space="preserve">[NOMBRE DEL CLIENTE]</w:t>
      </w:r>
    </w:p>
    <w:p>
      <w:pPr>
        <w:spacing w:after="80" w:before="0"/>
        <w:jc w:val="center"/>
      </w:pPr>
      <w:r>
        <w:rPr>
          <w:rFonts w:ascii="Calibri" w:cs="Calibri" w:eastAsia="Calibri" w:hAnsi="Calibri"/>
          <w:color w:val="404040"/>
          <w:sz w:val="18"/>
          <w:szCs w:val="18"/>
        </w:rPr>
        <w:t xml:space="preserve">Versión 1.0  ·  11 de abril de 2026</w:t>
      </w:r>
    </w:p>
    <w:p>
      <w:pPr>
        <w:jc w:val="center"/>
      </w:pPr>
      <w:r>
        <w:rPr>
          <w:rFonts w:ascii="Calibri" w:cs="Calibri" w:eastAsia="Calibri" w:hAnsi="Calibri"/>
          <w:i/>
          <w:iCs/>
          <w:color w:val="404040"/>
          <w:sz w:val="16"/>
          <w:szCs w:val="16"/>
        </w:rPr>
        <w:t xml:space="preserve">Confidencial · No distribuir sin autorización del emisor</w:t>
      </w:r>
    </w:p>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1. Resumen ejecutivo</w:t>
      </w:r>
    </w:p>
    <w:p>
      <w:pPr>
        <w:spacing w:after="80" w:before="80"/>
        <w:jc w:val="left"/>
      </w:pPr>
      <w:r>
        <w:rPr>
          <w:rFonts w:ascii="Calibri" w:cs="Calibri" w:eastAsia="Calibri" w:hAnsi="Calibri"/>
          <w:b w:val="false"/>
          <w:bCs w:val="false"/>
          <w:i w:val="false"/>
          <w:iCs w:val="false"/>
          <w:color w:val="1A1A1A"/>
          <w:sz w:val="20"/>
          <w:szCs w:val="20"/>
        </w:rPr>
        <w:t xml:space="preserve">La presente propuesta describe la implantación de DualUoM-BC, una extensión certificada para Microsoft Dynamics 365 Business Central SaaS que permite gestionar simultáneamente dos unidades de medida distintas para el mismo artículo a lo largo de toda la cadena logística: compras, ventas, almacén e inventario.</w:t>
      </w:r>
    </w:p>
    <w:p>
      <w:pPr>
        <w:spacing w:after="80" w:before="80"/>
      </w:pPr>
    </w:p>
    <w:p>
      <w:pPr>
        <w:spacing w:after="80" w:before="80"/>
        <w:jc w:val="left"/>
      </w:pPr>
      <w:r>
        <w:rPr>
          <w:rFonts w:ascii="Calibri" w:cs="Calibri" w:eastAsia="Calibri" w:hAnsi="Calibri"/>
          <w:b w:val="false"/>
          <w:bCs w:val="false"/>
          <w:i w:val="false"/>
          <w:iCs w:val="false"/>
          <w:color w:val="1A1A1A"/>
          <w:sz w:val="20"/>
          <w:szCs w:val="20"/>
        </w:rPr>
        <w:t xml:space="preserve">Muchas empresas de los sectores agroalimentario, químico, agrícola y metalúrgico comercializan productos que se pesan en una unidad (p. ej. kilogramos) y se cuentan o facturan en otra (p. ej. piezas, cajas, bandejas). La conversión entre ambas unidades varía por lote, y Business Central estándar no permite gestionarla de forma flexible y trazable.</w:t>
      </w:r>
    </w:p>
    <w:p>
      <w:pPr>
        <w:spacing w:after="80" w:before="80"/>
      </w:pPr>
    </w:p>
    <w:p>
      <w:pPr>
        <w:spacing w:after="80" w:before="80"/>
        <w:jc w:val="left"/>
      </w:pPr>
      <w:r>
        <w:rPr>
          <w:rFonts w:ascii="Calibri" w:cs="Calibri" w:eastAsia="Calibri" w:hAnsi="Calibri"/>
          <w:b w:val="false"/>
          <w:bCs w:val="false"/>
          <w:i w:val="false"/>
          <w:iCs w:val="false"/>
          <w:color w:val="1A1A1A"/>
          <w:sz w:val="20"/>
          <w:szCs w:val="20"/>
        </w:rPr>
        <w:t xml:space="preserve">DualUoM-BC resuelve este problema de forma nativa, sin modificar la aplicación base de Business Central, garantizando la compatibilidad con futuras actualizaciones de Microsoft y la posibilidad de desinstalación limpia.</w:t>
      </w:r>
    </w:p>
    <w:p>
      <w:pPr>
        <w:spacing w:after="80" w:before="80"/>
      </w:pPr>
    </w:p>
    <w:p>
      <w:pPr>
        <w:shd w:fill="D9E2F3" w:color="D9E2F3" w:val="solid"/>
        <w:spacing w:after="120" w:before="120"/>
        <w:ind w:left="288" w:right="288"/>
      </w:pPr>
      <w:r>
        <w:rPr>
          <w:rFonts w:ascii="Calibri" w:cs="Calibri" w:eastAsia="Calibri" w:hAnsi="Calibri"/>
          <w:b/>
          <w:bCs/>
          <w:color w:val="1F3864"/>
          <w:sz w:val="20"/>
          <w:szCs w:val="20"/>
        </w:rPr>
        <w:t xml:space="preserve">ℹ  </w:t>
      </w:r>
      <w:r>
        <w:rPr>
          <w:rFonts w:ascii="Calibri" w:cs="Calibri" w:eastAsia="Calibri" w:hAnsi="Calibri"/>
          <w:i/>
          <w:iCs/>
          <w:color w:val="1F3864"/>
          <w:sz w:val="20"/>
          <w:szCs w:val="20"/>
        </w:rPr>
        <w:t xml:space="preserve">La extensión ya cuenta con una base funcional completa (Fase 1 / MVP) en producción. Esto reduce significativamente el riesgo del proyecto y acorta los plazos de puesta en marcha.</w:t>
      </w:r>
    </w:p>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2. Problemática y necesidad del negocio</w:t>
      </w:r>
    </w:p>
    <w:p>
      <w:pPr>
        <w:pStyle w:val="Heading2"/>
        <w:pBdr>
          <w:bottom w:val="single" w:color="4472C4" w:sz="4"/>
        </w:pBdr>
        <w:spacing w:after="100" w:before="300"/>
      </w:pPr>
      <w:r>
        <w:rPr>
          <w:rFonts w:ascii="Calibri" w:cs="Calibri" w:eastAsia="Calibri" w:hAnsi="Calibri"/>
          <w:b/>
          <w:bCs/>
          <w:color w:val="1F3864"/>
          <w:sz w:val="24"/>
          <w:szCs w:val="24"/>
        </w:rPr>
        <w:t xml:space="preserve">2.1 El problema</w:t>
      </w:r>
    </w:p>
    <w:p>
      <w:pPr>
        <w:spacing w:after="80" w:before="80"/>
        <w:jc w:val="left"/>
      </w:pPr>
      <w:r>
        <w:rPr>
          <w:rFonts w:ascii="Calibri" w:cs="Calibri" w:eastAsia="Calibri" w:hAnsi="Calibri"/>
          <w:b w:val="false"/>
          <w:bCs w:val="false"/>
          <w:i w:val="false"/>
          <w:iCs w:val="false"/>
          <w:color w:val="1A1A1A"/>
          <w:sz w:val="20"/>
          <w:szCs w:val="20"/>
        </w:rPr>
        <w:t xml:space="preserve">Business Central soporta una unidad de medida alternativa por artículo mediante la tabla de 'Unidades de medida de artículo'. Sin embargo, esta solución estándar tiene limitaciones críticas para muchas operativas:</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pct" w:w="45%"/>
            <w:shd w:fill="1F3864" w:color="1F3864" w:val="solid"/>
            <w:vAlign w:val="center"/>
          </w:tcPr>
          <w:p>
            <w:pPr>
              <w:jc w:val="center"/>
            </w:pPr>
            <w:r>
              <w:rPr>
                <w:rFonts w:ascii="Calibri" w:cs="Calibri" w:eastAsia="Calibri" w:hAnsi="Calibri"/>
                <w:b/>
                <w:bCs/>
                <w:color w:val="FFFFFF"/>
                <w:sz w:val="18"/>
                <w:szCs w:val="18"/>
              </w:rPr>
              <w:t xml:space="preserve">Requisito operativo</w:t>
            </w:r>
          </w:p>
        </w:tc>
        <w:tc>
          <w:tcPr>
            <w:tcW w:type="pct" w:w="27%"/>
            <w:shd w:fill="1F3864" w:color="1F3864" w:val="solid"/>
            <w:vAlign w:val="center"/>
          </w:tcPr>
          <w:p>
            <w:pPr>
              <w:jc w:val="center"/>
            </w:pPr>
            <w:r>
              <w:rPr>
                <w:rFonts w:ascii="Calibri" w:cs="Calibri" w:eastAsia="Calibri" w:hAnsi="Calibri"/>
                <w:b/>
                <w:bCs/>
                <w:color w:val="FFFFFF"/>
                <w:sz w:val="18"/>
                <w:szCs w:val="18"/>
              </w:rPr>
              <w:t xml:space="preserve">Business Central estándar</w:t>
            </w:r>
          </w:p>
        </w:tc>
        <w:tc>
          <w:tcPr>
            <w:tcW w:type="pct" w:w="28%"/>
            <w:shd w:fill="1F3864" w:color="1F3864" w:val="solid"/>
            <w:vAlign w:val="center"/>
          </w:tcPr>
          <w:p>
            <w:pPr>
              <w:jc w:val="center"/>
            </w:pPr>
            <w:r>
              <w:rPr>
                <w:rFonts w:ascii="Calibri" w:cs="Calibri" w:eastAsia="Calibri" w:hAnsi="Calibri"/>
                <w:b/>
                <w:bCs/>
                <w:color w:val="FFFFFF"/>
                <w:sz w:val="18"/>
                <w:szCs w:val="18"/>
              </w:rPr>
              <w:t xml:space="preserve">DualUoM-BC</w:t>
            </w:r>
          </w:p>
        </w:tc>
      </w:tr>
      <w:tr>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Ratio fijo entre dos UdM</w:t>
            </w:r>
          </w:p>
        </w:tc>
        <w:tc>
          <w:tcPr>
            <w:tcW w:type="pct" w:w="2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Tabla UdM artículo</w:t>
            </w:r>
          </w:p>
        </w:tc>
        <w:tc>
          <w:tcPr>
            <w:tcW w:type="pct" w:w="2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Reaprovechado</w:t>
            </w:r>
          </w:p>
        </w:tc>
      </w:tr>
      <w:tr>
        <w:tc>
          <w:tcPr>
            <w:tcW w:type="pct" w:w="4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Ratio variable por transacción</w:t>
            </w:r>
          </w:p>
        </w:tc>
        <w:tc>
          <w:tcPr>
            <w:tcW w:type="pct" w:w="2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No soportado</w:t>
            </w:r>
          </w:p>
        </w:tc>
        <w:tc>
          <w:tcPr>
            <w:tcW w:type="pct" w:w="2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Campo en líneas de documento</w:t>
            </w:r>
          </w:p>
        </w:tc>
      </w:tr>
      <w:tr>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Siempre variable (sin ratio fijo)</w:t>
            </w:r>
          </w:p>
        </w:tc>
        <w:tc>
          <w:tcPr>
            <w:tcW w:type="pct" w:w="2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No soportado</w:t>
            </w:r>
          </w:p>
        </w:tc>
        <w:tc>
          <w:tcPr>
            <w:tcW w:type="pct" w:w="2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Modo 'Siempre Variable'</w:t>
            </w:r>
          </w:p>
        </w:tc>
      </w:tr>
      <w:tr>
        <w:tc>
          <w:tcPr>
            <w:tcW w:type="pct" w:w="4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Ratio real por lote (trazabilidad)</w:t>
            </w:r>
          </w:p>
        </w:tc>
        <w:tc>
          <w:tcPr>
            <w:tcW w:type="pct" w:w="2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No soportado</w:t>
            </w:r>
          </w:p>
        </w:tc>
        <w:tc>
          <w:tcPr>
            <w:tcW w:type="pct" w:w="2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Fase 2 — ratio por lote</w:t>
            </w:r>
          </w:p>
        </w:tc>
      </w:tr>
      <w:tr>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Segunda cantidad en líneas de compra/venta</w:t>
            </w:r>
          </w:p>
        </w:tc>
        <w:tc>
          <w:tcPr>
            <w:tcW w:type="pct" w:w="2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No soportado</w:t>
            </w:r>
          </w:p>
        </w:tc>
        <w:tc>
          <w:tcPr>
            <w:tcW w:type="pct" w:w="2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Extensión de tabla</w:t>
            </w:r>
          </w:p>
        </w:tc>
      </w:tr>
      <w:tr>
        <w:tc>
          <w:tcPr>
            <w:tcW w:type="pct" w:w="4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Segunda cantidad en asientos de producto</w:t>
            </w:r>
          </w:p>
        </w:tc>
        <w:tc>
          <w:tcPr>
            <w:tcW w:type="pct" w:w="2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No soportado</w:t>
            </w:r>
          </w:p>
        </w:tc>
        <w:tc>
          <w:tcPr>
            <w:tcW w:type="pct" w:w="2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Extensión de tabla</w:t>
            </w:r>
          </w:p>
        </w:tc>
      </w:tr>
      <w:tr>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Segunda cantidad en almacén</w:t>
            </w:r>
          </w:p>
        </w:tc>
        <w:tc>
          <w:tcPr>
            <w:tcW w:type="pct" w:w="2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No soportado</w:t>
            </w:r>
          </w:p>
        </w:tc>
        <w:tc>
          <w:tcPr>
            <w:tcW w:type="pct" w:w="2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Fase 2 — almacén avanzado</w:t>
            </w:r>
          </w:p>
        </w:tc>
      </w:tr>
    </w:tbl>
    <w:p>
      <w:pPr>
        <w:spacing w:after="100" w:before="100"/>
      </w:pPr>
    </w:p>
    <w:p>
      <w:pPr>
        <w:pStyle w:val="Heading2"/>
        <w:pBdr>
          <w:bottom w:val="single" w:color="4472C4" w:sz="4"/>
        </w:pBdr>
        <w:spacing w:after="100" w:before="300"/>
      </w:pPr>
      <w:r>
        <w:rPr>
          <w:rFonts w:ascii="Calibri" w:cs="Calibri" w:eastAsia="Calibri" w:hAnsi="Calibri"/>
          <w:b/>
          <w:bCs/>
          <w:color w:val="1F3864"/>
          <w:sz w:val="24"/>
          <w:szCs w:val="24"/>
        </w:rPr>
        <w:t xml:space="preserve">2.2 Ejemplo de negocio</w:t>
      </w:r>
    </w:p>
    <w:p>
      <w:pPr>
        <w:spacing w:after="80" w:before="80"/>
        <w:jc w:val="left"/>
      </w:pPr>
      <w:r>
        <w:rPr>
          <w:rFonts w:ascii="Calibri" w:cs="Calibri" w:eastAsia="Calibri" w:hAnsi="Calibri"/>
          <w:b w:val="false"/>
          <w:bCs w:val="false"/>
          <w:i w:val="false"/>
          <w:iCs w:val="false"/>
          <w:color w:val="1A1A1A"/>
          <w:sz w:val="20"/>
          <w:szCs w:val="20"/>
        </w:rPr>
        <w:t xml:space="preserve">Una empresa hortofrutícola compra 10 kg de lechuga (facturado por peso) pero los recibe como 8 piezas (contados y almacenados por unidad). La relación 10 kg / 8 pcs varía en cada entrega según el peso real de la mercancía. Sin DualUoM-BC, el equipo debe gestionar esta conversión en hojas de cálculo externas, con el consiguiente riesgo de errores, pérdida de trazabilidad y trabajo manual.</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2.3 Módulos cubiertos</w:t>
      </w:r>
    </w:p>
    <w:p>
      <w:pPr>
        <w:spacing w:after="80" w:before="80"/>
        <w:jc w:val="left"/>
      </w:pPr>
      <w:r>
        <w:rPr>
          <w:rFonts w:ascii="Calibri" w:cs="Calibri" w:eastAsia="Calibri" w:hAnsi="Calibri"/>
          <w:b w:val="false"/>
          <w:bCs w:val="false"/>
          <w:i w:val="false"/>
          <w:iCs w:val="false"/>
          <w:color w:val="1A1A1A"/>
          <w:sz w:val="20"/>
          <w:szCs w:val="20"/>
        </w:rPr>
        <w:t xml:space="preserve">La solución se integra en los siguientes módulos de Business Central:</w:t>
      </w:r>
    </w:p>
    <w:p>
      <w:pPr>
        <w:spacing w:after="40" w:before="40"/>
      </w:pP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Compras: pedidos, recepciones, facturas y abonos</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Ventas: pedidos, albaranes, facturas y abonos</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Inventario: diarios de producto, asientos de producto, inventario físico</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Almacén: recepciones y expediciones de almacén, picking y ubicación dirigidos (Fase 2)</w:t>
      </w:r>
    </w:p>
    <w:p>
      <w:pPr>
        <w:spacing w:after="80" w:before="80"/>
      </w:pPr>
    </w:p>
    <w:p>
      <w:pPr>
        <w:spacing w:after="80" w:before="80"/>
        <w:jc w:val="left"/>
      </w:pPr>
      <w:r>
        <w:rPr>
          <w:rFonts w:ascii="Calibri" w:cs="Calibri" w:eastAsia="Calibri" w:hAnsi="Calibri"/>
          <w:b w:val="false"/>
          <w:bCs w:val="false"/>
          <w:i/>
          <w:iCs/>
          <w:color w:val="1A1A1A"/>
          <w:sz w:val="20"/>
          <w:szCs w:val="20"/>
        </w:rPr>
        <w:t xml:space="preserve">Quedan fuera del alcance de forma permanente: Fabricación, Proyectos y Gestión de servicios.</w:t>
      </w:r>
    </w:p>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3. La solución: DualUoM-BC</w:t>
      </w:r>
    </w:p>
    <w:p>
      <w:pPr>
        <w:pStyle w:val="Heading2"/>
        <w:pBdr>
          <w:bottom w:val="single" w:color="4472C4" w:sz="4"/>
        </w:pBdr>
        <w:spacing w:after="100" w:before="300"/>
      </w:pPr>
      <w:r>
        <w:rPr>
          <w:rFonts w:ascii="Calibri" w:cs="Calibri" w:eastAsia="Calibri" w:hAnsi="Calibri"/>
          <w:b/>
          <w:bCs/>
          <w:color w:val="1F3864"/>
          <w:sz w:val="24"/>
          <w:szCs w:val="24"/>
        </w:rPr>
        <w:t xml:space="preserve">3.1 Arquitectura técnica</w:t>
      </w:r>
    </w:p>
    <w:p>
      <w:pPr>
        <w:spacing w:after="80" w:before="80"/>
        <w:jc w:val="left"/>
      </w:pPr>
      <w:r>
        <w:rPr>
          <w:rFonts w:ascii="Calibri" w:cs="Calibri" w:eastAsia="Calibri" w:hAnsi="Calibri"/>
          <w:b w:val="false"/>
          <w:bCs w:val="false"/>
          <w:i w:val="false"/>
          <w:iCs w:val="false"/>
          <w:color w:val="1A1A1A"/>
          <w:sz w:val="20"/>
          <w:szCs w:val="20"/>
        </w:rPr>
        <w:t xml:space="preserve">DualUoM-BC es una extensión de tipo PTE (Per-Tenant Extension) que se despliega directamente en el entorno Business Central SaaS del cliente a través del centro de administración de Microsoft. No requiere ninguna modificación de la aplicación base y es compatible con las actualizaciones continuas de Microsoft.</w:t>
      </w:r>
    </w:p>
    <w:p>
      <w:pPr>
        <w:spacing w:after="80" w:before="80"/>
      </w:pPr>
    </w:p>
    <w:p>
      <w:pPr>
        <w:spacing w:after="80" w:before="80"/>
        <w:jc w:val="left"/>
      </w:pPr>
      <w:r>
        <w:rPr>
          <w:rFonts w:ascii="Calibri" w:cs="Calibri" w:eastAsia="Calibri" w:hAnsi="Calibri"/>
          <w:b w:val="false"/>
          <w:bCs w:val="false"/>
          <w:i w:val="false"/>
          <w:iCs w:val="false"/>
          <w:color w:val="1A1A1A"/>
          <w:sz w:val="20"/>
          <w:szCs w:val="20"/>
        </w:rPr>
        <w:t xml:space="preserve">Principios de diseño:</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Solo extensiones: ninguna tabla ni código base de BC es modificado</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Diseño orientado a eventos: toda integración se realiza mediante suscriptores a eventos publicados de BC</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Sin estado global ni dependencias externas</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Compatible con cloud-only (SaaS): no requiere Docker ni acceso al sistema de archivos en tiempo de ejecución</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Cero APIs obsoletas: construido sobre las APIs actuales de BC 27</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3.2 Modos de conversión</w:t>
      </w:r>
    </w:p>
    <w:p>
      <w:pPr>
        <w:spacing w:after="80" w:before="80"/>
        <w:jc w:val="left"/>
      </w:pPr>
      <w:r>
        <w:rPr>
          <w:rFonts w:ascii="Calibri" w:cs="Calibri" w:eastAsia="Calibri" w:hAnsi="Calibri"/>
          <w:b w:val="false"/>
          <w:bCs w:val="false"/>
          <w:i w:val="false"/>
          <w:iCs w:val="false"/>
          <w:color w:val="1A1A1A"/>
          <w:sz w:val="20"/>
          <w:szCs w:val="20"/>
        </w:rPr>
        <w:t xml:space="preserve">La extensión soporta tres modos de conversión, configurables por artículo:</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pct" w:w="18%"/>
            <w:shd w:fill="1F3864" w:color="1F3864" w:val="solid"/>
            <w:vAlign w:val="center"/>
          </w:tcPr>
          <w:p>
            <w:pPr>
              <w:jc w:val="center"/>
            </w:pPr>
            <w:r>
              <w:rPr>
                <w:rFonts w:ascii="Calibri" w:cs="Calibri" w:eastAsia="Calibri" w:hAnsi="Calibri"/>
                <w:b/>
                <w:bCs/>
                <w:color w:val="FFFFFF"/>
                <w:sz w:val="18"/>
                <w:szCs w:val="18"/>
              </w:rPr>
              <w:t xml:space="preserve">Modo</w:t>
            </w:r>
          </w:p>
        </w:tc>
        <w:tc>
          <w:tcPr>
            <w:tcW w:type="pct" w:w="52%"/>
            <w:shd w:fill="1F3864" w:color="1F3864" w:val="solid"/>
            <w:vAlign w:val="center"/>
          </w:tcPr>
          <w:p>
            <w:pPr>
              <w:jc w:val="center"/>
            </w:pPr>
            <w:r>
              <w:rPr>
                <w:rFonts w:ascii="Calibri" w:cs="Calibri" w:eastAsia="Calibri" w:hAnsi="Calibri"/>
                <w:b/>
                <w:bCs/>
                <w:color w:val="FFFFFF"/>
                <w:sz w:val="18"/>
                <w:szCs w:val="18"/>
              </w:rPr>
              <w:t xml:space="preserve">Descripción</w:t>
            </w:r>
          </w:p>
        </w:tc>
        <w:tc>
          <w:tcPr>
            <w:tcW w:type="pct" w:w="30%"/>
            <w:shd w:fill="1F3864" w:color="1F3864" w:val="solid"/>
            <w:vAlign w:val="center"/>
          </w:tcPr>
          <w:p>
            <w:pPr>
              <w:jc w:val="center"/>
            </w:pPr>
            <w:r>
              <w:rPr>
                <w:rFonts w:ascii="Calibri" w:cs="Calibri" w:eastAsia="Calibri" w:hAnsi="Calibri"/>
                <w:b/>
                <w:bCs/>
                <w:color w:val="FFFFFF"/>
                <w:sz w:val="18"/>
                <w:szCs w:val="18"/>
              </w:rPr>
              <w:t xml:space="preserve">Caso de uso típico</w:t>
            </w:r>
          </w:p>
        </w:tc>
      </w:tr>
      <w:tr>
        <w:tc>
          <w:tcPr>
            <w:tcW w:type="pct" w:w="1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Fijo</w:t>
            </w:r>
          </w:p>
        </w:tc>
        <w:tc>
          <w:tcPr>
            <w:tcW w:type="pct" w:w="5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La segunda cantidad se calcula automáticamente multiplicando la cantidad principal por el ratio fijo configurado. El usuario no puede modificarla.</w:t>
            </w:r>
          </w:p>
        </w:tc>
        <w:tc>
          <w:tcPr>
            <w:tcW w:type="pct" w:w="3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 caja = siempre 12 uds.</w:t>
            </w:r>
          </w:p>
        </w:tc>
      </w:tr>
      <w:tr>
        <w:tc>
          <w:tcPr>
            <w:tcW w:type="pct" w:w="1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Variable</w:t>
            </w:r>
          </w:p>
        </w:tc>
        <w:tc>
          <w:tcPr>
            <w:tcW w:type="pct" w:w="5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El sistema propone un ratio por defecto pero el usuario puede modificarlo en cada línea de documento. El ratio real queda registrado.</w:t>
            </w:r>
          </w:p>
        </w:tc>
        <w:tc>
          <w:tcPr>
            <w:tcW w:type="pct" w:w="3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KG/pcs con peso promedio por defecto, ajustable al pesaje real.</w:t>
            </w:r>
          </w:p>
        </w:tc>
      </w:tr>
      <w:tr>
        <w:tc>
          <w:tcPr>
            <w:tcW w:type="pct" w:w="1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Siempre Variable</w:t>
            </w:r>
          </w:p>
        </w:tc>
        <w:tc>
          <w:tcPr>
            <w:tcW w:type="pct" w:w="5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 hay ratio por defecto. El usuario introduce manualmente la segunda cantidad en cada transacción.</w:t>
            </w:r>
          </w:p>
        </w:tc>
        <w:tc>
          <w:tcPr>
            <w:tcW w:type="pct" w:w="3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Productos frescos donde cada partida tiene un peso distinto.</w:t>
            </w:r>
          </w:p>
        </w:tc>
      </w:tr>
    </w:tbl>
    <w:p>
      <w:pPr>
        <w:spacing w:after="100" w:before="100"/>
      </w:pPr>
    </w:p>
    <w:p>
      <w:pPr>
        <w:pStyle w:val="Heading2"/>
        <w:pBdr>
          <w:bottom w:val="single" w:color="4472C4" w:sz="4"/>
        </w:pBdr>
        <w:spacing w:after="100" w:before="300"/>
      </w:pPr>
      <w:r>
        <w:rPr>
          <w:rFonts w:ascii="Calibri" w:cs="Calibri" w:eastAsia="Calibri" w:hAnsi="Calibri"/>
          <w:b/>
          <w:bCs/>
          <w:color w:val="1F3864"/>
          <w:sz w:val="24"/>
          <w:szCs w:val="24"/>
        </w:rPr>
        <w:t xml:space="preserve">3.3 Propagación de la segunda cantidad</w:t>
      </w:r>
    </w:p>
    <w:p>
      <w:pPr>
        <w:spacing w:after="80" w:before="80"/>
        <w:jc w:val="left"/>
      </w:pPr>
      <w:r>
        <w:rPr>
          <w:rFonts w:ascii="Calibri" w:cs="Calibri" w:eastAsia="Calibri" w:hAnsi="Calibri"/>
          <w:b w:val="false"/>
          <w:bCs w:val="false"/>
          <w:i w:val="false"/>
          <w:iCs w:val="false"/>
          <w:color w:val="1A1A1A"/>
          <w:sz w:val="20"/>
          <w:szCs w:val="20"/>
        </w:rPr>
        <w:t xml:space="preserve">La segunda cantidad y el ratio utilizado se propagan y almacenan en todos los niveles del documento y del asiento contable: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pct" w:w="45%"/>
            <w:shd w:fill="1F3864" w:color="1F3864" w:val="solid"/>
            <w:vAlign w:val="center"/>
          </w:tcPr>
          <w:p>
            <w:pPr>
              <w:jc w:val="center"/>
            </w:pPr>
            <w:r>
              <w:rPr>
                <w:rFonts w:ascii="Calibri" w:cs="Calibri" w:eastAsia="Calibri" w:hAnsi="Calibri"/>
                <w:b/>
                <w:bCs/>
                <w:color w:val="FFFFFF"/>
                <w:sz w:val="18"/>
                <w:szCs w:val="18"/>
              </w:rPr>
              <w:t xml:space="preserve">Punto de la cadena</w:t>
            </w:r>
          </w:p>
        </w:tc>
        <w:tc>
          <w:tcPr>
            <w:tcW w:type="pct" w:w="30%"/>
            <w:shd w:fill="1F3864" w:color="1F3864" w:val="solid"/>
            <w:vAlign w:val="center"/>
          </w:tcPr>
          <w:p>
            <w:pPr>
              <w:jc w:val="center"/>
            </w:pPr>
            <w:r>
              <w:rPr>
                <w:rFonts w:ascii="Calibri" w:cs="Calibri" w:eastAsia="Calibri" w:hAnsi="Calibri"/>
                <w:b/>
                <w:bCs/>
                <w:color w:val="FFFFFF"/>
                <w:sz w:val="18"/>
                <w:szCs w:val="18"/>
              </w:rPr>
              <w:t xml:space="preserve">Segunda cantidad visible</w:t>
            </w:r>
          </w:p>
        </w:tc>
        <w:tc>
          <w:tcPr>
            <w:tcW w:type="pct" w:w="25%"/>
            <w:shd w:fill="1F3864" w:color="1F3864" w:val="solid"/>
            <w:vAlign w:val="center"/>
          </w:tcPr>
          <w:p>
            <w:pPr>
              <w:jc w:val="center"/>
            </w:pPr>
            <w:r>
              <w:rPr>
                <w:rFonts w:ascii="Calibri" w:cs="Calibri" w:eastAsia="Calibri" w:hAnsi="Calibri"/>
                <w:b/>
                <w:bCs/>
                <w:color w:val="FFFFFF"/>
                <w:sz w:val="18"/>
                <w:szCs w:val="18"/>
              </w:rPr>
              <w:t xml:space="preserve">Segunda cantidad editable</w:t>
            </w:r>
          </w:p>
        </w:tc>
      </w:tr>
      <w:tr>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Línea de pedido de compra</w:t>
            </w:r>
          </w:p>
        </w:tc>
        <w:tc>
          <w:tcPr>
            <w:tcW w:type="pct" w:w="3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(según modo)</w:t>
            </w:r>
          </w:p>
        </w:tc>
      </w:tr>
      <w:tr>
        <w:tc>
          <w:tcPr>
            <w:tcW w:type="pct" w:w="4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Línea de albarán de compra</w:t>
            </w:r>
          </w:p>
        </w:tc>
        <w:tc>
          <w:tcPr>
            <w:tcW w:type="pct" w:w="3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(según modo)</w:t>
            </w:r>
          </w:p>
        </w:tc>
      </w:tr>
      <w:tr>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Línea de pedido de venta</w:t>
            </w:r>
          </w:p>
        </w:tc>
        <w:tc>
          <w:tcPr>
            <w:tcW w:type="pct" w:w="3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(según modo)</w:t>
            </w:r>
          </w:p>
        </w:tc>
      </w:tr>
      <w:tr>
        <w:tc>
          <w:tcPr>
            <w:tcW w:type="pct" w:w="4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Línea de albarán de venta</w:t>
            </w:r>
          </w:p>
        </w:tc>
        <w:tc>
          <w:tcPr>
            <w:tcW w:type="pct" w:w="3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(según modo)</w:t>
            </w:r>
          </w:p>
        </w:tc>
      </w:tr>
      <w:tr>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Línea de diario de producto</w:t>
            </w:r>
          </w:p>
        </w:tc>
        <w:tc>
          <w:tcPr>
            <w:tcW w:type="pct" w:w="3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r>
        <w:tc>
          <w:tcPr>
            <w:tcW w:type="pct" w:w="4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Asiento de producto (histórico)</w:t>
            </w:r>
          </w:p>
        </w:tc>
        <w:tc>
          <w:tcPr>
            <w:tcW w:type="pct" w:w="3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Inmutable tras contabilizar</w:t>
            </w:r>
          </w:p>
        </w:tc>
      </w:tr>
      <w:tr>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Línea de albarán de almacén (Fase 2)</w:t>
            </w:r>
          </w:p>
        </w:tc>
        <w:tc>
          <w:tcPr>
            <w:tcW w:type="pct" w:w="3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r>
    </w:tbl>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4. Estado actual de implementación</w:t>
      </w:r>
    </w:p>
    <w:p>
      <w:pPr>
        <w:spacing w:after="80" w:before="80"/>
        <w:jc w:val="left"/>
      </w:pPr>
      <w:r>
        <w:rPr>
          <w:rFonts w:ascii="Calibri" w:cs="Calibri" w:eastAsia="Calibri" w:hAnsi="Calibri"/>
          <w:b w:val="false"/>
          <w:bCs w:val="false"/>
          <w:i w:val="false"/>
          <w:iCs w:val="false"/>
          <w:color w:val="1A1A1A"/>
          <w:sz w:val="20"/>
          <w:szCs w:val="20"/>
        </w:rPr>
        <w:t xml:space="preserve">A continuación se detalla el estado de cada elemento del backlog de desarrollo:</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4.1 Fase 1 — MVP (completada)</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gridCol w:w="100"/>
      </w:tblGrid>
      <w:tr>
        <w:trPr>
          <w:tblHeader/>
        </w:trPr>
        <w:tc>
          <w:tcPr>
            <w:tcW w:type="pct" w:w="5%"/>
            <w:shd w:fill="1F3864" w:color="1F3864" w:val="solid"/>
            <w:vAlign w:val="center"/>
          </w:tcPr>
          <w:p>
            <w:pPr>
              <w:jc w:val="center"/>
            </w:pPr>
            <w:r>
              <w:rPr>
                <w:rFonts w:ascii="Calibri" w:cs="Calibri" w:eastAsia="Calibri" w:hAnsi="Calibri"/>
                <w:b/>
                <w:bCs/>
                <w:color w:val="FFFFFF"/>
                <w:sz w:val="18"/>
                <w:szCs w:val="18"/>
              </w:rPr>
              <w:t xml:space="preserve">Nº</w:t>
            </w:r>
          </w:p>
        </w:tc>
        <w:tc>
          <w:tcPr>
            <w:tcW w:type="pct" w:w="38%"/>
            <w:shd w:fill="1F3864" w:color="1F3864" w:val="solid"/>
            <w:vAlign w:val="center"/>
          </w:tcPr>
          <w:p>
            <w:pPr>
              <w:jc w:val="center"/>
            </w:pPr>
            <w:r>
              <w:rPr>
                <w:rFonts w:ascii="Calibri" w:cs="Calibri" w:eastAsia="Calibri" w:hAnsi="Calibri"/>
                <w:b/>
                <w:bCs/>
                <w:color w:val="FFFFFF"/>
                <w:sz w:val="18"/>
                <w:szCs w:val="18"/>
              </w:rPr>
              <w:t xml:space="preserve">Funcionalidad</w:t>
            </w:r>
          </w:p>
        </w:tc>
        <w:tc>
          <w:tcPr>
            <w:tcW w:type="pct" w:w="20%"/>
            <w:shd w:fill="1F3864" w:color="1F3864" w:val="solid"/>
            <w:vAlign w:val="center"/>
          </w:tcPr>
          <w:p>
            <w:pPr>
              <w:jc w:val="center"/>
            </w:pPr>
            <w:r>
              <w:rPr>
                <w:rFonts w:ascii="Calibri" w:cs="Calibri" w:eastAsia="Calibri" w:hAnsi="Calibri"/>
                <w:b/>
                <w:bCs/>
                <w:color w:val="FFFFFF"/>
                <w:sz w:val="18"/>
                <w:szCs w:val="18"/>
              </w:rPr>
              <w:t xml:space="preserve">Estado</w:t>
            </w:r>
          </w:p>
        </w:tc>
        <w:tc>
          <w:tcPr>
            <w:tcW w:type="pct" w:w="37%"/>
            <w:shd w:fill="1F3864" w:color="1F3864" w:val="solid"/>
            <w:vAlign w:val="center"/>
          </w:tcPr>
          <w:p>
            <w:pPr>
              <w:jc w:val="center"/>
            </w:pPr>
            <w:r>
              <w:rPr>
                <w:rFonts w:ascii="Calibri" w:cs="Calibri" w:eastAsia="Calibri" w:hAnsi="Calibri"/>
                <w:b/>
                <w:bCs/>
                <w:color w:val="FFFFFF"/>
                <w:sz w:val="18"/>
                <w:szCs w:val="18"/>
              </w:rPr>
              <w:t xml:space="preserve">Entregables</w:t>
            </w:r>
          </w:p>
        </w:tc>
      </w:tr>
      <w:tr>
        <w:tc>
          <w:tcPr>
            <w:tcW w:type="pct" w:w="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pct" w:w="3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Documentación de gobernanza y arquitectura</w:t>
            </w:r>
          </w:p>
        </w:tc>
        <w:tc>
          <w:tcPr>
            <w:tcW w:type="pct" w:w="20%"/>
            <w:shd w:fill="E2EFDA" w:color="E2EFDA" w:val="solid"/>
            <w:tcMar>
              <w:top w:type="dxa" w:w="80"/>
              <w:left w:type="dxa" w:w="120"/>
              <w:bottom w:type="dxa" w:w="80"/>
              <w:right w:type="dxa" w:w="120"/>
            </w:tcMar>
            <w:vAlign w:val="center"/>
          </w:tcPr>
          <w:p>
            <w:pPr>
              <w:jc w:val="left"/>
            </w:pPr>
            <w:r>
              <w:rPr>
                <w:rFonts w:ascii="Calibri" w:cs="Calibri" w:eastAsia="Calibri" w:hAnsi="Calibri"/>
                <w:color w:val="375623"/>
                <w:sz w:val="18"/>
                <w:szCs w:val="18"/>
              </w:rPr>
              <w:t xml:space="preserve">✅ Completado</w:t>
            </w:r>
          </w:p>
        </w:tc>
        <w:tc>
          <w:tcPr>
            <w:tcW w:type="pct" w:w="3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Docs, README, copilot-instructions</w:t>
            </w:r>
          </w:p>
        </w:tc>
      </w:tr>
      <w:tr>
        <w:tc>
          <w:tcPr>
            <w:tcW w:type="pct" w:w="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w:t>
            </w:r>
          </w:p>
        </w:tc>
        <w:tc>
          <w:tcPr>
            <w:tcW w:type="pct" w:w="3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Motor de cálculo DUoM (Calc Engine)</w:t>
            </w:r>
          </w:p>
        </w:tc>
        <w:tc>
          <w:tcPr>
            <w:tcW w:type="pct" w:w="20%"/>
            <w:shd w:fill="E2EFDA" w:color="E2EFDA" w:val="solid"/>
            <w:tcMar>
              <w:top w:type="dxa" w:w="80"/>
              <w:left w:type="dxa" w:w="120"/>
              <w:bottom w:type="dxa" w:w="80"/>
              <w:right w:type="dxa" w:w="120"/>
            </w:tcMar>
            <w:vAlign w:val="center"/>
          </w:tcPr>
          <w:p>
            <w:pPr>
              <w:jc w:val="left"/>
            </w:pPr>
            <w:r>
              <w:rPr>
                <w:rFonts w:ascii="Calibri" w:cs="Calibri" w:eastAsia="Calibri" w:hAnsi="Calibri"/>
                <w:color w:val="375623"/>
                <w:sz w:val="18"/>
                <w:szCs w:val="18"/>
              </w:rPr>
              <w:t xml:space="preserve">✅ Completado</w:t>
            </w:r>
          </w:p>
        </w:tc>
        <w:tc>
          <w:tcPr>
            <w:tcW w:type="pct" w:w="3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DUoMCalcEngine (50101) + tests (50204)</w:t>
            </w:r>
          </w:p>
        </w:tc>
      </w:tr>
      <w:tr>
        <w:tc>
          <w:tcPr>
            <w:tcW w:type="pct" w:w="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w:t>
            </w:r>
          </w:p>
        </w:tc>
        <w:tc>
          <w:tcPr>
            <w:tcW w:type="pct" w:w="3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Tabla y página de configuración por artículo</w:t>
            </w:r>
          </w:p>
        </w:tc>
        <w:tc>
          <w:tcPr>
            <w:tcW w:type="pct" w:w="20%"/>
            <w:shd w:fill="E2EFDA" w:color="E2EFDA" w:val="solid"/>
            <w:tcMar>
              <w:top w:type="dxa" w:w="80"/>
              <w:left w:type="dxa" w:w="120"/>
              <w:bottom w:type="dxa" w:w="80"/>
              <w:right w:type="dxa" w:w="120"/>
            </w:tcMar>
            <w:vAlign w:val="center"/>
          </w:tcPr>
          <w:p>
            <w:pPr>
              <w:jc w:val="left"/>
            </w:pPr>
            <w:r>
              <w:rPr>
                <w:rFonts w:ascii="Calibri" w:cs="Calibri" w:eastAsia="Calibri" w:hAnsi="Calibri"/>
                <w:color w:val="375623"/>
                <w:sz w:val="18"/>
                <w:szCs w:val="18"/>
              </w:rPr>
              <w:t xml:space="preserve">✅ Completado</w:t>
            </w:r>
          </w:p>
        </w:tc>
        <w:tc>
          <w:tcPr>
            <w:tcW w:type="pct" w:w="3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DUoMItemSetup (50100) + page (50100) + page ext. Item Card</w:t>
            </w:r>
          </w:p>
        </w:tc>
      </w:tr>
      <w:tr>
        <w:tc>
          <w:tcPr>
            <w:tcW w:type="pct" w:w="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w:t>
            </w:r>
          </w:p>
        </w:tc>
        <w:tc>
          <w:tcPr>
            <w:tcW w:type="pct" w:w="3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Campos DUoM en líneas de compra</w:t>
            </w:r>
          </w:p>
        </w:tc>
        <w:tc>
          <w:tcPr>
            <w:tcW w:type="pct" w:w="20%"/>
            <w:shd w:fill="E2EFDA" w:color="E2EFDA" w:val="solid"/>
            <w:tcMar>
              <w:top w:type="dxa" w:w="80"/>
              <w:left w:type="dxa" w:w="120"/>
              <w:bottom w:type="dxa" w:w="80"/>
              <w:right w:type="dxa" w:w="120"/>
            </w:tcMar>
            <w:vAlign w:val="center"/>
          </w:tcPr>
          <w:p>
            <w:pPr>
              <w:jc w:val="left"/>
            </w:pPr>
            <w:r>
              <w:rPr>
                <w:rFonts w:ascii="Calibri" w:cs="Calibri" w:eastAsia="Calibri" w:hAnsi="Calibri"/>
                <w:color w:val="375623"/>
                <w:sz w:val="18"/>
                <w:szCs w:val="18"/>
              </w:rPr>
              <w:t xml:space="preserve">✅ Completado</w:t>
            </w:r>
          </w:p>
        </w:tc>
        <w:tc>
          <w:tcPr>
            <w:tcW w:type="pct" w:w="3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TableExt Purchase Line (50110) + PageExt (50101) + tests (50205)</w:t>
            </w:r>
          </w:p>
        </w:tc>
      </w:tr>
      <w:tr>
        <w:tc>
          <w:tcPr>
            <w:tcW w:type="pct" w:w="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w:t>
            </w:r>
          </w:p>
        </w:tc>
        <w:tc>
          <w:tcPr>
            <w:tcW w:type="pct" w:w="3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Propagación DUoM a asientos de producto (compras)</w:t>
            </w:r>
          </w:p>
        </w:tc>
        <w:tc>
          <w:tcPr>
            <w:tcW w:type="pct" w:w="20%"/>
            <w:shd w:fill="E2EFDA" w:color="E2EFDA" w:val="solid"/>
            <w:tcMar>
              <w:top w:type="dxa" w:w="80"/>
              <w:left w:type="dxa" w:w="120"/>
              <w:bottom w:type="dxa" w:w="80"/>
              <w:right w:type="dxa" w:w="120"/>
            </w:tcMar>
            <w:vAlign w:val="center"/>
          </w:tcPr>
          <w:p>
            <w:pPr>
              <w:jc w:val="left"/>
            </w:pPr>
            <w:r>
              <w:rPr>
                <w:rFonts w:ascii="Calibri" w:cs="Calibri" w:eastAsia="Calibri" w:hAnsi="Calibri"/>
                <w:color w:val="375623"/>
                <w:sz w:val="18"/>
                <w:szCs w:val="18"/>
              </w:rPr>
              <w:t xml:space="preserve">✅ Completado</w:t>
            </w:r>
          </w:p>
        </w:tc>
        <w:tc>
          <w:tcPr>
            <w:tcW w:type="pct" w:w="3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DUoMInventorySubscribers (50104) + ILE TableExt (50113)</w:t>
            </w:r>
          </w:p>
        </w:tc>
      </w:tr>
      <w:tr>
        <w:tc>
          <w:tcPr>
            <w:tcW w:type="pct" w:w="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6</w:t>
            </w:r>
          </w:p>
        </w:tc>
        <w:tc>
          <w:tcPr>
            <w:tcW w:type="pct" w:w="3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Campos DUoM en líneas de venta</w:t>
            </w:r>
          </w:p>
        </w:tc>
        <w:tc>
          <w:tcPr>
            <w:tcW w:type="pct" w:w="20%"/>
            <w:shd w:fill="E2EFDA" w:color="E2EFDA" w:val="solid"/>
            <w:tcMar>
              <w:top w:type="dxa" w:w="80"/>
              <w:left w:type="dxa" w:w="120"/>
              <w:bottom w:type="dxa" w:w="80"/>
              <w:right w:type="dxa" w:w="120"/>
            </w:tcMar>
            <w:vAlign w:val="center"/>
          </w:tcPr>
          <w:p>
            <w:pPr>
              <w:jc w:val="left"/>
            </w:pPr>
            <w:r>
              <w:rPr>
                <w:rFonts w:ascii="Calibri" w:cs="Calibri" w:eastAsia="Calibri" w:hAnsi="Calibri"/>
                <w:color w:val="375623"/>
                <w:sz w:val="18"/>
                <w:szCs w:val="18"/>
              </w:rPr>
              <w:t xml:space="preserve">✅ Completado</w:t>
            </w:r>
          </w:p>
        </w:tc>
        <w:tc>
          <w:tcPr>
            <w:tcW w:type="pct" w:w="3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TableExt Sales Line (50111) + PageExt (50102) + tests (50206)</w:t>
            </w:r>
          </w:p>
        </w:tc>
      </w:tr>
      <w:tr>
        <w:tc>
          <w:tcPr>
            <w:tcW w:type="pct" w:w="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7</w:t>
            </w:r>
          </w:p>
        </w:tc>
        <w:tc>
          <w:tcPr>
            <w:tcW w:type="pct" w:w="3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Propagación DUoM a asientos de producto (ventas)</w:t>
            </w:r>
          </w:p>
        </w:tc>
        <w:tc>
          <w:tcPr>
            <w:tcW w:type="pct" w:w="20%"/>
            <w:shd w:fill="E2EFDA" w:color="E2EFDA" w:val="solid"/>
            <w:tcMar>
              <w:top w:type="dxa" w:w="80"/>
              <w:left w:type="dxa" w:w="120"/>
              <w:bottom w:type="dxa" w:w="80"/>
              <w:right w:type="dxa" w:w="120"/>
            </w:tcMar>
            <w:vAlign w:val="center"/>
          </w:tcPr>
          <w:p>
            <w:pPr>
              <w:jc w:val="left"/>
            </w:pPr>
            <w:r>
              <w:rPr>
                <w:rFonts w:ascii="Calibri" w:cs="Calibri" w:eastAsia="Calibri" w:hAnsi="Calibri"/>
                <w:color w:val="375623"/>
                <w:sz w:val="18"/>
                <w:szCs w:val="18"/>
              </w:rPr>
              <w:t xml:space="preserve">✅ Completado</w:t>
            </w:r>
          </w:p>
        </w:tc>
        <w:tc>
          <w:tcPr>
            <w:tcW w:type="pct" w:w="3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Incluido en DUoMInventorySubscribers (50104)</w:t>
            </w:r>
          </w:p>
        </w:tc>
      </w:tr>
      <w:tr>
        <w:tc>
          <w:tcPr>
            <w:tcW w:type="pct" w:w="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w:t>
            </w:r>
          </w:p>
        </w:tc>
        <w:tc>
          <w:tcPr>
            <w:tcW w:type="pct" w:w="3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Campos DUoM en diario de producto y propagación</w:t>
            </w:r>
          </w:p>
        </w:tc>
        <w:tc>
          <w:tcPr>
            <w:tcW w:type="pct" w:w="20%"/>
            <w:shd w:fill="E2EFDA" w:color="E2EFDA" w:val="solid"/>
            <w:tcMar>
              <w:top w:type="dxa" w:w="80"/>
              <w:left w:type="dxa" w:w="120"/>
              <w:bottom w:type="dxa" w:w="80"/>
              <w:right w:type="dxa" w:w="120"/>
            </w:tcMar>
            <w:vAlign w:val="center"/>
          </w:tcPr>
          <w:p>
            <w:pPr>
              <w:jc w:val="left"/>
            </w:pPr>
            <w:r>
              <w:rPr>
                <w:rFonts w:ascii="Calibri" w:cs="Calibri" w:eastAsia="Calibri" w:hAnsi="Calibri"/>
                <w:color w:val="375623"/>
                <w:sz w:val="18"/>
                <w:szCs w:val="18"/>
              </w:rPr>
              <w:t xml:space="preserve">✅ Completado</w:t>
            </w:r>
          </w:p>
        </w:tc>
        <w:tc>
          <w:tcPr>
            <w:tcW w:type="pct" w:w="3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TableExt Item Journal Line (50112) + tests (50207)</w:t>
            </w:r>
          </w:p>
        </w:tc>
      </w:tr>
    </w:tbl>
    <w:p>
      <w:pPr>
        <w:spacing w:after="100" w:before="100"/>
      </w:pPr>
    </w:p>
    <w:p>
      <w:pPr>
        <w:shd w:fill="D9E2F3" w:color="D9E2F3" w:val="solid"/>
        <w:spacing w:after="120" w:before="120"/>
        <w:ind w:left="288" w:right="288"/>
      </w:pPr>
      <w:r>
        <w:rPr>
          <w:rFonts w:ascii="Calibri" w:cs="Calibri" w:eastAsia="Calibri" w:hAnsi="Calibri"/>
          <w:b/>
          <w:bCs/>
          <w:color w:val="1F3864"/>
          <w:sz w:val="20"/>
          <w:szCs w:val="20"/>
        </w:rPr>
        <w:t xml:space="preserve">ℹ  </w:t>
      </w:r>
      <w:r>
        <w:rPr>
          <w:rFonts w:ascii="Calibri" w:cs="Calibri" w:eastAsia="Calibri" w:hAnsi="Calibri"/>
          <w:i/>
          <w:iCs/>
          <w:color w:val="1F3864"/>
          <w:sz w:val="20"/>
          <w:szCs w:val="20"/>
        </w:rPr>
        <w:t xml:space="preserve">Toda la Fase 1 ha superado las pruebas automatizadas de integración (TDD). Los tests cubren los siete escenarios de negocio críticos: conversión fija, variable y siempre variable; contabilización de compras, ventas y diario; e ítems sin DUoM habilitado.</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4.2 Fase 2 — Almacén avanzado y trazabilidad por lote (pendiente)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pct" w:w="5%"/>
            <w:shd w:fill="1F3864" w:color="1F3864" w:val="solid"/>
            <w:vAlign w:val="center"/>
          </w:tcPr>
          <w:p>
            <w:pPr>
              <w:jc w:val="center"/>
            </w:pPr>
            <w:r>
              <w:rPr>
                <w:rFonts w:ascii="Calibri" w:cs="Calibri" w:eastAsia="Calibri" w:hAnsi="Calibri"/>
                <w:b/>
                <w:bCs/>
                <w:color w:val="FFFFFF"/>
                <w:sz w:val="18"/>
                <w:szCs w:val="18"/>
              </w:rPr>
              <w:t xml:space="preserve">Nº</w:t>
            </w:r>
          </w:p>
        </w:tc>
        <w:tc>
          <w:tcPr>
            <w:tcW w:type="pct" w:w="75%"/>
            <w:shd w:fill="1F3864" w:color="1F3864" w:val="solid"/>
            <w:vAlign w:val="center"/>
          </w:tcPr>
          <w:p>
            <w:pPr>
              <w:jc w:val="center"/>
            </w:pPr>
            <w:r>
              <w:rPr>
                <w:rFonts w:ascii="Calibri" w:cs="Calibri" w:eastAsia="Calibri" w:hAnsi="Calibri"/>
                <w:b/>
                <w:bCs/>
                <w:color w:val="FFFFFF"/>
                <w:sz w:val="18"/>
                <w:szCs w:val="18"/>
              </w:rPr>
              <w:t xml:space="preserve">Funcionalidad</w:t>
            </w:r>
          </w:p>
        </w:tc>
        <w:tc>
          <w:tcPr>
            <w:tcW w:type="pct" w:w="20%"/>
            <w:shd w:fill="1F3864" w:color="1F3864" w:val="solid"/>
            <w:vAlign w:val="center"/>
          </w:tcPr>
          <w:p>
            <w:pPr>
              <w:jc w:val="center"/>
            </w:pPr>
            <w:r>
              <w:rPr>
                <w:rFonts w:ascii="Calibri" w:cs="Calibri" w:eastAsia="Calibri" w:hAnsi="Calibri"/>
                <w:b/>
                <w:bCs/>
                <w:color w:val="FFFFFF"/>
                <w:sz w:val="18"/>
                <w:szCs w:val="18"/>
              </w:rPr>
              <w:t xml:space="preserve">Estado</w:t>
            </w:r>
          </w:p>
        </w:tc>
      </w:tr>
      <w:tr>
        <w:tc>
          <w:tcPr>
            <w:tcW w:type="pct" w:w="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9</w:t>
            </w:r>
          </w:p>
        </w:tc>
        <w:tc>
          <w:tcPr>
            <w:tcW w:type="pct" w:w="7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Ratio real por lote (Item Tracking)</w:t>
            </w:r>
          </w:p>
        </w:tc>
        <w:tc>
          <w:tcPr>
            <w:tcW w:type="pct" w:w="20%"/>
            <w:shd w:fill="FCE4D6" w:color="FCE4D6" w:val="solid"/>
            <w:tcMar>
              <w:top w:type="dxa" w:w="80"/>
              <w:left w:type="dxa" w:w="120"/>
              <w:bottom w:type="dxa" w:w="80"/>
              <w:right w:type="dxa" w:w="120"/>
            </w:tcMar>
            <w:vAlign w:val="center"/>
          </w:tcPr>
          <w:p>
            <w:pPr>
              <w:jc w:val="left"/>
            </w:pPr>
            <w:r>
              <w:rPr>
                <w:rFonts w:ascii="Calibri" w:cs="Calibri" w:eastAsia="Calibri" w:hAnsi="Calibri"/>
                <w:color w:val="843C0C"/>
                <w:sz w:val="18"/>
                <w:szCs w:val="18"/>
              </w:rPr>
              <w:t xml:space="preserve">🔲 Pendiente</w:t>
            </w:r>
          </w:p>
        </w:tc>
      </w:tr>
      <w:tr>
        <w:tc>
          <w:tcPr>
            <w:tcW w:type="pct" w:w="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w:t>
            </w:r>
          </w:p>
        </w:tc>
        <w:tc>
          <w:tcPr>
            <w:tcW w:type="pct" w:w="7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Campos DUoM en albaranes de almacén (recepción y expedición)</w:t>
            </w:r>
          </w:p>
        </w:tc>
        <w:tc>
          <w:tcPr>
            <w:tcW w:type="pct" w:w="20%"/>
            <w:shd w:fill="FCE4D6" w:color="FCE4D6" w:val="solid"/>
            <w:tcMar>
              <w:top w:type="dxa" w:w="80"/>
              <w:left w:type="dxa" w:w="120"/>
              <w:bottom w:type="dxa" w:w="80"/>
              <w:right w:type="dxa" w:w="120"/>
            </w:tcMar>
            <w:vAlign w:val="center"/>
          </w:tcPr>
          <w:p>
            <w:pPr>
              <w:jc w:val="left"/>
            </w:pPr>
            <w:r>
              <w:rPr>
                <w:rFonts w:ascii="Calibri" w:cs="Calibri" w:eastAsia="Calibri" w:hAnsi="Calibri"/>
                <w:color w:val="843C0C"/>
                <w:sz w:val="18"/>
                <w:szCs w:val="18"/>
              </w:rPr>
              <w:t xml:space="preserve">🔲 Pendiente</w:t>
            </w:r>
          </w:p>
        </w:tc>
      </w:tr>
      <w:tr>
        <w:tc>
          <w:tcPr>
            <w:tcW w:type="pct" w:w="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11</w:t>
            </w:r>
          </w:p>
        </w:tc>
        <w:tc>
          <w:tcPr>
            <w:tcW w:type="pct" w:w="7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Campos DUoM en picking y ubicación dirigidos</w:t>
            </w:r>
          </w:p>
        </w:tc>
        <w:tc>
          <w:tcPr>
            <w:tcW w:type="pct" w:w="20%"/>
            <w:shd w:fill="FCE4D6" w:color="FCE4D6" w:val="solid"/>
            <w:tcMar>
              <w:top w:type="dxa" w:w="80"/>
              <w:left w:type="dxa" w:w="120"/>
              <w:bottom w:type="dxa" w:w="80"/>
              <w:right w:type="dxa" w:w="120"/>
            </w:tcMar>
            <w:vAlign w:val="center"/>
          </w:tcPr>
          <w:p>
            <w:pPr>
              <w:jc w:val="left"/>
            </w:pPr>
            <w:r>
              <w:rPr>
                <w:rFonts w:ascii="Calibri" w:cs="Calibri" w:eastAsia="Calibri" w:hAnsi="Calibri"/>
                <w:color w:val="843C0C"/>
                <w:sz w:val="18"/>
                <w:szCs w:val="18"/>
              </w:rPr>
              <w:t xml:space="preserve">🔲 Pendiente</w:t>
            </w:r>
          </w:p>
        </w:tc>
      </w:tr>
      <w:tr>
        <w:tc>
          <w:tcPr>
            <w:tcW w:type="pct" w:w="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w:t>
            </w:r>
          </w:p>
        </w:tc>
        <w:tc>
          <w:tcPr>
            <w:tcW w:type="pct" w:w="7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Inventario físico con segunda cantidad</w:t>
            </w:r>
          </w:p>
        </w:tc>
        <w:tc>
          <w:tcPr>
            <w:tcW w:type="pct" w:w="20%"/>
            <w:shd w:fill="FCE4D6" w:color="FCE4D6" w:val="solid"/>
            <w:tcMar>
              <w:top w:type="dxa" w:w="80"/>
              <w:left w:type="dxa" w:w="120"/>
              <w:bottom w:type="dxa" w:w="80"/>
              <w:right w:type="dxa" w:w="120"/>
            </w:tcMar>
            <w:vAlign w:val="center"/>
          </w:tcPr>
          <w:p>
            <w:pPr>
              <w:jc w:val="left"/>
            </w:pPr>
            <w:r>
              <w:rPr>
                <w:rFonts w:ascii="Calibri" w:cs="Calibri" w:eastAsia="Calibri" w:hAnsi="Calibri"/>
                <w:color w:val="843C0C"/>
                <w:sz w:val="18"/>
                <w:szCs w:val="18"/>
              </w:rPr>
              <w:t xml:space="preserve">🔲 Pendiente</w:t>
            </w:r>
          </w:p>
        </w:tc>
      </w:tr>
      <w:tr>
        <w:tc>
          <w:tcPr>
            <w:tcW w:type="pct" w:w="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13</w:t>
            </w:r>
          </w:p>
        </w:tc>
        <w:tc>
          <w:tcPr>
            <w:tcW w:type="pct" w:w="7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Extensiones de informes (columnas segunda cantidad)</w:t>
            </w:r>
          </w:p>
        </w:tc>
        <w:tc>
          <w:tcPr>
            <w:tcW w:type="pct" w:w="20%"/>
            <w:shd w:fill="FCE4D6" w:color="FCE4D6" w:val="solid"/>
            <w:tcMar>
              <w:top w:type="dxa" w:w="80"/>
              <w:left w:type="dxa" w:w="120"/>
              <w:bottom w:type="dxa" w:w="80"/>
              <w:right w:type="dxa" w:w="120"/>
            </w:tcMar>
            <w:vAlign w:val="center"/>
          </w:tcPr>
          <w:p>
            <w:pPr>
              <w:jc w:val="left"/>
            </w:pPr>
            <w:r>
              <w:rPr>
                <w:rFonts w:ascii="Calibri" w:cs="Calibri" w:eastAsia="Calibri" w:hAnsi="Calibri"/>
                <w:color w:val="843C0C"/>
                <w:sz w:val="18"/>
                <w:szCs w:val="18"/>
              </w:rPr>
              <w:t xml:space="preserve">🔲 Pendiente</w:t>
            </w:r>
          </w:p>
        </w:tc>
      </w:tr>
    </w:tbl>
    <w:p>
      <w:pPr>
        <w:spacing w:after="100" w:before="100"/>
      </w:pPr>
    </w:p>
    <w:p>
      <w:pPr>
        <w:pStyle w:val="Heading2"/>
        <w:pBdr>
          <w:bottom w:val="single" w:color="4472C4" w:sz="4"/>
        </w:pBdr>
        <w:spacing w:after="100" w:before="300"/>
      </w:pPr>
      <w:r>
        <w:rPr>
          <w:rFonts w:ascii="Calibri" w:cs="Calibri" w:eastAsia="Calibri" w:hAnsi="Calibri"/>
          <w:b/>
          <w:bCs/>
          <w:color w:val="1F3864"/>
          <w:sz w:val="24"/>
          <w:szCs w:val="24"/>
        </w:rPr>
        <w:t xml:space="preserve">4.3 Fase 3 — Documentos adicionales (posterior a Fase 2)</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pct" w:w="5%"/>
            <w:shd w:fill="1F3864" w:color="1F3864" w:val="solid"/>
            <w:vAlign w:val="center"/>
          </w:tcPr>
          <w:p>
            <w:pPr>
              <w:jc w:val="center"/>
            </w:pPr>
            <w:r>
              <w:rPr>
                <w:rFonts w:ascii="Calibri" w:cs="Calibri" w:eastAsia="Calibri" w:hAnsi="Calibri"/>
                <w:b/>
                <w:bCs/>
                <w:color w:val="FFFFFF"/>
                <w:sz w:val="18"/>
                <w:szCs w:val="18"/>
              </w:rPr>
              <w:t xml:space="preserve">Nº</w:t>
            </w:r>
          </w:p>
        </w:tc>
        <w:tc>
          <w:tcPr>
            <w:tcW w:type="pct" w:w="75%"/>
            <w:shd w:fill="1F3864" w:color="1F3864" w:val="solid"/>
            <w:vAlign w:val="center"/>
          </w:tcPr>
          <w:p>
            <w:pPr>
              <w:jc w:val="center"/>
            </w:pPr>
            <w:r>
              <w:rPr>
                <w:rFonts w:ascii="Calibri" w:cs="Calibri" w:eastAsia="Calibri" w:hAnsi="Calibri"/>
                <w:b/>
                <w:bCs/>
                <w:color w:val="FFFFFF"/>
                <w:sz w:val="18"/>
                <w:szCs w:val="18"/>
              </w:rPr>
              <w:t xml:space="preserve">Funcionalidad</w:t>
            </w:r>
          </w:p>
        </w:tc>
        <w:tc>
          <w:tcPr>
            <w:tcW w:type="pct" w:w="20%"/>
            <w:shd w:fill="1F3864" w:color="1F3864" w:val="solid"/>
            <w:vAlign w:val="center"/>
          </w:tcPr>
          <w:p>
            <w:pPr>
              <w:jc w:val="center"/>
            </w:pPr>
            <w:r>
              <w:rPr>
                <w:rFonts w:ascii="Calibri" w:cs="Calibri" w:eastAsia="Calibri" w:hAnsi="Calibri"/>
                <w:b/>
                <w:bCs/>
                <w:color w:val="FFFFFF"/>
                <w:sz w:val="18"/>
                <w:szCs w:val="18"/>
              </w:rPr>
              <w:t xml:space="preserve">Estado</w:t>
            </w:r>
          </w:p>
        </w:tc>
      </w:tr>
      <w:tr>
        <w:tc>
          <w:tcPr>
            <w:tcW w:type="pct" w:w="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14</w:t>
            </w:r>
          </w:p>
        </w:tc>
        <w:tc>
          <w:tcPr>
            <w:tcW w:type="pct" w:w="7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Órdenes de traslado con segunda cantidad</w:t>
            </w:r>
          </w:p>
        </w:tc>
        <w:tc>
          <w:tcPr>
            <w:tcW w:type="pct" w:w="20%"/>
            <w:shd w:fill="FCE4D6" w:color="FCE4D6" w:val="solid"/>
            <w:tcMar>
              <w:top w:type="dxa" w:w="80"/>
              <w:left w:type="dxa" w:w="120"/>
              <w:bottom w:type="dxa" w:w="80"/>
              <w:right w:type="dxa" w:w="120"/>
            </w:tcMar>
            <w:vAlign w:val="center"/>
          </w:tcPr>
          <w:p>
            <w:pPr>
              <w:jc w:val="left"/>
            </w:pPr>
            <w:r>
              <w:rPr>
                <w:rFonts w:ascii="Calibri" w:cs="Calibri" w:eastAsia="Calibri" w:hAnsi="Calibri"/>
                <w:color w:val="843C0C"/>
                <w:sz w:val="18"/>
                <w:szCs w:val="18"/>
              </w:rPr>
              <w:t xml:space="preserve">🔲 Pendiente</w:t>
            </w:r>
          </w:p>
        </w:tc>
      </w:tr>
      <w:tr>
        <w:tc>
          <w:tcPr>
            <w:tcW w:type="pct" w:w="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w:t>
            </w:r>
          </w:p>
        </w:tc>
        <w:tc>
          <w:tcPr>
            <w:tcW w:type="pct" w:w="7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Devoluciones de compra y venta con segunda cantidad</w:t>
            </w:r>
          </w:p>
        </w:tc>
        <w:tc>
          <w:tcPr>
            <w:tcW w:type="pct" w:w="20%"/>
            <w:shd w:fill="FCE4D6" w:color="FCE4D6" w:val="solid"/>
            <w:tcMar>
              <w:top w:type="dxa" w:w="80"/>
              <w:left w:type="dxa" w:w="120"/>
              <w:bottom w:type="dxa" w:w="80"/>
              <w:right w:type="dxa" w:w="120"/>
            </w:tcMar>
            <w:vAlign w:val="center"/>
          </w:tcPr>
          <w:p>
            <w:pPr>
              <w:jc w:val="left"/>
            </w:pPr>
            <w:r>
              <w:rPr>
                <w:rFonts w:ascii="Calibri" w:cs="Calibri" w:eastAsia="Calibri" w:hAnsi="Calibri"/>
                <w:color w:val="843C0C"/>
                <w:sz w:val="18"/>
                <w:szCs w:val="18"/>
              </w:rPr>
              <w:t xml:space="preserve">🔲 Pendiente</w:t>
            </w:r>
          </w:p>
        </w:tc>
      </w:tr>
    </w:tbl>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5. Entregables por fase</w:t>
      </w:r>
    </w:p>
    <w:p>
      <w:pPr>
        <w:pStyle w:val="Heading2"/>
        <w:pBdr>
          <w:bottom w:val="single" w:color="4472C4" w:sz="4"/>
        </w:pBdr>
        <w:spacing w:after="100" w:before="300"/>
      </w:pPr>
      <w:r>
        <w:rPr>
          <w:rFonts w:ascii="Calibri" w:cs="Calibri" w:eastAsia="Calibri" w:hAnsi="Calibri"/>
          <w:b/>
          <w:bCs/>
          <w:color w:val="1F3864"/>
          <w:sz w:val="24"/>
          <w:szCs w:val="24"/>
        </w:rPr>
        <w:t xml:space="preserve">5.1 Fase 1 — Puesta en marcha (MVP ya implementado)</w:t>
      </w:r>
    </w:p>
    <w:p>
      <w:pPr>
        <w:spacing w:after="80" w:before="80"/>
        <w:jc w:val="left"/>
      </w:pPr>
      <w:r>
        <w:rPr>
          <w:rFonts w:ascii="Calibri" w:cs="Calibri" w:eastAsia="Calibri" w:hAnsi="Calibri"/>
          <w:b w:val="false"/>
          <w:bCs w:val="false"/>
          <w:i w:val="false"/>
          <w:iCs w:val="false"/>
          <w:color w:val="1A1A1A"/>
          <w:sz w:val="20"/>
          <w:szCs w:val="20"/>
        </w:rPr>
        <w:t xml:space="preserve">La Fase 1 incluye la instalación y configuración del MVP en el entorno del cliente, formación básica y soporte durante la puesta en marcha:</w:t>
      </w:r>
    </w:p>
    <w:p>
      <w:pPr>
        <w:spacing w:after="60" w:before="60"/>
      </w:pP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Instalación de la extensión DualUoM-BC en el entorno SaaS del cliente</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Configuración de la segunda unidad de medida para los artículos del cliente</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Revisión de la parametrización junto al equipo del cliente</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Formación práctica a usuarios clave (compras, ventas, almacén)</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Soporte post-implantación (20 horas hábiles)</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Documentación de usuario personalizada</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5.2 Fase 2 — Almacén avanzado y trazabilidad por lote</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Ratio real por lote: almacenamiento y prellenado automático al seleccionar lote</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Albaranes de almacén con campo de segunda cantidad (recepción y expedición)</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Documentos de picking y ubicación con segunda cantidad</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Inventario físico: recuento con segunda cantidad</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Extensiones de informes: columnas de segunda cantidad en informes estándar (albarán de compra, albarán de venta, inventario)</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Tests de integración completos para todos los flujos de Fase 2</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5.3 Fase 3 — Documentos adicionales</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Órdenes de traslado: segunda cantidad en líneas de traslado y asientos</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Devoluciones de compra y venta: segunda cantidad en todos los documentos de retorno</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Tests de integración completos para todos los flujos de Fase 3</w:t>
      </w:r>
    </w:p>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6. Estimación de esfuerzo y coste</w:t>
      </w:r>
    </w:p>
    <w:p>
      <w:pPr>
        <w:spacing w:after="80" w:before="80"/>
        <w:jc w:val="left"/>
      </w:pPr>
      <w:r>
        <w:rPr>
          <w:rFonts w:ascii="Calibri" w:cs="Calibri" w:eastAsia="Calibri" w:hAnsi="Calibri"/>
          <w:b w:val="false"/>
          <w:bCs w:val="false"/>
          <w:i w:val="false"/>
          <w:iCs w:val="false"/>
          <w:color w:val="1A1A1A"/>
          <w:sz w:val="20"/>
          <w:szCs w:val="20"/>
        </w:rPr>
        <w:t xml:space="preserve">La tarifa de trabajo es de 500 €/jornada (jornada de 8 horas). El proyecto se factura a precio cerrado por fases, eliminando el riesgo de desviación para el cliente. Los importes no incluyen IVA.</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6.1 Desglose por fase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gridCol w:w="100"/>
      </w:tblGrid>
      <w:tr>
        <w:trPr>
          <w:tblHeader/>
        </w:trPr>
        <w:tc>
          <w:tcPr>
            <w:tcW w:type="pct" w:w="27%"/>
            <w:shd w:fill="1F3864" w:color="1F3864" w:val="solid"/>
            <w:vAlign w:val="center"/>
          </w:tcPr>
          <w:p>
            <w:pPr>
              <w:jc w:val="center"/>
            </w:pPr>
            <w:r>
              <w:rPr>
                <w:rFonts w:ascii="Calibri" w:cs="Calibri" w:eastAsia="Calibri" w:hAnsi="Calibri"/>
                <w:b/>
                <w:bCs/>
                <w:color w:val="FFFFFF"/>
                <w:sz w:val="18"/>
                <w:szCs w:val="18"/>
              </w:rPr>
              <w:t xml:space="preserve">Fase</w:t>
            </w:r>
          </w:p>
        </w:tc>
        <w:tc>
          <w:tcPr>
            <w:tcW w:type="pct" w:w="45%"/>
            <w:shd w:fill="1F3864" w:color="1F3864" w:val="solid"/>
            <w:vAlign w:val="center"/>
          </w:tcPr>
          <w:p>
            <w:pPr>
              <w:jc w:val="center"/>
            </w:pPr>
            <w:r>
              <w:rPr>
                <w:rFonts w:ascii="Calibri" w:cs="Calibri" w:eastAsia="Calibri" w:hAnsi="Calibri"/>
                <w:b/>
                <w:bCs/>
                <w:color w:val="FFFFFF"/>
                <w:sz w:val="18"/>
                <w:szCs w:val="18"/>
              </w:rPr>
              <w:t xml:space="preserve">Alcance</w:t>
            </w:r>
          </w:p>
        </w:tc>
        <w:tc>
          <w:tcPr>
            <w:tcW w:type="pct" w:w="12%"/>
            <w:shd w:fill="1F3864" w:color="1F3864" w:val="solid"/>
            <w:vAlign w:val="center"/>
          </w:tcPr>
          <w:p>
            <w:pPr>
              <w:jc w:val="center"/>
            </w:pPr>
            <w:r>
              <w:rPr>
                <w:rFonts w:ascii="Calibri" w:cs="Calibri" w:eastAsia="Calibri" w:hAnsi="Calibri"/>
                <w:b/>
                <w:bCs/>
                <w:color w:val="FFFFFF"/>
                <w:sz w:val="18"/>
                <w:szCs w:val="18"/>
              </w:rPr>
              <w:t xml:space="preserve">Jornadas</w:t>
            </w:r>
          </w:p>
        </w:tc>
        <w:tc>
          <w:tcPr>
            <w:tcW w:type="pct" w:w="16%"/>
            <w:shd w:fill="1F3864" w:color="1F3864" w:val="solid"/>
            <w:vAlign w:val="center"/>
          </w:tcPr>
          <w:p>
            <w:pPr>
              <w:jc w:val="center"/>
            </w:pPr>
            <w:r>
              <w:rPr>
                <w:rFonts w:ascii="Calibri" w:cs="Calibri" w:eastAsia="Calibri" w:hAnsi="Calibri"/>
                <w:b/>
                <w:bCs/>
                <w:color w:val="FFFFFF"/>
                <w:sz w:val="18"/>
                <w:szCs w:val="18"/>
              </w:rPr>
              <w:t xml:space="preserve">Importe (€)</w:t>
            </w:r>
          </w:p>
        </w:tc>
      </w:tr>
      <w:tr>
        <w:tc>
          <w:tcPr>
            <w:tcW w:type="pct" w:w="2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Fase 1 — Puesta en marcha</w:t>
            </w:r>
          </w:p>
        </w:tc>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Instalación, configuración, formación y soporte (MVP ya desarrollado)</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w:t>
            </w:r>
          </w:p>
        </w:tc>
        <w:tc>
          <w:tcPr>
            <w:tcW w:type="pct" w:w="16%"/>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2.000 €</w:t>
            </w:r>
          </w:p>
        </w:tc>
      </w:tr>
      <w:tr>
        <w:tc>
          <w:tcPr>
            <w:tcW w:type="pct" w:w="2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Fase 2 — Almacén y trazabilidad</w:t>
            </w:r>
          </w:p>
        </w:tc>
        <w:tc>
          <w:tcPr>
            <w:tcW w:type="pct" w:w="4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Issues 9–13: ratio por lote, almacén avanzado, inventario físico, informes</w:t>
            </w:r>
          </w:p>
        </w:tc>
        <w:tc>
          <w:tcPr>
            <w:tcW w:type="pct" w:w="1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w:t>
            </w:r>
          </w:p>
        </w:tc>
        <w:tc>
          <w:tcPr>
            <w:tcW w:type="pct" w:w="16%"/>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10.000 €</w:t>
            </w:r>
          </w:p>
        </w:tc>
      </w:tr>
      <w:tr>
        <w:tc>
          <w:tcPr>
            <w:tcW w:type="pct" w:w="2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Fase 3 — Documentos adicionales</w:t>
            </w:r>
          </w:p>
        </w:tc>
        <w:tc>
          <w:tcPr>
            <w:tcW w:type="pct" w:w="4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Issues 14–15: traslados y devoluciones</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8</w:t>
            </w:r>
          </w:p>
        </w:tc>
        <w:tc>
          <w:tcPr>
            <w:tcW w:type="pct" w:w="16%"/>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4.000 €</w:t>
            </w:r>
          </w:p>
        </w:tc>
      </w:tr>
      <w:tr>
        <w:tc>
          <w:tcPr>
            <w:tcW w:type="pct" w:w="2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w:r>
          </w:p>
        </w:tc>
        <w:tc>
          <w:tcPr>
            <w:tcW w:type="pct" w:w="4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TOTAL DEL PROYECTO</w:t>
            </w:r>
          </w:p>
        </w:tc>
        <w:tc>
          <w:tcPr>
            <w:tcW w:type="pct" w:w="1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32</w:t>
            </w:r>
          </w:p>
        </w:tc>
        <w:tc>
          <w:tcPr>
            <w:tcW w:type="pct" w:w="16%"/>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16.000 €</w:t>
            </w:r>
          </w:p>
        </w:tc>
      </w:tr>
    </w:tbl>
    <w:p>
      <w:pPr>
        <w:spacing w:after="100" w:before="100"/>
      </w:pPr>
    </w:p>
    <w:p>
      <w:pPr>
        <w:shd w:fill="D9E2F3" w:color="D9E2F3" w:val="solid"/>
        <w:spacing w:after="120" w:before="120"/>
        <w:ind w:left="288" w:right="288"/>
      </w:pPr>
      <w:r>
        <w:rPr>
          <w:rFonts w:ascii="Calibri" w:cs="Calibri" w:eastAsia="Calibri" w:hAnsi="Calibri"/>
          <w:b/>
          <w:bCs/>
          <w:color w:val="1F3864"/>
          <w:sz w:val="20"/>
          <w:szCs w:val="20"/>
        </w:rPr>
        <w:t xml:space="preserve">ℹ  </w:t>
      </w:r>
      <w:r>
        <w:rPr>
          <w:rFonts w:ascii="Calibri" w:cs="Calibri" w:eastAsia="Calibri" w:hAnsi="Calibri"/>
          <w:i/>
          <w:iCs/>
          <w:color w:val="1F3864"/>
          <w:sz w:val="20"/>
          <w:szCs w:val="20"/>
        </w:rPr>
        <w:t xml:space="preserve">Precio cerrado por fase. El cliente sólo contrata las fases que necesita. Es posible iniciar con Fase 1 y ampliar el contrato a Fase 2 y/o Fase 3 más adelante.</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6.2 Desglose detallado — Fase 2</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gridCol w:w="100"/>
        <w:gridCol w:w="100"/>
      </w:tblGrid>
      <w:tr>
        <w:trPr>
          <w:tblHeader/>
        </w:trPr>
        <w:tc>
          <w:tcPr>
            <w:tcW w:type="pct" w:w="40%"/>
            <w:shd w:fill="1F3864" w:color="1F3864" w:val="solid"/>
            <w:vAlign w:val="center"/>
          </w:tcPr>
          <w:p>
            <w:pPr>
              <w:jc w:val="center"/>
            </w:pPr>
            <w:r>
              <w:rPr>
                <w:rFonts w:ascii="Calibri" w:cs="Calibri" w:eastAsia="Calibri" w:hAnsi="Calibri"/>
                <w:b/>
                <w:bCs/>
                <w:color w:val="FFFFFF"/>
                <w:sz w:val="18"/>
                <w:szCs w:val="18"/>
              </w:rPr>
              <w:t xml:space="preserve">Funcionalidad</w:t>
            </w:r>
          </w:p>
        </w:tc>
        <w:tc>
          <w:tcPr>
            <w:tcW w:type="pct" w:w="12%"/>
            <w:shd w:fill="1F3864" w:color="1F3864" w:val="solid"/>
            <w:vAlign w:val="center"/>
          </w:tcPr>
          <w:p>
            <w:pPr>
              <w:jc w:val="center"/>
            </w:pPr>
            <w:r>
              <w:rPr>
                <w:rFonts w:ascii="Calibri" w:cs="Calibri" w:eastAsia="Calibri" w:hAnsi="Calibri"/>
                <w:b/>
                <w:bCs/>
                <w:color w:val="FFFFFF"/>
                <w:sz w:val="18"/>
                <w:szCs w:val="18"/>
              </w:rPr>
              <w:t xml:space="preserve">Análisis</w:t>
            </w:r>
          </w:p>
        </w:tc>
        <w:tc>
          <w:tcPr>
            <w:tcW w:type="pct" w:w="16%"/>
            <w:shd w:fill="1F3864" w:color="1F3864" w:val="solid"/>
            <w:vAlign w:val="center"/>
          </w:tcPr>
          <w:p>
            <w:pPr>
              <w:jc w:val="center"/>
            </w:pPr>
            <w:r>
              <w:rPr>
                <w:rFonts w:ascii="Calibri" w:cs="Calibri" w:eastAsia="Calibri" w:hAnsi="Calibri"/>
                <w:b/>
                <w:bCs/>
                <w:color w:val="FFFFFF"/>
                <w:sz w:val="18"/>
                <w:szCs w:val="18"/>
              </w:rPr>
              <w:t xml:space="preserve">Desarrollo</w:t>
            </w:r>
          </w:p>
        </w:tc>
        <w:tc>
          <w:tcPr>
            <w:tcW w:type="pct" w:w="12%"/>
            <w:shd w:fill="1F3864" w:color="1F3864" w:val="solid"/>
            <w:vAlign w:val="center"/>
          </w:tcPr>
          <w:p>
            <w:pPr>
              <w:jc w:val="center"/>
            </w:pPr>
            <w:r>
              <w:rPr>
                <w:rFonts w:ascii="Calibri" w:cs="Calibri" w:eastAsia="Calibri" w:hAnsi="Calibri"/>
                <w:b/>
                <w:bCs/>
                <w:color w:val="FFFFFF"/>
                <w:sz w:val="18"/>
                <w:szCs w:val="18"/>
              </w:rPr>
              <w:t xml:space="preserve">Pruebas</w:t>
            </w:r>
          </w:p>
        </w:tc>
        <w:tc>
          <w:tcPr>
            <w:tcW w:type="pct" w:w="20%"/>
            <w:shd w:fill="1F3864" w:color="1F3864" w:val="solid"/>
            <w:vAlign w:val="center"/>
          </w:tcPr>
          <w:p>
            <w:pPr>
              <w:jc w:val="center"/>
            </w:pPr>
            <w:r>
              <w:rPr>
                <w:rFonts w:ascii="Calibri" w:cs="Calibri" w:eastAsia="Calibri" w:hAnsi="Calibri"/>
                <w:b/>
                <w:bCs/>
                <w:color w:val="FFFFFF"/>
                <w:sz w:val="18"/>
                <w:szCs w:val="18"/>
              </w:rPr>
              <w:t xml:space="preserve">Total jornadas</w:t>
            </w:r>
          </w:p>
        </w:tc>
      </w:tr>
      <w:tr>
        <w:tc>
          <w:tcPr>
            <w:tcW w:type="pct" w:w="4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Ratio real por lote (Issue 9)</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0,5</w:t>
            </w:r>
          </w:p>
        </w:tc>
        <w:tc>
          <w:tcPr>
            <w:tcW w:type="pct" w:w="16%"/>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pct" w:w="2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w:t>
            </w:r>
          </w:p>
        </w:tc>
      </w:tr>
      <w:tr>
        <w:tc>
          <w:tcPr>
            <w:tcW w:type="pct" w:w="4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Almacén: recepción y expedición (Issue 10)</w:t>
            </w:r>
          </w:p>
        </w:tc>
        <w:tc>
          <w:tcPr>
            <w:tcW w:type="pct" w:w="1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0,5</w:t>
            </w:r>
          </w:p>
        </w:tc>
        <w:tc>
          <w:tcPr>
            <w:tcW w:type="pct" w:w="16%"/>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w:t>
            </w:r>
          </w:p>
        </w:tc>
        <w:tc>
          <w:tcPr>
            <w:tcW w:type="pct" w:w="1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w:t>
            </w:r>
          </w:p>
        </w:tc>
        <w:tc>
          <w:tcPr>
            <w:tcW w:type="pct" w:w="2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4,5</w:t>
            </w:r>
          </w:p>
        </w:tc>
      </w:tr>
      <w:tr>
        <w:tc>
          <w:tcPr>
            <w:tcW w:type="pct" w:w="4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Picking y ubicación dirigidos (Issue 11)</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0,5</w:t>
            </w:r>
          </w:p>
        </w:tc>
        <w:tc>
          <w:tcPr>
            <w:tcW w:type="pct" w:w="16%"/>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0,5</w:t>
            </w:r>
          </w:p>
        </w:tc>
        <w:tc>
          <w:tcPr>
            <w:tcW w:type="pct" w:w="2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w:t>
            </w:r>
          </w:p>
        </w:tc>
      </w:tr>
      <w:tr>
        <w:tc>
          <w:tcPr>
            <w:tcW w:type="pct" w:w="4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Inventario físico (Issue 12)</w:t>
            </w:r>
          </w:p>
        </w:tc>
        <w:tc>
          <w:tcPr>
            <w:tcW w:type="pct" w:w="1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0,5</w:t>
            </w:r>
          </w:p>
        </w:tc>
        <w:tc>
          <w:tcPr>
            <w:tcW w:type="pct" w:w="16%"/>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1,5</w:t>
            </w:r>
          </w:p>
        </w:tc>
        <w:tc>
          <w:tcPr>
            <w:tcW w:type="pct" w:w="1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0,5</w:t>
            </w:r>
          </w:p>
        </w:tc>
        <w:tc>
          <w:tcPr>
            <w:tcW w:type="pct" w:w="2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2,5</w:t>
            </w:r>
          </w:p>
        </w:tc>
      </w:tr>
      <w:tr>
        <w:tc>
          <w:tcPr>
            <w:tcW w:type="pct" w:w="4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Extensiones de informes (Issue 13)</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0,5</w:t>
            </w:r>
          </w:p>
        </w:tc>
        <w:tc>
          <w:tcPr>
            <w:tcW w:type="pct" w:w="16%"/>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0,5</w:t>
            </w:r>
          </w:p>
        </w:tc>
        <w:tc>
          <w:tcPr>
            <w:tcW w:type="pct" w:w="2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w:t>
            </w:r>
          </w:p>
        </w:tc>
      </w:tr>
      <w:tr>
        <w:tc>
          <w:tcPr>
            <w:tcW w:type="pct" w:w="4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QA integral + documentación</w:t>
            </w:r>
          </w:p>
        </w:tc>
        <w:tc>
          <w:tcPr>
            <w:tcW w:type="pct" w:w="1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16%"/>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12%"/>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3</w:t>
            </w:r>
          </w:p>
        </w:tc>
      </w:tr>
      <w:tr>
        <w:tc>
          <w:tcPr>
            <w:tcW w:type="pct" w:w="4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TOTAL Fase 2</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16%"/>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12%"/>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w:t>
            </w:r>
          </w:p>
        </w:tc>
        <w:tc>
          <w:tcPr>
            <w:tcW w:type="pct" w:w="2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20</w:t>
            </w:r>
          </w:p>
        </w:tc>
      </w:tr>
    </w:tbl>
    <w:p>
      <w:pPr>
        <w:spacing w:after="100" w:before="100"/>
      </w:pPr>
    </w:p>
    <w:p>
      <w:pPr>
        <w:pStyle w:val="Heading2"/>
        <w:pBdr>
          <w:bottom w:val="single" w:color="4472C4" w:sz="4"/>
        </w:pBdr>
        <w:spacing w:after="100" w:before="300"/>
      </w:pPr>
      <w:r>
        <w:rPr>
          <w:rFonts w:ascii="Calibri" w:cs="Calibri" w:eastAsia="Calibri" w:hAnsi="Calibri"/>
          <w:b/>
          <w:bCs/>
          <w:color w:val="1F3864"/>
          <w:sz w:val="24"/>
          <w:szCs w:val="24"/>
        </w:rPr>
        <w:t xml:space="preserve">6.3 Condiciones de pago</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pct" w:w="60%"/>
            <w:shd w:fill="1F3864" w:color="1F3864" w:val="solid"/>
            <w:vAlign w:val="center"/>
          </w:tcPr>
          <w:p>
            <w:pPr>
              <w:jc w:val="center"/>
            </w:pPr>
            <w:r>
              <w:rPr>
                <w:rFonts w:ascii="Calibri" w:cs="Calibri" w:eastAsia="Calibri" w:hAnsi="Calibri"/>
                <w:b/>
                <w:bCs/>
                <w:color w:val="FFFFFF"/>
                <w:sz w:val="18"/>
                <w:szCs w:val="18"/>
              </w:rPr>
              <w:t xml:space="preserve">Hito de facturación</w:t>
            </w:r>
          </w:p>
        </w:tc>
        <w:tc>
          <w:tcPr>
            <w:tcW w:type="pct" w:w="40%"/>
            <w:shd w:fill="1F3864" w:color="1F3864" w:val="solid"/>
            <w:vAlign w:val="center"/>
          </w:tcPr>
          <w:p>
            <w:pPr>
              <w:jc w:val="center"/>
            </w:pPr>
            <w:r>
              <w:rPr>
                <w:rFonts w:ascii="Calibri" w:cs="Calibri" w:eastAsia="Calibri" w:hAnsi="Calibri"/>
                <w:b/>
                <w:bCs/>
                <w:color w:val="FFFFFF"/>
                <w:sz w:val="18"/>
                <w:szCs w:val="18"/>
              </w:rPr>
              <w:t xml:space="preserve">Importe</w:t>
            </w:r>
          </w:p>
        </w:tc>
      </w:tr>
      <w:tr>
        <w:tc>
          <w:tcPr>
            <w:tcW w:type="pct" w:w="6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Firma del contrato / inicio Fase 1</w:t>
            </w:r>
          </w:p>
        </w:tc>
        <w:tc>
          <w:tcPr>
            <w:tcW w:type="pct" w:w="4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 de la fase contratada</w:t>
            </w:r>
          </w:p>
        </w:tc>
      </w:tr>
      <w:tr>
        <w:tc>
          <w:tcPr>
            <w:tcW w:type="pct" w:w="6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Aceptación del cliente / entrega final</w:t>
            </w:r>
          </w:p>
        </w:tc>
        <w:tc>
          <w:tcPr>
            <w:tcW w:type="pct" w:w="4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50% de la fase contratada</w:t>
            </w:r>
          </w:p>
        </w:tc>
      </w:tr>
    </w:tbl>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7. Plazos de entrega</w:t>
      </w:r>
    </w:p>
    <w:p>
      <w:pPr>
        <w:spacing w:after="80" w:before="80"/>
        <w:jc w:val="left"/>
      </w:pPr>
      <w:r>
        <w:rPr>
          <w:rFonts w:ascii="Calibri" w:cs="Calibri" w:eastAsia="Calibri" w:hAnsi="Calibri"/>
          <w:b w:val="false"/>
          <w:bCs w:val="false"/>
          <w:i w:val="false"/>
          <w:iCs w:val="false"/>
          <w:color w:val="1A1A1A"/>
          <w:sz w:val="20"/>
          <w:szCs w:val="20"/>
        </w:rPr>
        <w:t xml:space="preserve">Los plazos indicados son orientativos a partir de la firma del contrato y la provisión por parte del cliente de acceso al entorno Business Central.</w:t>
      </w:r>
    </w:p>
    <w:p>
      <w:pPr>
        <w:spacing w:after="8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gridCol w:w="100"/>
      </w:tblGrid>
      <w:tr>
        <w:trPr>
          <w:tblHeader/>
        </w:trPr>
        <w:tc>
          <w:tcPr>
            <w:tcW w:type="pct" w:w="27%"/>
            <w:shd w:fill="1F3864" w:color="1F3864" w:val="solid"/>
            <w:vAlign w:val="center"/>
          </w:tcPr>
          <w:p>
            <w:pPr>
              <w:jc w:val="center"/>
            </w:pPr>
            <w:r>
              <w:rPr>
                <w:rFonts w:ascii="Calibri" w:cs="Calibri" w:eastAsia="Calibri" w:hAnsi="Calibri"/>
                <w:b/>
                <w:bCs/>
                <w:color w:val="FFFFFF"/>
                <w:sz w:val="18"/>
                <w:szCs w:val="18"/>
              </w:rPr>
              <w:t xml:space="preserve">Fase</w:t>
            </w:r>
          </w:p>
        </w:tc>
        <w:tc>
          <w:tcPr>
            <w:tcW w:type="pct" w:w="25%"/>
            <w:shd w:fill="1F3864" w:color="1F3864" w:val="solid"/>
            <w:vAlign w:val="center"/>
          </w:tcPr>
          <w:p>
            <w:pPr>
              <w:jc w:val="center"/>
            </w:pPr>
            <w:r>
              <w:rPr>
                <w:rFonts w:ascii="Calibri" w:cs="Calibri" w:eastAsia="Calibri" w:hAnsi="Calibri"/>
                <w:b/>
                <w:bCs/>
                <w:color w:val="FFFFFF"/>
                <w:sz w:val="18"/>
                <w:szCs w:val="18"/>
              </w:rPr>
              <w:t xml:space="preserve">Inicio estimado</w:t>
            </w:r>
          </w:p>
        </w:tc>
        <w:tc>
          <w:tcPr>
            <w:tcW w:type="pct" w:w="20%"/>
            <w:shd w:fill="1F3864" w:color="1F3864" w:val="solid"/>
            <w:vAlign w:val="center"/>
          </w:tcPr>
          <w:p>
            <w:pPr>
              <w:jc w:val="center"/>
            </w:pPr>
            <w:r>
              <w:rPr>
                <w:rFonts w:ascii="Calibri" w:cs="Calibri" w:eastAsia="Calibri" w:hAnsi="Calibri"/>
                <w:b/>
                <w:bCs/>
                <w:color w:val="FFFFFF"/>
                <w:sz w:val="18"/>
                <w:szCs w:val="18"/>
              </w:rPr>
              <w:t xml:space="preserve">Duración</w:t>
            </w:r>
          </w:p>
        </w:tc>
        <w:tc>
          <w:tcPr>
            <w:tcW w:type="pct" w:w="28%"/>
            <w:shd w:fill="1F3864" w:color="1F3864" w:val="solid"/>
            <w:vAlign w:val="center"/>
          </w:tcPr>
          <w:p>
            <w:pPr>
              <w:jc w:val="center"/>
            </w:pPr>
            <w:r>
              <w:rPr>
                <w:rFonts w:ascii="Calibri" w:cs="Calibri" w:eastAsia="Calibri" w:hAnsi="Calibri"/>
                <w:b/>
                <w:bCs/>
                <w:color w:val="FFFFFF"/>
                <w:sz w:val="18"/>
                <w:szCs w:val="18"/>
              </w:rPr>
              <w:t xml:space="preserve">Entrega estimada</w:t>
            </w:r>
          </w:p>
        </w:tc>
      </w:tr>
      <w:tr>
        <w:tc>
          <w:tcPr>
            <w:tcW w:type="pct" w:w="2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Fase 1 — Puesta en marcha</w:t>
            </w:r>
          </w:p>
        </w:tc>
        <w:tc>
          <w:tcPr>
            <w:tcW w:type="pct" w:w="2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Semana 1 tras firma</w:t>
            </w:r>
          </w:p>
        </w:tc>
        <w:tc>
          <w:tcPr>
            <w:tcW w:type="pct" w:w="2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1–2 semanas</w:t>
            </w:r>
          </w:p>
        </w:tc>
        <w:tc>
          <w:tcPr>
            <w:tcW w:type="pct" w:w="2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Semana 2–3</w:t>
            </w:r>
          </w:p>
        </w:tc>
      </w:tr>
      <w:tr>
        <w:tc>
          <w:tcPr>
            <w:tcW w:type="pct" w:w="27%"/>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Fase 2 — Almacén y trazabilidad</w:t>
            </w:r>
          </w:p>
        </w:tc>
        <w:tc>
          <w:tcPr>
            <w:tcW w:type="pct" w:w="25%"/>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Tras aceptación Fase 1</w:t>
            </w:r>
          </w:p>
        </w:tc>
        <w:tc>
          <w:tcPr>
            <w:tcW w:type="pct" w:w="2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4–6 semanas</w:t>
            </w:r>
          </w:p>
        </w:tc>
        <w:tc>
          <w:tcPr>
            <w:tcW w:type="pct" w:w="2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Semana 7–9</w:t>
            </w:r>
          </w:p>
        </w:tc>
      </w:tr>
      <w:tr>
        <w:tc>
          <w:tcPr>
            <w:tcW w:type="pct" w:w="27%"/>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Fase 3 — Documentos adicionales</w:t>
            </w:r>
          </w:p>
        </w:tc>
        <w:tc>
          <w:tcPr>
            <w:tcW w:type="pct" w:w="25%"/>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Tras aceptación Fase 2</w:t>
            </w:r>
          </w:p>
        </w:tc>
        <w:tc>
          <w:tcPr>
            <w:tcW w:type="pct" w:w="2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2–3 semanas</w:t>
            </w:r>
          </w:p>
        </w:tc>
        <w:tc>
          <w:tcPr>
            <w:tcW w:type="pct" w:w="2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Semana 10–12</w:t>
            </w:r>
          </w:p>
        </w:tc>
      </w:tr>
    </w:tbl>
    <w:p>
      <w:pPr>
        <w:spacing w:after="100" w:before="100"/>
      </w:pPr>
    </w:p>
    <w:p>
      <w:pPr>
        <w:shd w:fill="D9E2F3" w:color="D9E2F3" w:val="solid"/>
        <w:spacing w:after="120" w:before="120"/>
        <w:ind w:left="288" w:right="288"/>
      </w:pPr>
      <w:r>
        <w:rPr>
          <w:rFonts w:ascii="Calibri" w:cs="Calibri" w:eastAsia="Calibri" w:hAnsi="Calibri"/>
          <w:b/>
          <w:bCs/>
          <w:color w:val="1F3864"/>
          <w:sz w:val="20"/>
          <w:szCs w:val="20"/>
        </w:rPr>
        <w:t xml:space="preserve">ℹ  </w:t>
      </w:r>
      <w:r>
        <w:rPr>
          <w:rFonts w:ascii="Calibri" w:cs="Calibri" w:eastAsia="Calibri" w:hAnsi="Calibri"/>
          <w:i/>
          <w:iCs/>
          <w:color w:val="1F3864"/>
          <w:sz w:val="20"/>
          <w:szCs w:val="20"/>
        </w:rPr>
        <w:t xml:space="preserve">Los plazos pueden ajustarse en función de la disponibilidad del equipo del cliente para sesiones de validación y aceptación.</w:t>
      </w:r>
    </w:p>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8. Calidad y metodología</w:t>
      </w:r>
    </w:p>
    <w:p>
      <w:pPr>
        <w:pStyle w:val="Heading2"/>
        <w:pBdr>
          <w:bottom w:val="single" w:color="4472C4" w:sz="4"/>
        </w:pBdr>
        <w:spacing w:after="100" w:before="300"/>
      </w:pPr>
      <w:r>
        <w:rPr>
          <w:rFonts w:ascii="Calibri" w:cs="Calibri" w:eastAsia="Calibri" w:hAnsi="Calibri"/>
          <w:b/>
          <w:bCs/>
          <w:color w:val="1F3864"/>
          <w:sz w:val="24"/>
          <w:szCs w:val="24"/>
        </w:rPr>
        <w:t xml:space="preserve">8.1 Desarrollo orientado a pruebas (TDD)</w:t>
      </w:r>
    </w:p>
    <w:p>
      <w:pPr>
        <w:spacing w:after="80" w:before="80"/>
        <w:jc w:val="left"/>
      </w:pPr>
      <w:r>
        <w:rPr>
          <w:rFonts w:ascii="Calibri" w:cs="Calibri" w:eastAsia="Calibri" w:hAnsi="Calibri"/>
          <w:b w:val="false"/>
          <w:bCs w:val="false"/>
          <w:i w:val="false"/>
          <w:iCs w:val="false"/>
          <w:color w:val="1A1A1A"/>
          <w:sz w:val="20"/>
          <w:szCs w:val="20"/>
        </w:rPr>
        <w:t xml:space="preserve">Todo el código de la extensión se desarrolla siguiendo la metodología TDD (Test-Driven Development): primero se escriben los tests que definen el comportamiento esperado, luego se implementa el código que los hace pasar. Esto garantiza:</w:t>
      </w:r>
    </w:p>
    <w:p>
      <w:pPr>
        <w:spacing w:after="60" w:before="60"/>
      </w:pP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Cada funcionalidad tiene cobertura de test desde el primer día</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Los errores se detectan antes de llegar al entorno del cliente</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El código es verificable y refactorizable con seguridad</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8.2 Integración continua (CI)</w:t>
      </w:r>
    </w:p>
    <w:p>
      <w:pPr>
        <w:spacing w:after="80" w:before="80"/>
        <w:jc w:val="left"/>
      </w:pPr>
      <w:r>
        <w:rPr>
          <w:rFonts w:ascii="Calibri" w:cs="Calibri" w:eastAsia="Calibri" w:hAnsi="Calibri"/>
          <w:b w:val="false"/>
          <w:bCs w:val="false"/>
          <w:i w:val="false"/>
          <w:iCs w:val="false"/>
          <w:color w:val="1A1A1A"/>
          <w:sz w:val="20"/>
          <w:szCs w:val="20"/>
        </w:rPr>
        <w:t xml:space="preserve">El proyecto utiliza AL-Go for GitHub para ejecutar automáticamente el compilado y los tests en cada entrega. El cliente recibe la extensión sólo cuando todos los tests pasan en el pipeline de CI.</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8.3 Arquitectura compatible con actualizaciones</w:t>
      </w:r>
    </w:p>
    <w:p>
      <w:pPr>
        <w:spacing w:after="80" w:before="80"/>
        <w:jc w:val="left"/>
      </w:pPr>
      <w:r>
        <w:rPr>
          <w:rFonts w:ascii="Calibri" w:cs="Calibri" w:eastAsia="Calibri" w:hAnsi="Calibri"/>
          <w:b w:val="false"/>
          <w:bCs w:val="false"/>
          <w:i w:val="false"/>
          <w:iCs w:val="false"/>
          <w:color w:val="1A1A1A"/>
          <w:sz w:val="20"/>
          <w:szCs w:val="20"/>
        </w:rPr>
        <w:t xml:space="preserve">Al construirse exclusivamente mediante extensiones PTE sin modificar la base de Business Central, la solución es:</w:t>
      </w:r>
    </w:p>
    <w:p>
      <w:pPr>
        <w:spacing w:after="60" w:before="60"/>
      </w:pP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Compatible con los ciclos de actualización automática de Microsoft (wave updates)</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Desinstalable de forma limpia si el cliente decide retirarla</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Extensible en fases posteriores sin reescribir lo ya entregado</w:t>
      </w:r>
    </w:p>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9. Riesgos y plan de mitigación</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gridCol w:w="100"/>
      </w:tblGrid>
      <w:tr>
        <w:trPr>
          <w:tblHeader/>
        </w:trPr>
        <w:tc>
          <w:tcPr>
            <w:tcW w:type="pct" w:w="28%"/>
            <w:shd w:fill="1F3864" w:color="1F3864" w:val="solid"/>
            <w:vAlign w:val="center"/>
          </w:tcPr>
          <w:p>
            <w:pPr>
              <w:jc w:val="center"/>
            </w:pPr>
            <w:r>
              <w:rPr>
                <w:rFonts w:ascii="Calibri" w:cs="Calibri" w:eastAsia="Calibri" w:hAnsi="Calibri"/>
                <w:b/>
                <w:bCs/>
                <w:color w:val="FFFFFF"/>
                <w:sz w:val="18"/>
                <w:szCs w:val="18"/>
              </w:rPr>
              <w:t xml:space="preserve">Riesgo</w:t>
            </w:r>
          </w:p>
        </w:tc>
        <w:tc>
          <w:tcPr>
            <w:tcW w:type="pct" w:w="14%"/>
            <w:shd w:fill="1F3864" w:color="1F3864" w:val="solid"/>
            <w:vAlign w:val="center"/>
          </w:tcPr>
          <w:p>
            <w:pPr>
              <w:jc w:val="center"/>
            </w:pPr>
            <w:r>
              <w:rPr>
                <w:rFonts w:ascii="Calibri" w:cs="Calibri" w:eastAsia="Calibri" w:hAnsi="Calibri"/>
                <w:b/>
                <w:bCs/>
                <w:color w:val="FFFFFF"/>
                <w:sz w:val="18"/>
                <w:szCs w:val="18"/>
              </w:rPr>
              <w:t xml:space="preserve">Probabilidad</w:t>
            </w:r>
          </w:p>
        </w:tc>
        <w:tc>
          <w:tcPr>
            <w:tcW w:type="pct" w:w="10%"/>
            <w:shd w:fill="1F3864" w:color="1F3864" w:val="solid"/>
            <w:vAlign w:val="center"/>
          </w:tcPr>
          <w:p>
            <w:pPr>
              <w:jc w:val="center"/>
            </w:pPr>
            <w:r>
              <w:rPr>
                <w:rFonts w:ascii="Calibri" w:cs="Calibri" w:eastAsia="Calibri" w:hAnsi="Calibri"/>
                <w:b/>
                <w:bCs/>
                <w:color w:val="FFFFFF"/>
                <w:sz w:val="18"/>
                <w:szCs w:val="18"/>
              </w:rPr>
              <w:t xml:space="preserve">Impacto</w:t>
            </w:r>
          </w:p>
        </w:tc>
        <w:tc>
          <w:tcPr>
            <w:tcW w:type="pct" w:w="48%"/>
            <w:shd w:fill="1F3864" w:color="1F3864" w:val="solid"/>
            <w:vAlign w:val="center"/>
          </w:tcPr>
          <w:p>
            <w:pPr>
              <w:jc w:val="center"/>
            </w:pPr>
            <w:r>
              <w:rPr>
                <w:rFonts w:ascii="Calibri" w:cs="Calibri" w:eastAsia="Calibri" w:hAnsi="Calibri"/>
                <w:b/>
                <w:bCs/>
                <w:color w:val="FFFFFF"/>
                <w:sz w:val="18"/>
                <w:szCs w:val="18"/>
              </w:rPr>
              <w:t xml:space="preserve">Mitigación</w:t>
            </w:r>
          </w:p>
        </w:tc>
      </w:tr>
      <w:tr>
        <w:tc>
          <w:tcPr>
            <w:tcW w:type="pct" w:w="2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Cambio de APIs de BC en actualización de Microsoft</w:t>
            </w:r>
          </w:p>
        </w:tc>
        <w:tc>
          <w:tcPr>
            <w:tcW w:type="pct" w:w="14%"/>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Baja</w:t>
            </w:r>
          </w:p>
        </w:tc>
        <w:tc>
          <w:tcPr>
            <w:tcW w:type="pct" w:w="1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Medio</w:t>
            </w:r>
          </w:p>
        </w:tc>
        <w:tc>
          <w:tcPr>
            <w:tcW w:type="pct" w:w="4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Arquitectura 100% extensión PTE; sin modificaciones a código base. Compilación continua en CI detecta incompatibilidades antes del despliegue.</w:t>
            </w:r>
          </w:p>
        </w:tc>
      </w:tr>
      <w:tr>
        <w:tc>
          <w:tcPr>
            <w:tcW w:type="pct" w:w="2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Complejidad de los flujos de almacén avanzado (Fase 2)</w:t>
            </w:r>
          </w:p>
        </w:tc>
        <w:tc>
          <w:tcPr>
            <w:tcW w:type="pct" w:w="14%"/>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Media</w:t>
            </w:r>
          </w:p>
        </w:tc>
        <w:tc>
          <w:tcPr>
            <w:tcW w:type="pct" w:w="1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Medio</w:t>
            </w:r>
          </w:p>
        </w:tc>
        <w:tc>
          <w:tcPr>
            <w:tcW w:type="pct" w:w="4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Diseño modular por issue. Entregables incrementales. Los issues 9–13 son independientes y pueden priorizarse.</w:t>
            </w:r>
          </w:p>
        </w:tc>
      </w:tr>
      <w:tr>
        <w:tc>
          <w:tcPr>
            <w:tcW w:type="pct" w:w="2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Retraso por disponibilidad del entorno cliente</w:t>
            </w:r>
          </w:p>
        </w:tc>
        <w:tc>
          <w:tcPr>
            <w:tcW w:type="pct" w:w="14%"/>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Media</w:t>
            </w:r>
          </w:p>
        </w:tc>
        <w:tc>
          <w:tcPr>
            <w:tcW w:type="pct" w:w="1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Bajo</w:t>
            </w:r>
          </w:p>
        </w:tc>
        <w:tc>
          <w:tcPr>
            <w:tcW w:type="pct" w:w="48%"/>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Fase 1 se puede validar en entorno de sandbox. Los plazos no empiezan a contar hasta provisión de acceso.</w:t>
            </w:r>
          </w:p>
        </w:tc>
      </w:tr>
      <w:tr>
        <w:tc>
          <w:tcPr>
            <w:tcW w:type="pct" w:w="2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Alcance no cubierto detectado durante la implantación</w:t>
            </w:r>
          </w:p>
        </w:tc>
        <w:tc>
          <w:tcPr>
            <w:tcW w:type="pct" w:w="14%"/>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Baja</w:t>
            </w:r>
          </w:p>
        </w:tc>
        <w:tc>
          <w:tcPr>
            <w:tcW w:type="pct" w:w="1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Bajo</w:t>
            </w:r>
          </w:p>
        </w:tc>
        <w:tc>
          <w:tcPr>
            <w:tcW w:type="pct" w:w="48%"/>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Propuesta de alcance detallada y contrastada con el backlog del repositorio. Cualquier trabajo adicional se oferta como change request.</w:t>
            </w:r>
          </w:p>
        </w:tc>
      </w:tr>
    </w:tbl>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10. Fuera del alcance de esta propuesta</w:t>
      </w:r>
    </w:p>
    <w:p>
      <w:pPr>
        <w:spacing w:after="80" w:before="80"/>
        <w:jc w:val="left"/>
      </w:pPr>
      <w:r>
        <w:rPr>
          <w:rFonts w:ascii="Calibri" w:cs="Calibri" w:eastAsia="Calibri" w:hAnsi="Calibri"/>
          <w:b w:val="false"/>
          <w:bCs w:val="false"/>
          <w:i w:val="false"/>
          <w:iCs w:val="false"/>
          <w:color w:val="1A1A1A"/>
          <w:sz w:val="20"/>
          <w:szCs w:val="20"/>
        </w:rPr>
        <w:t xml:space="preserve">Para evitar malentendidos, se detalla lo que queda explícitamente excluido de esta propuesta:</w:t>
      </w:r>
    </w:p>
    <w:p>
      <w:pPr>
        <w:spacing w:after="60" w:before="60"/>
      </w:pP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Módulo de Fabricación (órdenes de producción, hojas de ruta, salida)</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Módulo de Proyectos (líneas de planificación, asientos de proyecto)</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Gestión de Servicios (órdenes de servicio, artículos de servicio)</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Integración con básculas o hardware de pesaje automático</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Flujos de empresa a empresa (intercompany)</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Adaptaciones de documentos EDI o e-Document para la segunda cantidad</w:t>
      </w:r>
    </w:p>
    <w:p>
      <w:pPr>
        <w:pStyle w:val="ListParagraph"/>
        <w:numPr>
          <w:ilvl w:val="0"/>
          <w:numId w:val="1"/>
        </w:numPr>
        <w:spacing w:after="60" w:before="60"/>
        <w:ind w:left="360" w:hanging="360"/>
      </w:pPr>
      <w:r>
        <w:rPr>
          <w:rFonts w:ascii="Calibri" w:cs="Calibri" w:eastAsia="Calibri" w:hAnsi="Calibri"/>
          <w:b w:val="false"/>
          <w:bCs w:val="false"/>
          <w:color w:val="1A1A1A"/>
          <w:sz w:val="20"/>
          <w:szCs w:val="20"/>
        </w:rPr>
        <w:t xml:space="preserve">Formación avanzada más allá de la formación básica de puesta en marcha incluida en Fase 1</w:t>
      </w:r>
    </w:p>
    <w:p>
      <w:pPr>
        <w:spacing w:after="80" w:before="80"/>
      </w:pPr>
    </w:p>
    <w:p>
      <w:pPr>
        <w:shd w:fill="FCE4D6" w:color="FCE4D6" w:val="solid"/>
        <w:spacing w:after="120" w:before="120"/>
        <w:ind w:left="288" w:right="288"/>
      </w:pPr>
      <w:r>
        <w:rPr>
          <w:rFonts w:ascii="Calibri" w:cs="Calibri" w:eastAsia="Calibri" w:hAnsi="Calibri"/>
          <w:b/>
          <w:bCs/>
          <w:color w:val="843C0C"/>
          <w:sz w:val="20"/>
          <w:szCs w:val="20"/>
        </w:rPr>
        <w:t xml:space="preserve">⚠  </w:t>
      </w:r>
      <w:r>
        <w:rPr>
          <w:rFonts w:ascii="Calibri" w:cs="Calibri" w:eastAsia="Calibri" w:hAnsi="Calibri"/>
          <w:i/>
          <w:iCs/>
          <w:color w:val="843C0C"/>
          <w:sz w:val="20"/>
          <w:szCs w:val="20"/>
        </w:rPr>
        <w:t xml:space="preserve">Cualquier funcionalidad fuera del alcance descrito puede ofertarse como un trabajo adicional (change request) con su propia estimación.</w:t>
      </w:r>
    </w:p>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11. Pasos siguientes</w:t>
      </w:r>
    </w:p>
    <w:p>
      <w:pPr>
        <w:spacing w:after="80" w:before="80"/>
        <w:jc w:val="left"/>
      </w:pPr>
      <w:r>
        <w:rPr>
          <w:rFonts w:ascii="Calibri" w:cs="Calibri" w:eastAsia="Calibri" w:hAnsi="Calibri"/>
          <w:b w:val="false"/>
          <w:bCs w:val="false"/>
          <w:i w:val="false"/>
          <w:iCs w:val="false"/>
          <w:color w:val="1A1A1A"/>
          <w:sz w:val="20"/>
          <w:szCs w:val="20"/>
        </w:rPr>
        <w:t xml:space="preserve">Para avanzar con este proyecto:</w:t>
      </w:r>
    </w:p>
    <w:p>
      <w:pPr>
        <w:spacing w:after="60" w:before="60"/>
      </w:pPr>
    </w:p>
    <w:p>
      <w:pPr>
        <w:pStyle w:val="ListParagraph"/>
        <w:numPr>
          <w:ilvl w:val="0"/>
          <w:numId w:val="1"/>
        </w:numPr>
        <w:spacing w:after="60" w:before="60"/>
        <w:ind w:left="360" w:hanging="360"/>
      </w:pPr>
      <w:r>
        <w:rPr>
          <w:rFonts w:ascii="Calibri" w:cs="Calibri" w:eastAsia="Calibri" w:hAnsi="Calibri"/>
          <w:b/>
          <w:bCs/>
          <w:color w:val="1A1A1A"/>
          <w:sz w:val="20"/>
          <w:szCs w:val="20"/>
        </w:rPr>
        <w:t xml:space="preserve">1. Revisión de la presente propuesta por parte de [NOMBRE DEL CLIENTE]</w:t>
      </w:r>
    </w:p>
    <w:p>
      <w:pPr>
        <w:pStyle w:val="ListParagraph"/>
        <w:numPr>
          <w:ilvl w:val="1"/>
          <w:numId w:val="1"/>
        </w:numPr>
        <w:spacing w:after="60" w:before="60"/>
        <w:ind w:left="720" w:hanging="360"/>
      </w:pPr>
      <w:r>
        <w:rPr>
          <w:rFonts w:ascii="Calibri" w:cs="Calibri" w:eastAsia="Calibri" w:hAnsi="Calibri"/>
          <w:b w:val="false"/>
          <w:bCs w:val="false"/>
          <w:color w:val="1A1A1A"/>
          <w:sz w:val="20"/>
          <w:szCs w:val="20"/>
        </w:rPr>
        <w:t xml:space="preserve">   Plazo sugerido: 5 días hábiles desde la recepción.</w:t>
      </w:r>
    </w:p>
    <w:p>
      <w:pPr>
        <w:spacing w:after="40" w:before="40"/>
      </w:pPr>
    </w:p>
    <w:p>
      <w:pPr>
        <w:pStyle w:val="ListParagraph"/>
        <w:numPr>
          <w:ilvl w:val="0"/>
          <w:numId w:val="1"/>
        </w:numPr>
        <w:spacing w:after="60" w:before="60"/>
        <w:ind w:left="360" w:hanging="360"/>
      </w:pPr>
      <w:r>
        <w:rPr>
          <w:rFonts w:ascii="Calibri" w:cs="Calibri" w:eastAsia="Calibri" w:hAnsi="Calibri"/>
          <w:b/>
          <w:bCs/>
          <w:color w:val="1A1A1A"/>
          <w:sz w:val="20"/>
          <w:szCs w:val="20"/>
        </w:rPr>
        <w:t xml:space="preserve">2. Reunión de aclaración (si procede)</w:t>
      </w:r>
    </w:p>
    <w:p>
      <w:pPr>
        <w:pStyle w:val="ListParagraph"/>
        <w:numPr>
          <w:ilvl w:val="1"/>
          <w:numId w:val="1"/>
        </w:numPr>
        <w:spacing w:after="60" w:before="60"/>
        <w:ind w:left="720" w:hanging="360"/>
      </w:pPr>
      <w:r>
        <w:rPr>
          <w:rFonts w:ascii="Calibri" w:cs="Calibri" w:eastAsia="Calibri" w:hAnsi="Calibri"/>
          <w:b w:val="false"/>
          <w:bCs w:val="false"/>
          <w:color w:val="1A1A1A"/>
          <w:sz w:val="20"/>
          <w:szCs w:val="20"/>
        </w:rPr>
        <w:t xml:space="preserve">   Resolución de dudas técnicas u operativas. Duración estimada: 1 hora.</w:t>
      </w:r>
    </w:p>
    <w:p>
      <w:pPr>
        <w:spacing w:after="40" w:before="40"/>
      </w:pPr>
    </w:p>
    <w:p>
      <w:pPr>
        <w:pStyle w:val="ListParagraph"/>
        <w:numPr>
          <w:ilvl w:val="0"/>
          <w:numId w:val="1"/>
        </w:numPr>
        <w:spacing w:after="60" w:before="60"/>
        <w:ind w:left="360" w:hanging="360"/>
      </w:pPr>
      <w:r>
        <w:rPr>
          <w:rFonts w:ascii="Calibri" w:cs="Calibri" w:eastAsia="Calibri" w:hAnsi="Calibri"/>
          <w:b/>
          <w:bCs/>
          <w:color w:val="1A1A1A"/>
          <w:sz w:val="20"/>
          <w:szCs w:val="20"/>
        </w:rPr>
        <w:t xml:space="preserve">3. Firma del contrato y definición del primer hito de Fase 1</w:t>
      </w:r>
    </w:p>
    <w:p>
      <w:pPr>
        <w:pStyle w:val="ListParagraph"/>
        <w:numPr>
          <w:ilvl w:val="1"/>
          <w:numId w:val="1"/>
        </w:numPr>
        <w:spacing w:after="60" w:before="60"/>
        <w:ind w:left="720" w:hanging="360"/>
      </w:pPr>
      <w:r>
        <w:rPr>
          <w:rFonts w:ascii="Calibri" w:cs="Calibri" w:eastAsia="Calibri" w:hAnsi="Calibri"/>
          <w:b w:val="false"/>
          <w:bCs w:val="false"/>
          <w:color w:val="1A1A1A"/>
          <w:sz w:val="20"/>
          <w:szCs w:val="20"/>
        </w:rPr>
        <w:t xml:space="preserve">   Provisión de acceso al entorno Business Central (sandbox o producción).</w:t>
      </w:r>
    </w:p>
    <w:p>
      <w:pPr>
        <w:spacing w:after="40" w:before="40"/>
      </w:pPr>
    </w:p>
    <w:p>
      <w:pPr>
        <w:pStyle w:val="ListParagraph"/>
        <w:numPr>
          <w:ilvl w:val="0"/>
          <w:numId w:val="1"/>
        </w:numPr>
        <w:spacing w:after="60" w:before="60"/>
        <w:ind w:left="360" w:hanging="360"/>
      </w:pPr>
      <w:r>
        <w:rPr>
          <w:rFonts w:ascii="Calibri" w:cs="Calibri" w:eastAsia="Calibri" w:hAnsi="Calibri"/>
          <w:b/>
          <w:bCs/>
          <w:color w:val="1A1A1A"/>
          <w:sz w:val="20"/>
          <w:szCs w:val="20"/>
        </w:rPr>
        <w:t xml:space="preserve">4. Inicio de la Fase 1 — Puesta en marcha</w:t>
      </w:r>
    </w:p>
    <w:p>
      <w:pPr>
        <w:pStyle w:val="ListParagraph"/>
        <w:numPr>
          <w:ilvl w:val="1"/>
          <w:numId w:val="1"/>
        </w:numPr>
        <w:spacing w:after="60" w:before="60"/>
        <w:ind w:left="720" w:hanging="360"/>
      </w:pPr>
      <w:r>
        <w:rPr>
          <w:rFonts w:ascii="Calibri" w:cs="Calibri" w:eastAsia="Calibri" w:hAnsi="Calibri"/>
          <w:b w:val="false"/>
          <w:bCs w:val="false"/>
          <w:color w:val="1A1A1A"/>
          <w:sz w:val="20"/>
          <w:szCs w:val="20"/>
        </w:rPr>
        <w:t xml:space="preserve">   Instalación, configuración y formación. Duración estimada: 1–2 semanas.</w:t>
      </w:r>
    </w:p>
    <w:p>
      <w:pPr>
        <w:spacing w:after="120" w:before="120"/>
      </w:pPr>
    </w:p>
    <w:p>
      <w:pPr>
        <w:spacing w:after="80" w:before="80"/>
        <w:jc w:val="left"/>
      </w:pPr>
      <w:r>
        <w:rPr>
          <w:rFonts w:ascii="Calibri" w:cs="Calibri" w:eastAsia="Calibri" w:hAnsi="Calibri"/>
          <w:b w:val="false"/>
          <w:bCs w:val="false"/>
          <w:i w:val="false"/>
          <w:iCs w:val="false"/>
          <w:color w:val="1A1A1A"/>
          <w:sz w:val="20"/>
          <w:szCs w:val="20"/>
        </w:rPr>
        <w:t xml:space="preserve">Para aceptar esta propuesta o solicitar una reunión de aclaración, contáctenos en:</w:t>
      </w:r>
    </w:p>
    <w:p>
      <w:pPr>
        <w:spacing w:after="40" w:before="40"/>
      </w:pPr>
    </w:p>
    <w:p>
      <w:pPr>
        <w:spacing w:after="80" w:before="80"/>
        <w:jc w:val="center"/>
      </w:pPr>
      <w:r>
        <w:rPr>
          <w:rFonts w:ascii="Calibri" w:cs="Calibri" w:eastAsia="Calibri" w:hAnsi="Calibri"/>
          <w:b/>
          <w:bCs/>
          <w:color w:val="2E5FA3"/>
          <w:sz w:val="22"/>
          <w:szCs w:val="22"/>
          <w:u w:val="single" w:color="2E5FA3"/>
        </w:rPr>
        <w:t xml:space="preserve">[CORREO ELECTRÓNICO DEL EMISOR]</w:t>
      </w:r>
    </w:p>
    <w:p>
      <w:pPr>
        <w:spacing w:after="80" w:before="80"/>
        <w:jc w:val="center"/>
      </w:pPr>
      <w:r>
        <w:rPr>
          <w:rFonts w:ascii="Calibri" w:cs="Calibri" w:eastAsia="Calibri" w:hAnsi="Calibri"/>
          <w:b/>
          <w:bCs/>
          <w:color w:val="2E5FA3"/>
          <w:sz w:val="22"/>
          <w:szCs w:val="22"/>
        </w:rPr>
        <w:t xml:space="preserve">[TELÉFONO DEL EMISOR]</w:t>
      </w:r>
    </w:p>
    <w:p>
      <w:r>
        <w:br w:type="page"/>
      </w:r>
    </w:p>
    <w:p>
      <w:pPr>
        <w:pStyle w:val="Heading1"/>
        <w:shd w:fill="1F3864" w:color="1F3864" w:val="solid"/>
        <w:spacing w:after="200" w:before="400"/>
        <w:ind w:left="215" w:right="215"/>
      </w:pPr>
      <w:r>
        <w:rPr>
          <w:rFonts w:ascii="Calibri" w:cs="Calibri" w:eastAsia="Calibri" w:hAnsi="Calibri"/>
          <w:b/>
          <w:bCs/>
          <w:color w:val="FFFFFF"/>
          <w:sz w:val="28"/>
          <w:szCs w:val="28"/>
        </w:rPr>
        <w:t xml:space="preserve">12. Condiciones generales</w:t>
      </w:r>
    </w:p>
    <w:p>
      <w:pPr>
        <w:pStyle w:val="Heading2"/>
        <w:pBdr>
          <w:bottom w:val="single" w:color="4472C4" w:sz="4"/>
        </w:pBdr>
        <w:spacing w:after="100" w:before="300"/>
      </w:pPr>
      <w:r>
        <w:rPr>
          <w:rFonts w:ascii="Calibri" w:cs="Calibri" w:eastAsia="Calibri" w:hAnsi="Calibri"/>
          <w:b/>
          <w:bCs/>
          <w:color w:val="1F3864"/>
          <w:sz w:val="24"/>
          <w:szCs w:val="24"/>
        </w:rPr>
        <w:t xml:space="preserve">12.1 Validez de la oferta</w:t>
      </w:r>
    </w:p>
    <w:p>
      <w:pPr>
        <w:spacing w:after="80" w:before="80"/>
        <w:jc w:val="left"/>
      </w:pPr>
      <w:r>
        <w:rPr>
          <w:rFonts w:ascii="Calibri" w:cs="Calibri" w:eastAsia="Calibri" w:hAnsi="Calibri"/>
          <w:b w:val="false"/>
          <w:bCs w:val="false"/>
          <w:i w:val="false"/>
          <w:iCs w:val="false"/>
          <w:color w:val="1A1A1A"/>
          <w:sz w:val="20"/>
          <w:szCs w:val="20"/>
        </w:rPr>
        <w:t xml:space="preserve">Esta propuesta tiene una validez de 30 días naturales desde la fecha indicada en la portada. Transcurrido ese plazo, los precios y plazos podrán ser revisados.</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12.2 Propiedad intelectual</w:t>
      </w:r>
    </w:p>
    <w:p>
      <w:pPr>
        <w:spacing w:after="80" w:before="80"/>
        <w:jc w:val="left"/>
      </w:pPr>
      <w:r>
        <w:rPr>
          <w:rFonts w:ascii="Calibri" w:cs="Calibri" w:eastAsia="Calibri" w:hAnsi="Calibri"/>
          <w:b w:val="false"/>
          <w:bCs w:val="false"/>
          <w:i w:val="false"/>
          <w:iCs w:val="false"/>
          <w:color w:val="1A1A1A"/>
          <w:sz w:val="20"/>
          <w:szCs w:val="20"/>
        </w:rPr>
        <w:t xml:space="preserve">El código fuente entregado pasa a ser propiedad del cliente una vez liquidada la totalidad de la fase correspondiente. El proveedor conserva el derecho a reutilizar patrones genéricos y arquitectura en otros proyectos no competidores.</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12.3 Confidencialidad</w:t>
      </w:r>
    </w:p>
    <w:p>
      <w:pPr>
        <w:spacing w:after="80" w:before="80"/>
        <w:jc w:val="left"/>
      </w:pPr>
      <w:r>
        <w:rPr>
          <w:rFonts w:ascii="Calibri" w:cs="Calibri" w:eastAsia="Calibri" w:hAnsi="Calibri"/>
          <w:b w:val="false"/>
          <w:bCs w:val="false"/>
          <w:i w:val="false"/>
          <w:iCs w:val="false"/>
          <w:color w:val="1A1A1A"/>
          <w:sz w:val="20"/>
          <w:szCs w:val="20"/>
        </w:rPr>
        <w:t xml:space="preserve">Ambas partes se comprometen a mantener la confidencialidad sobre el contenido de esta propuesta, la información técnica compartida durante el proyecto y los datos del entorno del cliente.</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12.4 Cambios de alcance</w:t>
      </w:r>
    </w:p>
    <w:p>
      <w:pPr>
        <w:spacing w:after="80" w:before="80"/>
        <w:jc w:val="left"/>
      </w:pPr>
      <w:r>
        <w:rPr>
          <w:rFonts w:ascii="Calibri" w:cs="Calibri" w:eastAsia="Calibri" w:hAnsi="Calibri"/>
          <w:b w:val="false"/>
          <w:bCs w:val="false"/>
          <w:i w:val="false"/>
          <w:iCs w:val="false"/>
          <w:color w:val="1A1A1A"/>
          <w:sz w:val="20"/>
          <w:szCs w:val="20"/>
        </w:rPr>
        <w:t xml:space="preserve">Cualquier funcionalidad no descrita explícitamente en esta propuesta constituye un cambio de alcance y requerirá una oferta específica previa a su realización. No se realizará trabajo no presupuestado sin aprobación escrita del cliente.</w:t>
      </w:r>
    </w:p>
    <w:p>
      <w:pPr>
        <w:spacing w:after="80" w:before="80"/>
      </w:pPr>
    </w:p>
    <w:p>
      <w:pPr>
        <w:pStyle w:val="Heading2"/>
        <w:pBdr>
          <w:bottom w:val="single" w:color="4472C4" w:sz="4"/>
        </w:pBdr>
        <w:spacing w:after="100" w:before="300"/>
      </w:pPr>
      <w:r>
        <w:rPr>
          <w:rFonts w:ascii="Calibri" w:cs="Calibri" w:eastAsia="Calibri" w:hAnsi="Calibri"/>
          <w:b/>
          <w:bCs/>
          <w:color w:val="1F3864"/>
          <w:sz w:val="24"/>
          <w:szCs w:val="24"/>
        </w:rPr>
        <w:t xml:space="preserve">12.5 Garantía</w:t>
      </w:r>
    </w:p>
    <w:p>
      <w:pPr>
        <w:spacing w:after="80" w:before="80"/>
        <w:jc w:val="left"/>
      </w:pPr>
      <w:r>
        <w:rPr>
          <w:rFonts w:ascii="Calibri" w:cs="Calibri" w:eastAsia="Calibri" w:hAnsi="Calibri"/>
          <w:b w:val="false"/>
          <w:bCs w:val="false"/>
          <w:i w:val="false"/>
          <w:iCs w:val="false"/>
          <w:color w:val="1A1A1A"/>
          <w:sz w:val="20"/>
          <w:szCs w:val="20"/>
        </w:rPr>
        <w:t xml:space="preserve">Se garantiza la corrección de defectos en el código entregado durante un período de 60 días naturales tras la aceptación de cada fase, sin coste adicional para el cliente. Los defectos derivados de cambios en el entorno del cliente o de actualizaciones de Microsoft posteriores a la entrega quedan fuera de la garantía.</w:t>
      </w:r>
    </w:p>
    <w:p>
      <w:pPr>
        <w:spacing w:after="200" w:before="200"/>
      </w:pPr>
    </w:p>
    <w:p>
      <w:pPr>
        <w:spacing w:after="120" w:before="200"/>
        <w:jc w:val="center"/>
      </w:pPr>
      <w:r>
        <w:rPr>
          <w:rFonts w:ascii="Calibri" w:cs="Calibri" w:eastAsia="Calibri" w:hAnsi="Calibri"/>
          <w:b/>
          <w:bCs/>
          <w:color w:val="1F3864"/>
          <w:sz w:val="24"/>
          <w:szCs w:val="24"/>
        </w:rPr>
        <w:t xml:space="preserve">Aceptación de la propuesta</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pct" w:w="50%"/>
            <w:shd w:fill="1F3864" w:color="1F3864" w:val="solid"/>
            <w:vAlign w:val="center"/>
          </w:tcPr>
          <w:p>
            <w:pPr>
              <w:jc w:val="center"/>
            </w:pPr>
            <w:r>
              <w:rPr>
                <w:rFonts w:ascii="Calibri" w:cs="Calibri" w:eastAsia="Calibri" w:hAnsi="Calibri"/>
                <w:b/>
                <w:bCs/>
                <w:color w:val="FFFFFF"/>
                <w:sz w:val="18"/>
                <w:szCs w:val="18"/>
              </w:rPr>
              <w:t xml:space="preserve">Por el proveedor</w:t>
            </w:r>
          </w:p>
        </w:tc>
        <w:tc>
          <w:tcPr>
            <w:tcW w:type="pct" w:w="50%"/>
            <w:shd w:fill="1F3864" w:color="1F3864" w:val="solid"/>
            <w:vAlign w:val="center"/>
          </w:tcPr>
          <w:p>
            <w:pPr>
              <w:jc w:val="center"/>
            </w:pPr>
            <w:r>
              <w:rPr>
                <w:rFonts w:ascii="Calibri" w:cs="Calibri" w:eastAsia="Calibri" w:hAnsi="Calibri"/>
                <w:b/>
                <w:bCs/>
                <w:color w:val="FFFFFF"/>
                <w:sz w:val="18"/>
                <w:szCs w:val="18"/>
              </w:rPr>
              <w:t xml:space="preserve">Por el cliente</w:t>
            </w:r>
          </w:p>
        </w:tc>
      </w:tr>
      <w:tr>
        <w:tc>
          <w:tcPr>
            <w:tcW w:type="pct" w:w="5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Nombre: ____________________________</w:t>
            </w:r>
          </w:p>
        </w:tc>
        <w:tc>
          <w:tcPr>
            <w:tcW w:type="pct" w:w="5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Nombre: ____________________________</w:t>
            </w:r>
          </w:p>
        </w:tc>
      </w:tr>
      <w:tr>
        <w:tc>
          <w:tcPr>
            <w:tcW w:type="pct" w:w="5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Cargo: _____________________________</w:t>
            </w:r>
          </w:p>
        </w:tc>
        <w:tc>
          <w:tcPr>
            <w:tcW w:type="pct" w:w="5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Cargo: _____________________________</w:t>
            </w:r>
          </w:p>
        </w:tc>
      </w:tr>
      <w:tr>
        <w:tc>
          <w:tcPr>
            <w:tcW w:type="pct" w:w="5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Fecha: _____________________________</w:t>
            </w:r>
          </w:p>
        </w:tc>
        <w:tc>
          <w:tcPr>
            <w:tcW w:type="pct" w:w="50%"/>
            <w:shd w:fill="FFFFFF" w:color="FFFFFF"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Fecha: _____________________________</w:t>
            </w:r>
          </w:p>
        </w:tc>
      </w:tr>
      <w:tr>
        <w:tc>
          <w:tcPr>
            <w:tcW w:type="pct" w:w="5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Firma: _____________________________</w:t>
            </w:r>
          </w:p>
        </w:tc>
        <w:tc>
          <w:tcPr>
            <w:tcW w:type="pct" w:w="50%"/>
            <w:shd w:fill="F2F2F2" w:color="F2F2F2" w:val="solid"/>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Firma: _____________________________</w:t>
            </w:r>
          </w:p>
        </w:tc>
      </w:tr>
    </w:tbl>
    <w:sectPr>
      <w:headerReference w:type="default" r:id="rId7"/>
      <w:footerReference w:type="default" r:id="rId8"/>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2"/>
      </w:pBdr>
      <w:jc w:val="center"/>
    </w:pPr>
    <w:r>
      <w:rPr>
        <w:rFonts w:ascii="Calibri" w:cs="Calibri" w:eastAsia="Calibri" w:hAnsi="Calibri"/>
        <w:color w:val="404040"/>
        <w:sz w:val="16"/>
        <w:szCs w:val="16"/>
      </w:rPr>
      <w:t xml:space="preserve">Página </w:t>
    </w:r>
    <w:r>
      <w:rPr>
        <w:rFonts w:ascii="Calibri" w:cs="Calibri" w:eastAsia="Calibri" w:hAnsi="Calibri"/>
        <w:color w:val="404040"/>
        <w:sz w:val="16"/>
        <w:szCs w:val="16"/>
      </w:rPr>
      <w:fldChar w:fldCharType="begin"/>
      <w:instrText xml:space="preserve">PAGE</w:instrText>
      <w:fldChar w:fldCharType="separate"/>
      <w:fldChar w:fldCharType="end"/>
    </w:r>
    <w:r>
      <w:rPr>
        <w:rFonts w:ascii="Calibri" w:cs="Calibri" w:eastAsia="Calibri" w:hAnsi="Calibri"/>
        <w:color w:val="404040"/>
        <w:sz w:val="16"/>
        <w:szCs w:val="16"/>
      </w:rPr>
      <w:t xml:space="preserve"> de </w:t>
    </w:r>
    <w:r>
      <w:rPr>
        <w:rFonts w:ascii="Calibri" w:cs="Calibri" w:eastAsia="Calibri" w:hAnsi="Calibri"/>
        <w:color w:val="404040"/>
        <w:sz w:val="16"/>
        <w:szCs w:val="16"/>
      </w:rPr>
      <w:fldChar w:fldCharType="begin"/>
      <w:instrText xml:space="preserve">NUMPAGES</w:instrText>
      <w:fldChar w:fldCharType="separate"/>
      <w:fldChar w:fldCharType="end"/>
    </w:r>
    <w:r>
      <w:rPr>
        <w:rFonts w:ascii="Calibri" w:cs="Calibri" w:eastAsia="Calibri" w:hAnsi="Calibri"/>
        <w:i/>
        <w:iCs/>
        <w:color w:val="404040"/>
        <w:sz w:val="16"/>
        <w:szCs w:val="16"/>
      </w:rPr>
      <w:t xml:space="preserve">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2"/>
      </w:pBdr>
      <w:jc w:val="right"/>
    </w:pPr>
    <w:r>
      <w:rPr>
        <w:rFonts w:ascii="Calibri" w:cs="Calibri" w:eastAsia="Calibri" w:hAnsi="Calibri"/>
        <w:i/>
        <w:iCs/>
        <w:color w:val="404040"/>
        <w:sz w:val="16"/>
        <w:szCs w:val="16"/>
      </w:rPr>
      <w:t xml:space="preserve">DualUoM-BC — Propuesta Comercial Confidencial</w:t>
    </w:r>
    <w:r>
      <w:rPr>
        <w:rFonts w:ascii="Calibri" w:cs="Calibri" w:eastAsia="Calibri" w:hAnsi="Calibri"/>
        <w:i/>
        <w:iCs/>
        <w:color w:val="404040"/>
        <w:sz w:val="16"/>
        <w:szCs w:val="16"/>
      </w:rPr>
      <w:t xml:space="preserve">  ·  [NOMBRE DEL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FFFFFF"/>
      <w:sz w:val="28"/>
      <w:szCs w:val="28"/>
    </w:rPr>
  </w:style>
  <w:style w:type="paragraph" w:styleId="Heading2">
    <w:name w:val="Heading 2"/>
    <w:basedOn w:val="Normal"/>
    <w:next w:val="Normal"/>
    <w:qFormat/>
    <w:rPr>
      <w:rFonts w:ascii="Calibri" w:cs="Calibri" w:eastAsia="Calibri" w:hAnsi="Calibri"/>
      <w:b/>
      <w:bCs/>
      <w:color w:val="1F3864"/>
      <w:sz w:val="24"/>
      <w:szCs w:val="24"/>
    </w:rPr>
  </w:style>
  <w:style w:type="paragraph" w:styleId="Heading3">
    <w:name w:val="Heading 3"/>
    <w:basedOn w:val="Normal"/>
    <w:next w:val="Normal"/>
    <w:qFormat/>
    <w:rPr>
      <w:rFonts w:ascii="Calibri" w:cs="Calibri" w:eastAsia="Calibri" w:hAnsi="Calibri"/>
      <w:b/>
      <w:bCs/>
      <w:color w:val="2E5FA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DualUoM-BC — Propuesta Comercial</dc:title>
  <dc:subject>Propuesta Comercial DualUoM-BC</dc:subject>
  <dc:creator>DualUoM-BC Tools</dc:creator>
  <cp:keywords>DualUoM, Business Central, Segunda Unidad de Medida, SaaS, Propuesta</cp:keywords>
  <dc:description>Propuesta comercial de precio cerrado para la implantación de DualUoM-BC en Microsoft Dynamics 365 Business Central SaaS.</dc:description>
  <cp:lastModifiedBy>Un-named</cp:lastModifiedBy>
  <cp:revision>1</cp:revision>
  <dcterms:created xsi:type="dcterms:W3CDTF">2026-04-11T06:46:06.790Z</dcterms:created>
  <dcterms:modified xsi:type="dcterms:W3CDTF">2026-04-11T06:46:06.790Z</dcterms:modified>
</cp:coreProperties>
</file>

<file path=docProps/custom.xml><?xml version="1.0" encoding="utf-8"?>
<Properties xmlns="http://schemas.openxmlformats.org/officeDocument/2006/custom-properties" xmlns:vt="http://schemas.openxmlformats.org/officeDocument/2006/docPropsVTypes"/>
</file>