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0" w:lineRule="exact" w:line="579"/>
        <w:jc w:val="center"/>
      </w:pPr>
      <w:r>
        <w:rPr>
          <w:rFonts w:ascii="STZhongsong" w:hAnsi="STZhongsong" w:eastAsia="华文中宋"/>
          <w:b/>
          <w:color w:val="FF0000"/>
          <w:sz w:val="52"/>
        </w:rPr>
        <w:t>国务院办公厅</w:t>
      </w:r>
    </w:p>
    <w:p>
      <w:pPr>
        <w:spacing w:before="40" w:after="40" w:line="120" w:lineRule="exact"/>
        <w:jc w:val="center"/>
        <w:pBdr>
          <w:bottom w:val="single" w:sz="12" w:space="1" w:color="FF0000"/>
        </w:pBdr>
      </w:pPr>
    </w:p>
    <w:p>
      <w:pPr>
        <w:spacing w:before="120" w:after="120" w:lineRule="exact" w:line="579"/>
        <w:jc w:val="center"/>
      </w:pPr>
      <w:r>
        <w:rPr>
          <w:rFonts w:ascii="FangSong" w:hAnsi="FangSong" w:eastAsia="仿宋"/>
          <w:sz w:val="32"/>
        </w:rPr>
        <w:t>国办发〔2026〕15号</w:t>
      </w:r>
    </w:p>
    <w:p>
      <w:pPr>
        <w:spacing w:before="40" w:after="40" w:line="120" w:lineRule="exact"/>
        <w:jc w:val="center"/>
        <w:pBdr>
          <w:bottom w:val="single" w:sz="12" w:space="1" w:color="FF0000"/>
        </w:pBdr>
      </w:pPr>
    </w:p>
    <w:p>
      <w:pPr>
        <w:spacing w:before="320" w:after="160" w:lineRule="exact" w:line="640"/>
        <w:jc w:val="center"/>
      </w:pPr>
      <w:r>
        <w:rPr>
          <w:rFonts w:ascii="STZhongsong" w:hAnsi="STZhongsong" w:eastAsia="华文中宋"/>
          <w:b/>
          <w:color w:val="FF0000"/>
          <w:sz w:val="44"/>
        </w:rPr>
        <w:t>关于加快推进数字化转型的通知</w:t>
      </w:r>
    </w:p>
    <w:p>
      <w:pPr>
        <w:spacing w:before="160" w:after="0" w:lineRule="exact" w:line="579"/>
        <w:ind w:firstLine="0"/>
        <w:jc w:val="left"/>
      </w:pPr>
      <w:r>
        <w:rPr>
          <w:rFonts w:ascii="FangSong" w:hAnsi="FangSong" w:eastAsia="仿宋"/>
          <w:sz w:val="32"/>
        </w:rPr>
        <w:t>各省、自治区、直辖市人民政府，国务院各部委、各直属机构：</w:t>
      </w:r>
    </w:p>
    <w:p>
      <w:pPr>
        <w:spacing w:lineRule="exact" w:line="579"/>
        <w:ind w:firstLine="640"/>
        <w:jc w:val="left"/>
      </w:pPr>
      <w:r>
        <w:rPr>
          <w:rFonts w:ascii="FangSong" w:hAnsi="FangSong" w:eastAsia="仿宋"/>
          <w:sz w:val="32"/>
        </w:rPr>
        <w:t>为深入贯彻落实党中央、国务院关于数字中国建设的决策部署，加快推进各领域数字化转型，经国务院同意，现就有关事项通知如下：</w:t>
      </w:r>
    </w:p>
    <w:p>
      <w:pPr>
        <w:spacing w:before="160" w:after="0" w:lineRule="exact" w:line="579"/>
        <w:ind w:firstLine="640"/>
        <w:jc w:val="left"/>
      </w:pPr>
      <w:r>
        <w:rPr>
          <w:rFonts w:ascii="SimHei" w:hAnsi="SimHei" w:eastAsia="黑体"/>
          <w:b/>
          <w:sz w:val="32"/>
        </w:rPr>
        <w:t>一、总体要求</w:t>
      </w:r>
    </w:p>
    <w:p>
      <w:pPr>
        <w:spacing w:lineRule="exact" w:line="579"/>
        <w:ind w:firstLine="640"/>
        <w:jc w:val="left"/>
      </w:pPr>
      <w:r>
        <w:rPr>
          <w:rFonts w:ascii="FangSong" w:hAnsi="FangSong" w:eastAsia="仿宋"/>
          <w:sz w:val="32"/>
        </w:rPr>
        <w:t>坚持以习近平新时代中国特色社会主义思想为指导，全面贯彻党的二十大精神，完整、准确、全面贯彻新发展理念，加快构建新发展格局，以推动高质量发展为主题，以深化供给侧结构性改革为主线，以满足人民日益增长的美好生活需要为根本目的。</w:t>
      </w:r>
    </w:p>
    <w:p>
      <w:pPr>
        <w:spacing w:before="80" w:after="0" w:lineRule="exact" w:line="579"/>
        <w:ind w:firstLine="640"/>
        <w:jc w:val="left"/>
      </w:pPr>
      <w:r>
        <w:rPr>
          <w:rFonts w:ascii="KaiTi" w:hAnsi="KaiTi" w:eastAsia="楷体"/>
          <w:sz w:val="32"/>
        </w:rPr>
        <w:t>（一）基本原则</w:t>
      </w:r>
    </w:p>
    <w:p>
      <w:pPr>
        <w:spacing w:lineRule="exact" w:line="579"/>
        <w:ind w:firstLine="640"/>
        <w:jc w:val="left"/>
      </w:pPr>
      <w:r>
        <w:rPr>
          <w:rFonts w:ascii="FangSong" w:hAnsi="FangSong" w:eastAsia="仿宋"/>
          <w:sz w:val="32"/>
        </w:rPr>
        <w:t>坚持统筹规划、分步实施。加强顶层设计和系统谋划，明确数字化转型的目标、路径和重点任务，分阶段、分步骤有序推进。</w:t>
      </w:r>
    </w:p>
    <w:p>
      <w:pPr>
        <w:spacing w:before="80" w:after="0" w:lineRule="exact" w:line="579"/>
        <w:ind w:firstLine="640"/>
        <w:jc w:val="left"/>
      </w:pPr>
      <w:r>
        <w:rPr>
          <w:rFonts w:ascii="KaiTi" w:hAnsi="KaiTi" w:eastAsia="楷体"/>
          <w:sz w:val="32"/>
        </w:rPr>
        <w:t>（二）发展目标</w:t>
      </w:r>
    </w:p>
    <w:p>
      <w:pPr>
        <w:spacing w:lineRule="exact" w:line="579"/>
        <w:ind w:firstLine="640"/>
        <w:jc w:val="left"/>
      </w:pPr>
      <w:r>
        <w:rPr>
          <w:rFonts w:ascii="FangSong" w:hAnsi="FangSong" w:eastAsia="仿宋"/>
          <w:sz w:val="32"/>
        </w:rPr>
        <w:t>到2027年，数字化转型取得显著成效。数字经济核心产业增加值占GDP比重达到12%以上，关键业务环节全面数字化的企业比例达到65%以上。</w:t>
      </w:r>
    </w:p>
    <w:p>
      <w:pPr>
        <w:spacing w:before="80" w:after="0" w:lineRule="exact" w:line="579"/>
        <w:ind w:firstLine="640"/>
        <w:jc w:val="left"/>
      </w:pPr>
      <w:r>
        <w:rPr>
          <w:rFonts w:ascii="FangSong" w:hAnsi="FangSong" w:eastAsia="仿宋"/>
          <w:b/>
          <w:sz w:val="32"/>
        </w:rPr>
        <w:t>1. 近期目标</w:t>
      </w:r>
    </w:p>
    <w:p>
      <w:pPr>
        <w:spacing w:lineRule="exact" w:line="579"/>
        <w:ind w:firstLine="640"/>
        <w:jc w:val="left"/>
      </w:pPr>
      <w:r>
        <w:rPr>
          <w:rFonts w:ascii="FangSong" w:hAnsi="FangSong" w:eastAsia="仿宋"/>
          <w:sz w:val="32"/>
        </w:rPr>
        <w:t>到2025年底，各重点领域数字化转型实施方案全部出台，示范引领作用初步显现。</w:t>
      </w:r>
    </w:p>
    <w:p>
      <w:pPr>
        <w:spacing w:before="80" w:after="0" w:lineRule="exact" w:line="579"/>
        <w:ind w:firstLine="640"/>
        <w:jc w:val="left"/>
      </w:pPr>
      <w:r>
        <w:rPr>
          <w:rFonts w:ascii="FangSong" w:hAnsi="FangSong" w:eastAsia="仿宋"/>
          <w:b/>
          <w:sz w:val="32"/>
        </w:rPr>
        <w:t>2. 远期目标</w:t>
      </w:r>
    </w:p>
    <w:p>
      <w:pPr>
        <w:spacing w:lineRule="exact" w:line="579"/>
        <w:ind w:firstLine="640"/>
        <w:jc w:val="left"/>
      </w:pPr>
      <w:r>
        <w:rPr>
          <w:rFonts w:ascii="FangSong" w:hAnsi="FangSong" w:eastAsia="仿宋"/>
          <w:sz w:val="32"/>
        </w:rPr>
        <w:t>到2030年，数字化转型整体迈上新台阶，为全面建设社会主义现代化国家提供有力支撑。</w:t>
      </w:r>
    </w:p>
    <w:p>
      <w:pPr>
        <w:spacing w:before="160" w:after="0" w:lineRule="exact" w:line="579"/>
        <w:ind w:firstLine="640"/>
        <w:jc w:val="left"/>
      </w:pPr>
      <w:r>
        <w:rPr>
          <w:rFonts w:ascii="SimHei" w:hAnsi="SimHei" w:eastAsia="黑体"/>
          <w:b/>
          <w:sz w:val="32"/>
        </w:rPr>
        <w:t>二、重点任务</w:t>
      </w:r>
    </w:p>
    <w:p>
      <w:pPr>
        <w:spacing w:before="80" w:after="0" w:lineRule="exact" w:line="579"/>
        <w:ind w:firstLine="640"/>
        <w:jc w:val="left"/>
      </w:pPr>
      <w:r>
        <w:rPr>
          <w:rFonts w:ascii="KaiTi" w:hAnsi="KaiTi" w:eastAsia="楷体"/>
          <w:sz w:val="32"/>
        </w:rPr>
        <w:t>（一）推进产业数字化转型</w:t>
      </w:r>
    </w:p>
    <w:p>
      <w:pPr>
        <w:spacing w:lineRule="exact" w:line="579"/>
        <w:ind w:firstLine="640"/>
        <w:jc w:val="left"/>
      </w:pPr>
      <w:r>
        <w:rPr>
          <w:rFonts w:ascii="FangSong" w:hAnsi="FangSong" w:eastAsia="仿宋"/>
          <w:sz w:val="32"/>
        </w:rPr>
        <w:t>加快制造业数字化转型步伐。深入实施智能制造工程，推动工业互联网创新发展，培育一批数字化转型标杆企业。</w:t>
      </w:r>
    </w:p>
    <w:p>
      <w:pPr>
        <w:spacing w:before="80" w:after="0" w:lineRule="exact" w:line="579"/>
        <w:ind w:firstLine="640"/>
        <w:jc w:val="left"/>
      </w:pPr>
      <w:r>
        <w:rPr>
          <w:rFonts w:ascii="KaiTi" w:hAnsi="KaiTi" w:eastAsia="楷体"/>
          <w:sz w:val="32"/>
        </w:rPr>
        <w:t>（二）加快数字产业化发展</w:t>
      </w:r>
    </w:p>
    <w:p>
      <w:pPr>
        <w:spacing w:lineRule="exact" w:line="579"/>
        <w:ind w:firstLine="640"/>
        <w:jc w:val="left"/>
      </w:pPr>
      <w:r>
        <w:rPr>
          <w:rFonts w:ascii="FangSong" w:hAnsi="FangSong" w:eastAsia="仿宋"/>
          <w:sz w:val="32"/>
        </w:rPr>
        <w:t>做强做优做大数字经济。培育壮大人工智能、大数据、云计算、区块链等新兴数字产业。</w:t>
      </w:r>
    </w:p>
    <w:p>
      <w:pPr>
        <w:spacing w:before="160" w:after="0" w:lineRule="exact" w:line="579"/>
        <w:ind w:firstLine="640"/>
        <w:jc w:val="left"/>
      </w:pPr>
      <w:r>
        <w:rPr>
          <w:rFonts w:ascii="SimHei" w:hAnsi="SimHei" w:eastAsia="黑体"/>
          <w:b/>
          <w:sz w:val="32"/>
        </w:rPr>
        <w:t>三、保障措施</w:t>
      </w:r>
    </w:p>
    <w:p>
      <w:pPr>
        <w:spacing w:lineRule="exact" w:line="579"/>
        <w:ind w:firstLine="640"/>
        <w:jc w:val="left"/>
      </w:pPr>
      <w:r>
        <w:rPr>
          <w:rFonts w:ascii="FangSong" w:hAnsi="FangSong" w:eastAsia="仿宋"/>
          <w:sz w:val="32"/>
        </w:rPr>
        <w:t>各地区、各部门要高度重视数字化转型工作，加强组织领导，明确责任分工，确保各项任务落到实处。国务院有关部门要加强统筹协调和督促检查，重大情况及时报告国务院。</w:t>
      </w:r>
    </w:p>
    <w:p>
      <w:pPr>
        <w:spacing w:before="160" w:lineRule="exact" w:line="579"/>
        <w:jc w:val="left"/>
      </w:pPr>
      <w:r>
        <w:rPr>
          <w:rFonts w:ascii="FangSong" w:hAnsi="FangSong" w:eastAsia="仿宋"/>
          <w:sz w:val="32"/>
        </w:rPr>
      </w:r>
    </w:p>
    <w:p>
      <w:pPr>
        <w:spacing w:lineRule="exact" w:line="579"/>
        <w:ind w:firstLine="640"/>
        <w:jc w:val="left"/>
      </w:pPr>
      <w:r>
        <w:rPr>
          <w:rFonts w:ascii="FangSong" w:hAnsi="FangSong" w:eastAsia="仿宋"/>
          <w:sz w:val="32"/>
        </w:rPr>
        <w:t>附件：1. 数字化转型重点任务分工方案</w:t>
      </w:r>
    </w:p>
    <w:p>
      <w:pPr>
        <w:spacing w:before="320" w:lineRule="exact" w:line="579"/>
        <w:jc w:val="left"/>
      </w:pPr>
      <w:r>
        <w:rPr>
          <w:rFonts w:ascii="FangSong" w:hAnsi="FangSong" w:eastAsia="仿宋"/>
          <w:sz w:val="32"/>
        </w:rPr>
      </w:r>
    </w:p>
    <w:p>
      <w:pPr>
        <w:spacing w:lineRule="exact" w:line="579"/>
        <w:ind w:right="1587"/>
        <w:jc w:val="right"/>
      </w:pPr>
      <w:r>
        <w:rPr>
          <w:rFonts w:ascii="FangSong" w:hAnsi="FangSong" w:eastAsia="仿宋"/>
          <w:sz w:val="32"/>
        </w:rPr>
        <w:t>国务院办公厅</w:t>
      </w:r>
    </w:p>
    <w:p>
      <w:pPr>
        <w:spacing w:lineRule="exact" w:line="579"/>
        <w:ind w:right="1587"/>
        <w:jc w:val="right"/>
      </w:pPr>
      <w:r>
        <w:rPr>
          <w:rFonts w:ascii="FangSong" w:hAnsi="FangSong" w:eastAsia="仿宋"/>
          <w:sz w:val="32"/>
        </w:rPr>
        <w:t>2026年5月26日</w:t>
      </w:r>
    </w:p>
    <w:p>
      <w:pPr>
        <w:spacing w:lineRule="exact" w:line="579"/>
        <w:ind w:firstLine="640"/>
        <w:jc w:val="left"/>
      </w:pPr>
      <w:r>
        <w:rPr>
          <w:rFonts w:ascii="FangSong" w:hAnsi="FangSong" w:eastAsia="仿宋"/>
          <w:sz w:val="32"/>
        </w:rPr>
        <w:t>（此件公开发布）</w:t>
      </w:r>
    </w:p>
    <w:p>
      <w:pPr>
        <w:spacing w:before="160" w:after="40" w:line="120" w:lineRule="exact"/>
        <w:pBdr>
          <w:top w:val="single" w:sz="6" w:space="1" w:color="000000"/>
        </w:pBdr>
      </w:pPr>
    </w:p>
    <w:p>
      <w:pPr>
        <w:spacing w:before="80" w:lineRule="exact" w:line="579"/>
        <w:jc w:val="left"/>
      </w:pPr>
      <w:r>
        <w:rPr>
          <w:rFonts w:ascii="FangSong" w:hAnsi="FangSong" w:eastAsia="仿宋"/>
          <w:sz w:val="28"/>
        </w:rPr>
        <w:t>抄送：中央办公厅，全国人大常委会办公厅，全国政协办公厅，国务院各部门，各民主党派中央。</w:t>
      </w:r>
    </w:p>
    <w:p>
      <w:pPr>
        <w:spacing w:before="80" w:lineRule="exact" w:line="579"/>
        <w:jc w:val="left"/>
      </w:pPr>
      <w:r>
        <w:rPr>
          <w:rFonts w:ascii="FangSong" w:hAnsi="FangSong" w:eastAsia="仿宋"/>
          <w:sz w:val="28"/>
        </w:rPr>
        <w:t>国务院办公厅秘书局　　　　2026年5月27日印发</w:t>
      </w:r>
    </w:p>
    <w:sectPr w:rsidR="00FC693F" w:rsidRPr="0006063C" w:rsidSect="00034616">
      <w:footerReference w:type="default" r:id="rId9"/>
      <w:pgSz w:w="11906" w:h="16838"/>
      <w:pgMar w:top="2098" w:right="1474" w:bottom="1984" w:left="1587" w:header="850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FangSong" w:hAnsi="FangSong" w:eastAsia="仿宋"/>
        <w:sz w:val="28"/>
      </w:rPr>
      <w:t xml:space="preserve">— </w:t>
    </w:r>
    <w:fldSimple w:instr=" PAGE \* MERGEFORMAT ">
      <w:r>
        <w:rPr>
          <w:rFonts w:ascii="FangSong" w:hAnsi="FangSong" w:eastAsia="仿宋"/>
          <w:sz w:val="28"/>
        </w:rPr>
        <w:t>1</w:t>
      </w:r>
    </w:fldSimple>
    <w:r>
      <w:rPr>
        <w:rFonts w:ascii="FangSong" w:hAnsi="FangSong" w:eastAsia="仿宋"/>
        <w:sz w:val="2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579" w:before="0" w:after="0"/>
    </w:pPr>
    <w:rPr>
      <w:rFonts w:ascii="FangSong" w:hAnsi="FangSong" w:eastAsia="仿宋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