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7413"/>
        <w:gridCol w:w="2915"/>
      </w:tblGrid>
      <w:tr w:rsidR="00541B65" w:rsidRPr="00541B65" w:rsidTr="00BC778A">
        <w:trPr>
          <w:trHeight w:val="823"/>
        </w:trPr>
        <w:tc>
          <w:tcPr>
            <w:tcW w:w="10328" w:type="dxa"/>
            <w:gridSpan w:val="2"/>
            <w:tcBorders>
              <w:top w:val="nil"/>
              <w:left w:val="nil"/>
              <w:bottom w:val="nil"/>
              <w:right w:val="nil"/>
            </w:tcBorders>
            <w:tcMar>
              <w:top w:w="28" w:type="dxa"/>
              <w:left w:w="102" w:type="dxa"/>
              <w:bottom w:w="28" w:type="dxa"/>
              <w:right w:w="102" w:type="dxa"/>
            </w:tcMar>
            <w:vAlign w:val="center"/>
            <w:hideMark/>
          </w:tcPr>
          <w:p w:rsidR="00541B65" w:rsidRPr="00BC778A" w:rsidRDefault="00541B65" w:rsidP="00541B65">
            <w:pPr>
              <w:shd w:val="clear" w:color="auto" w:fill="FFFFFF"/>
              <w:spacing w:line="384" w:lineRule="auto"/>
              <w:jc w:val="center"/>
              <w:textAlignment w:val="baseline"/>
              <w:rPr>
                <w:rFonts w:ascii="굴림" w:eastAsia="굴림" w:hAnsi="굴림" w:cs="굴림"/>
                <w:color w:val="000000"/>
                <w:kern w:val="0"/>
                <w:sz w:val="48"/>
                <w:szCs w:val="48"/>
                <w:u w:val="single"/>
              </w:rPr>
            </w:pPr>
            <w:r w:rsidRPr="00BC778A">
              <w:rPr>
                <w:rFonts w:ascii="굴림" w:eastAsia="휴먼둥근헤드라인" w:hAnsi="굴림" w:cs="굴림"/>
                <w:color w:val="000000"/>
                <w:kern w:val="0"/>
                <w:sz w:val="48"/>
                <w:szCs w:val="48"/>
                <w:u w:val="single"/>
                <w:shd w:val="clear" w:color="auto" w:fill="FFFFFF"/>
              </w:rPr>
              <w:t>태</w:t>
            </w:r>
            <w:r w:rsidRPr="00BC778A">
              <w:rPr>
                <w:rFonts w:ascii="굴림" w:eastAsia="휴먼둥근헤드라인" w:hAnsi="굴림" w:cs="굴림"/>
                <w:color w:val="000000"/>
                <w:kern w:val="0"/>
                <w:sz w:val="48"/>
                <w:szCs w:val="48"/>
                <w:u w:val="single"/>
                <w:shd w:val="clear" w:color="auto" w:fill="FFFFFF"/>
              </w:rPr>
              <w:t xml:space="preserve"> </w:t>
            </w:r>
            <w:r w:rsidRPr="00BC778A">
              <w:rPr>
                <w:rFonts w:ascii="굴림" w:eastAsia="휴먼둥근헤드라인" w:hAnsi="굴림" w:cs="굴림"/>
                <w:color w:val="000000"/>
                <w:kern w:val="0"/>
                <w:sz w:val="48"/>
                <w:szCs w:val="48"/>
                <w:u w:val="single"/>
                <w:shd w:val="clear" w:color="auto" w:fill="FFFFFF"/>
              </w:rPr>
              <w:t>양</w:t>
            </w:r>
            <w:r w:rsidRPr="00BC778A">
              <w:rPr>
                <w:rFonts w:ascii="굴림" w:eastAsia="휴먼둥근헤드라인" w:hAnsi="굴림" w:cs="굴림"/>
                <w:color w:val="000000"/>
                <w:kern w:val="0"/>
                <w:sz w:val="48"/>
                <w:szCs w:val="48"/>
                <w:u w:val="single"/>
                <w:shd w:val="clear" w:color="auto" w:fill="FFFFFF"/>
              </w:rPr>
              <w:t xml:space="preserve"> </w:t>
            </w:r>
            <w:r w:rsidRPr="00BC778A">
              <w:rPr>
                <w:rFonts w:ascii="굴림" w:eastAsia="휴먼둥근헤드라인" w:hAnsi="굴림" w:cs="굴림"/>
                <w:color w:val="000000"/>
                <w:kern w:val="0"/>
                <w:sz w:val="48"/>
                <w:szCs w:val="48"/>
                <w:u w:val="single"/>
                <w:shd w:val="clear" w:color="auto" w:fill="FFFFFF"/>
              </w:rPr>
              <w:t>광</w:t>
            </w:r>
            <w:r w:rsidRPr="00BC778A">
              <w:rPr>
                <w:rFonts w:ascii="굴림" w:eastAsia="휴먼둥근헤드라인" w:hAnsi="굴림" w:cs="굴림"/>
                <w:color w:val="000000"/>
                <w:kern w:val="0"/>
                <w:sz w:val="48"/>
                <w:szCs w:val="48"/>
                <w:u w:val="single"/>
                <w:shd w:val="clear" w:color="auto" w:fill="FFFFFF"/>
              </w:rPr>
              <w:t xml:space="preserve"> </w:t>
            </w:r>
            <w:r w:rsidRPr="00BC778A">
              <w:rPr>
                <w:rFonts w:ascii="굴림" w:eastAsia="휴먼둥근헤드라인" w:hAnsi="굴림" w:cs="굴림"/>
                <w:color w:val="000000"/>
                <w:kern w:val="0"/>
                <w:sz w:val="48"/>
                <w:szCs w:val="48"/>
                <w:u w:val="single"/>
                <w:shd w:val="clear" w:color="auto" w:fill="FFFFFF"/>
              </w:rPr>
              <w:t>뉴</w:t>
            </w:r>
            <w:r w:rsidRPr="00BC778A">
              <w:rPr>
                <w:rFonts w:ascii="굴림" w:eastAsia="휴먼둥근헤드라인" w:hAnsi="굴림" w:cs="굴림"/>
                <w:color w:val="000000"/>
                <w:kern w:val="0"/>
                <w:sz w:val="48"/>
                <w:szCs w:val="48"/>
                <w:u w:val="single"/>
                <w:shd w:val="clear" w:color="auto" w:fill="FFFFFF"/>
              </w:rPr>
              <w:t xml:space="preserve"> </w:t>
            </w:r>
            <w:r w:rsidRPr="00BC778A">
              <w:rPr>
                <w:rFonts w:ascii="굴림" w:eastAsia="휴먼둥근헤드라인" w:hAnsi="굴림" w:cs="굴림"/>
                <w:color w:val="000000"/>
                <w:kern w:val="0"/>
                <w:sz w:val="48"/>
                <w:szCs w:val="48"/>
                <w:u w:val="single"/>
                <w:shd w:val="clear" w:color="auto" w:fill="FFFFFF"/>
              </w:rPr>
              <w:t>스</w:t>
            </w:r>
          </w:p>
        </w:tc>
      </w:tr>
      <w:tr w:rsidR="00541B65" w:rsidRPr="00541B65" w:rsidTr="00541B65">
        <w:trPr>
          <w:trHeight w:val="357"/>
        </w:trPr>
        <w:tc>
          <w:tcPr>
            <w:tcW w:w="7413" w:type="dxa"/>
            <w:tcBorders>
              <w:top w:val="nil"/>
              <w:left w:val="nil"/>
              <w:bottom w:val="single" w:sz="2" w:space="0" w:color="000000"/>
              <w:right w:val="nil"/>
            </w:tcBorders>
            <w:tcMar>
              <w:top w:w="28" w:type="dxa"/>
              <w:left w:w="102" w:type="dxa"/>
              <w:bottom w:w="28" w:type="dxa"/>
              <w:right w:w="102" w:type="dxa"/>
            </w:tcMar>
            <w:vAlign w:val="center"/>
            <w:hideMark/>
          </w:tcPr>
          <w:p w:rsidR="00541B65" w:rsidRPr="00541B65" w:rsidRDefault="00541B65" w:rsidP="00541B65">
            <w:pPr>
              <w:shd w:val="clear" w:color="auto" w:fill="FFFFFF"/>
              <w:spacing w:line="384" w:lineRule="auto"/>
              <w:textAlignment w:val="baseline"/>
              <w:rPr>
                <w:rFonts w:ascii="굴림" w:eastAsia="굴림" w:hAnsi="굴림" w:cs="굴림"/>
                <w:color w:val="000000"/>
                <w:kern w:val="0"/>
                <w:szCs w:val="20"/>
              </w:rPr>
            </w:pPr>
            <w:r w:rsidRPr="00541B65">
              <w:rPr>
                <w:rFonts w:ascii="굴림" w:eastAsia="굴림" w:hAnsi="굴림" w:cs="굴림"/>
                <w:noProof/>
                <w:color w:val="000000"/>
                <w:kern w:val="0"/>
                <w:szCs w:val="20"/>
              </w:rPr>
              <w:drawing>
                <wp:inline distT="0" distB="0" distL="0" distR="0" wp14:anchorId="16FCE855" wp14:editId="7F69D4C0">
                  <wp:extent cx="1543050" cy="238125"/>
                  <wp:effectExtent l="0" t="0" r="0" b="9525"/>
                  <wp:docPr id="1" name="_x206743064" descr="EMB00000d14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6743064" descr="EMB00000d1404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238125"/>
                          </a:xfrm>
                          <a:prstGeom prst="rect">
                            <a:avLst/>
                          </a:prstGeom>
                          <a:noFill/>
                          <a:ln>
                            <a:noFill/>
                          </a:ln>
                        </pic:spPr>
                      </pic:pic>
                    </a:graphicData>
                  </a:graphic>
                </wp:inline>
              </w:drawing>
            </w:r>
          </w:p>
        </w:tc>
        <w:tc>
          <w:tcPr>
            <w:tcW w:w="2915" w:type="dxa"/>
            <w:tcBorders>
              <w:top w:val="nil"/>
              <w:left w:val="nil"/>
              <w:bottom w:val="single" w:sz="2" w:space="0" w:color="000000"/>
              <w:right w:val="nil"/>
            </w:tcBorders>
            <w:tcMar>
              <w:top w:w="28" w:type="dxa"/>
              <w:left w:w="102" w:type="dxa"/>
              <w:bottom w:w="28" w:type="dxa"/>
              <w:right w:w="102" w:type="dxa"/>
            </w:tcMar>
            <w:vAlign w:val="center"/>
            <w:hideMark/>
          </w:tcPr>
          <w:p w:rsidR="00541B65" w:rsidRPr="00BC778A" w:rsidRDefault="00541B65" w:rsidP="0091615D">
            <w:pPr>
              <w:shd w:val="clear" w:color="auto" w:fill="FFFFFF"/>
              <w:spacing w:line="384" w:lineRule="auto"/>
              <w:jc w:val="right"/>
              <w:textAlignment w:val="baseline"/>
              <w:rPr>
                <w:rFonts w:ascii="굴림" w:eastAsia="굴림" w:hAnsi="굴림" w:cs="굴림"/>
                <w:b/>
                <w:color w:val="000000"/>
                <w:kern w:val="0"/>
                <w:sz w:val="16"/>
                <w:szCs w:val="16"/>
              </w:rPr>
            </w:pPr>
            <w:r w:rsidRPr="00BC778A">
              <w:rPr>
                <w:rFonts w:ascii="굴림" w:eastAsia="함초롬바탕" w:hAnsi="굴림" w:cs="굴림"/>
                <w:b/>
                <w:color w:val="000000"/>
                <w:kern w:val="0"/>
                <w:sz w:val="16"/>
                <w:szCs w:val="16"/>
                <w:shd w:val="clear" w:color="auto" w:fill="FFFFFF"/>
              </w:rPr>
              <w:t>제</w:t>
            </w:r>
            <w:r w:rsidR="009E0F6B">
              <w:rPr>
                <w:rFonts w:ascii="함초롬바탕" w:eastAsia="함초롬바탕" w:hAnsi="함초롬바탕" w:cs="함초롬바탕" w:hint="eastAsia"/>
                <w:b/>
                <w:color w:val="000000"/>
                <w:kern w:val="0"/>
                <w:sz w:val="16"/>
                <w:szCs w:val="16"/>
                <w:shd w:val="clear" w:color="auto" w:fill="FFFFFF"/>
              </w:rPr>
              <w:t>51</w:t>
            </w:r>
            <w:r w:rsidRPr="00BC778A">
              <w:rPr>
                <w:rFonts w:ascii="굴림" w:eastAsia="함초롬바탕" w:hAnsi="굴림" w:cs="굴림"/>
                <w:b/>
                <w:color w:val="000000"/>
                <w:kern w:val="0"/>
                <w:sz w:val="16"/>
                <w:szCs w:val="16"/>
                <w:shd w:val="clear" w:color="auto" w:fill="FFFFFF"/>
              </w:rPr>
              <w:t>호</w:t>
            </w:r>
            <w:r w:rsidRPr="00BC778A">
              <w:rPr>
                <w:rFonts w:ascii="굴림" w:eastAsia="함초롬바탕" w:hAnsi="굴림" w:cs="굴림"/>
                <w:b/>
                <w:color w:val="000000"/>
                <w:kern w:val="0"/>
                <w:sz w:val="16"/>
                <w:szCs w:val="16"/>
                <w:shd w:val="clear" w:color="auto" w:fill="FFFFFF"/>
              </w:rPr>
              <w:t xml:space="preserve"> </w:t>
            </w:r>
            <w:r w:rsidRPr="00BC778A">
              <w:rPr>
                <w:rFonts w:ascii="함초롬바탕" w:eastAsia="함초롬바탕" w:hAnsi="함초롬바탕" w:cs="함초롬바탕" w:hint="eastAsia"/>
                <w:b/>
                <w:bCs/>
                <w:color w:val="000000"/>
                <w:kern w:val="0"/>
                <w:sz w:val="16"/>
                <w:szCs w:val="16"/>
                <w:shd w:val="clear" w:color="auto" w:fill="FFFFFF"/>
              </w:rPr>
              <w:t>2012</w:t>
            </w:r>
            <w:r w:rsidRPr="00BC778A">
              <w:rPr>
                <w:rFonts w:ascii="굴림" w:eastAsia="함초롬바탕" w:hAnsi="굴림" w:cs="굴림"/>
                <w:b/>
                <w:color w:val="000000"/>
                <w:kern w:val="0"/>
                <w:sz w:val="16"/>
                <w:szCs w:val="16"/>
                <w:shd w:val="clear" w:color="auto" w:fill="FFFFFF"/>
              </w:rPr>
              <w:t>년</w:t>
            </w:r>
            <w:r w:rsidRPr="00BC778A">
              <w:rPr>
                <w:rFonts w:ascii="굴림" w:eastAsia="함초롬바탕" w:hAnsi="굴림" w:cs="굴림"/>
                <w:b/>
                <w:color w:val="000000"/>
                <w:kern w:val="0"/>
                <w:sz w:val="16"/>
                <w:szCs w:val="16"/>
                <w:shd w:val="clear" w:color="auto" w:fill="FFFFFF"/>
              </w:rPr>
              <w:t xml:space="preserve"> </w:t>
            </w:r>
            <w:r w:rsidR="008202A9">
              <w:rPr>
                <w:rFonts w:ascii="함초롬바탕" w:eastAsia="함초롬바탕" w:hAnsi="함초롬바탕" w:cs="함초롬바탕" w:hint="eastAsia"/>
                <w:b/>
                <w:bCs/>
                <w:color w:val="000000"/>
                <w:kern w:val="0"/>
                <w:sz w:val="16"/>
                <w:szCs w:val="16"/>
                <w:shd w:val="clear" w:color="auto" w:fill="FFFFFF"/>
              </w:rPr>
              <w:t>12</w:t>
            </w:r>
            <w:r w:rsidRPr="00BC778A">
              <w:rPr>
                <w:rFonts w:ascii="굴림" w:eastAsia="함초롬바탕" w:hAnsi="굴림" w:cs="굴림"/>
                <w:b/>
                <w:color w:val="000000"/>
                <w:kern w:val="0"/>
                <w:sz w:val="16"/>
                <w:szCs w:val="16"/>
                <w:shd w:val="clear" w:color="auto" w:fill="FFFFFF"/>
              </w:rPr>
              <w:t>월</w:t>
            </w:r>
            <w:r w:rsidRPr="00BC778A">
              <w:rPr>
                <w:rFonts w:ascii="굴림" w:eastAsia="함초롬바탕" w:hAnsi="굴림" w:cs="굴림"/>
                <w:b/>
                <w:color w:val="000000"/>
                <w:kern w:val="0"/>
                <w:sz w:val="16"/>
                <w:szCs w:val="16"/>
                <w:shd w:val="clear" w:color="auto" w:fill="FFFFFF"/>
              </w:rPr>
              <w:t xml:space="preserve"> </w:t>
            </w:r>
            <w:r w:rsidR="009E0F6B">
              <w:rPr>
                <w:rFonts w:ascii="함초롬바탕" w:eastAsia="함초롬바탕" w:hAnsi="함초롬바탕" w:cs="함초롬바탕" w:hint="eastAsia"/>
                <w:b/>
                <w:color w:val="000000"/>
                <w:kern w:val="0"/>
                <w:sz w:val="16"/>
                <w:szCs w:val="16"/>
                <w:shd w:val="clear" w:color="auto" w:fill="FFFFFF"/>
              </w:rPr>
              <w:t>20</w:t>
            </w:r>
            <w:r w:rsidRPr="00BC778A">
              <w:rPr>
                <w:rFonts w:ascii="굴림" w:eastAsia="함초롬바탕" w:hAnsi="굴림" w:cs="굴림"/>
                <w:b/>
                <w:color w:val="000000"/>
                <w:kern w:val="0"/>
                <w:sz w:val="16"/>
                <w:szCs w:val="16"/>
                <w:shd w:val="clear" w:color="auto" w:fill="FFFFFF"/>
              </w:rPr>
              <w:t>일</w:t>
            </w:r>
            <w:r w:rsidRPr="00BC778A">
              <w:rPr>
                <w:rFonts w:ascii="굴림" w:eastAsia="함초롬바탕" w:hAnsi="굴림" w:cs="굴림"/>
                <w:b/>
                <w:color w:val="000000"/>
                <w:kern w:val="0"/>
                <w:sz w:val="16"/>
                <w:szCs w:val="16"/>
                <w:shd w:val="clear" w:color="auto" w:fill="FFFFFF"/>
              </w:rPr>
              <w:t xml:space="preserve"> </w:t>
            </w:r>
            <w:r w:rsidR="009E0F6B">
              <w:rPr>
                <w:rFonts w:ascii="굴림" w:eastAsia="함초롬바탕" w:hAnsi="굴림" w:cs="굴림" w:hint="eastAsia"/>
                <w:b/>
                <w:color w:val="000000"/>
                <w:kern w:val="0"/>
                <w:sz w:val="16"/>
                <w:szCs w:val="16"/>
                <w:shd w:val="clear" w:color="auto" w:fill="FFFFFF"/>
              </w:rPr>
              <w:t>목</w:t>
            </w:r>
            <w:r w:rsidRPr="00BC778A">
              <w:rPr>
                <w:rFonts w:ascii="굴림" w:eastAsia="함초롬바탕" w:hAnsi="굴림" w:cs="굴림"/>
                <w:b/>
                <w:color w:val="000000"/>
                <w:kern w:val="0"/>
                <w:sz w:val="16"/>
                <w:szCs w:val="16"/>
                <w:shd w:val="clear" w:color="auto" w:fill="FFFFFF"/>
              </w:rPr>
              <w:t>요일</w:t>
            </w:r>
          </w:p>
        </w:tc>
      </w:tr>
    </w:tbl>
    <w:p w:rsidR="00CB0EDA" w:rsidRPr="00CB0EDA" w:rsidRDefault="00CB0EDA" w:rsidP="00CB0EDA">
      <w:pPr>
        <w:rPr>
          <w:rFonts w:eastAsiaTheme="minorHAnsi"/>
          <w:b/>
          <w:sz w:val="40"/>
          <w:szCs w:val="40"/>
        </w:rPr>
      </w:pPr>
      <w:r w:rsidRPr="00CB0EDA">
        <w:rPr>
          <w:rFonts w:eastAsiaTheme="minorHAnsi" w:hint="eastAsia"/>
          <w:b/>
          <w:sz w:val="40"/>
          <w:szCs w:val="40"/>
        </w:rPr>
        <w:t>1.</w:t>
      </w:r>
      <w:r w:rsidRPr="00CB0EDA">
        <w:rPr>
          <w:rFonts w:eastAsiaTheme="minorHAnsi"/>
          <w:b/>
          <w:sz w:val="40"/>
          <w:szCs w:val="40"/>
        </w:rPr>
        <w:t xml:space="preserve"> </w:t>
      </w:r>
      <w:r w:rsidRPr="00CB0EDA">
        <w:rPr>
          <w:rFonts w:eastAsiaTheme="minorHAnsi"/>
          <w:b/>
          <w:sz w:val="40"/>
          <w:szCs w:val="40"/>
        </w:rPr>
        <w:t>[더벨]태양광, 무분별한 시장 진입이 화 키웠다</w:t>
      </w:r>
    </w:p>
    <w:p w:rsidR="00CB0EDA" w:rsidRPr="00CB0EDA" w:rsidRDefault="00CB0EDA" w:rsidP="00CB0EDA">
      <w:pPr>
        <w:ind w:firstLineChars="200" w:firstLine="600"/>
        <w:rPr>
          <w:rFonts w:eastAsiaTheme="minorHAnsi"/>
          <w:sz w:val="30"/>
          <w:szCs w:val="30"/>
        </w:rPr>
      </w:pPr>
      <w:r w:rsidRPr="00CB0EDA">
        <w:rPr>
          <w:rFonts w:eastAsiaTheme="minorHAnsi" w:hint="eastAsia"/>
          <w:sz w:val="30"/>
          <w:szCs w:val="30"/>
        </w:rPr>
        <w:t>반도체·</w:t>
      </w:r>
      <w:r w:rsidRPr="00CB0EDA">
        <w:rPr>
          <w:rFonts w:eastAsiaTheme="minorHAnsi"/>
          <w:sz w:val="30"/>
          <w:szCs w:val="30"/>
        </w:rPr>
        <w:t>LCD기업, 차별화 없이 태양광으로 업종전환</w:t>
      </w:r>
    </w:p>
    <w:p w:rsidR="00CB0EDA" w:rsidRDefault="00CB0EDA" w:rsidP="00CB0EDA">
      <w:pPr>
        <w:jc w:val="right"/>
        <w:rPr>
          <w:rFonts w:eastAsiaTheme="minorHAnsi" w:hint="eastAsia"/>
          <w:sz w:val="22"/>
        </w:rPr>
      </w:pPr>
      <w:r>
        <w:rPr>
          <w:rFonts w:eastAsiaTheme="minorHAnsi" w:hint="eastAsia"/>
          <w:sz w:val="22"/>
        </w:rPr>
        <w:t xml:space="preserve">&lt;출처 </w:t>
      </w:r>
      <w:r>
        <w:rPr>
          <w:rFonts w:eastAsiaTheme="minorHAnsi"/>
          <w:sz w:val="22"/>
        </w:rPr>
        <w:t>–</w:t>
      </w:r>
      <w:r>
        <w:rPr>
          <w:rFonts w:eastAsiaTheme="minorHAnsi" w:hint="eastAsia"/>
          <w:sz w:val="22"/>
        </w:rPr>
        <w:t xml:space="preserve"> 머니투데이 / 이상균 기자&gt;</w:t>
      </w:r>
    </w:p>
    <w:p w:rsidR="00CB0EDA" w:rsidRPr="00CB0EDA" w:rsidRDefault="00CB0EDA" w:rsidP="00CB0EDA">
      <w:pPr>
        <w:rPr>
          <w:rFonts w:eastAsiaTheme="minorHAnsi"/>
          <w:sz w:val="22"/>
        </w:rPr>
      </w:pPr>
    </w:p>
    <w:p w:rsidR="00CB0EDA" w:rsidRPr="00CB0EDA" w:rsidRDefault="00CB0EDA" w:rsidP="00CB0EDA">
      <w:pPr>
        <w:ind w:firstLineChars="100" w:firstLine="220"/>
        <w:rPr>
          <w:rFonts w:eastAsiaTheme="minorHAnsi"/>
          <w:sz w:val="22"/>
        </w:rPr>
      </w:pPr>
      <w:r w:rsidRPr="00CB0EDA">
        <w:rPr>
          <w:rFonts w:eastAsiaTheme="minorHAnsi" w:hint="eastAsia"/>
          <w:sz w:val="22"/>
        </w:rPr>
        <w:t>국내</w:t>
      </w:r>
      <w:r w:rsidRPr="00CB0EDA">
        <w:rPr>
          <w:rFonts w:eastAsiaTheme="minorHAnsi"/>
          <w:sz w:val="22"/>
        </w:rPr>
        <w:t xml:space="preserve"> 중소 태양광업체의 몰락은 재무적 한계만으로는 다 설명이 안된다. 실패할 수 밖에 없었던 요인이 내재해 있었다는 게 중론인데, 무엇보다 "그 많은 중소업체들이 뭘 보고 이 시장에 뛰어들었느냐"하는 의문에 봉착한다.</w:t>
      </w:r>
    </w:p>
    <w:p w:rsidR="00CB0EDA" w:rsidRPr="00CB0EDA" w:rsidRDefault="00CB0EDA" w:rsidP="00CB0EDA">
      <w:pPr>
        <w:rPr>
          <w:rFonts w:eastAsiaTheme="minorHAnsi"/>
          <w:sz w:val="22"/>
        </w:rPr>
      </w:pPr>
      <w:r w:rsidRPr="00CB0EDA">
        <w:rPr>
          <w:rFonts w:eastAsiaTheme="minorHAnsi"/>
          <w:sz w:val="22"/>
        </w:rPr>
        <w:t xml:space="preserve"> </w:t>
      </w:r>
    </w:p>
    <w:p w:rsidR="00CB0EDA" w:rsidRPr="00CB0EDA" w:rsidRDefault="00CB0EDA" w:rsidP="00CB0EDA">
      <w:pPr>
        <w:rPr>
          <w:rFonts w:eastAsiaTheme="minorHAnsi"/>
          <w:sz w:val="22"/>
        </w:rPr>
      </w:pPr>
      <w:r w:rsidRPr="00CB0EDA">
        <w:rPr>
          <w:rFonts w:eastAsiaTheme="minorHAnsi" w:hint="eastAsia"/>
          <w:sz w:val="22"/>
        </w:rPr>
        <w:t>전문가들은</w:t>
      </w:r>
      <w:r w:rsidRPr="00CB0EDA">
        <w:rPr>
          <w:rFonts w:eastAsiaTheme="minorHAnsi"/>
          <w:sz w:val="22"/>
        </w:rPr>
        <w:t xml:space="preserve"> 상당수 중소기업들이 제대로 된 사업검토도 하지 않은 채 장밋빛 전망만 믿고 태양광시장에 진출했다고 지적한다. 향후 시장의 성장 잠재력에 대한 면밀한 분석보다는 정부 지원금과 같은 '잿밥'에 더 관심을 뒀던 것 아니냐는 얘기도 나온다. 어찌됐건 너나없이 태양광산업에 뛰어들었는데, 이같은 러시는 산업 자체의 낮은 진입장벽이 한 몫 한 결과로 해석된다.</w:t>
      </w:r>
    </w:p>
    <w:p w:rsidR="00CB0EDA" w:rsidRPr="00CB0EDA" w:rsidRDefault="00CB0EDA" w:rsidP="00CB0EDA">
      <w:pPr>
        <w:rPr>
          <w:rFonts w:eastAsiaTheme="minorHAnsi"/>
          <w:sz w:val="22"/>
        </w:rPr>
      </w:pPr>
      <w:r w:rsidRPr="00CB0EDA">
        <w:rPr>
          <w:rFonts w:eastAsiaTheme="minorHAnsi"/>
          <w:sz w:val="22"/>
        </w:rPr>
        <w:t xml:space="preserve"> </w:t>
      </w:r>
    </w:p>
    <w:p w:rsidR="00CB0EDA" w:rsidRPr="00CB0EDA" w:rsidRDefault="00CB0EDA" w:rsidP="00CB0EDA">
      <w:pPr>
        <w:rPr>
          <w:rFonts w:eastAsiaTheme="minorHAnsi"/>
          <w:sz w:val="22"/>
        </w:rPr>
      </w:pPr>
      <w:r w:rsidRPr="00CB0EDA">
        <w:rPr>
          <w:rFonts w:eastAsiaTheme="minorHAnsi" w:hint="eastAsia"/>
          <w:sz w:val="22"/>
        </w:rPr>
        <w:t>◇중국업체</w:t>
      </w:r>
      <w:r w:rsidRPr="00CB0EDA">
        <w:rPr>
          <w:rFonts w:eastAsiaTheme="minorHAnsi"/>
          <w:sz w:val="22"/>
        </w:rPr>
        <w:t xml:space="preserve"> 저가공세에 속수무책으로 무너져</w:t>
      </w:r>
    </w:p>
    <w:p w:rsidR="00CB0EDA" w:rsidRDefault="00CB0EDA" w:rsidP="00CB0EDA">
      <w:pPr>
        <w:rPr>
          <w:rFonts w:eastAsiaTheme="minorHAnsi" w:hint="eastAsia"/>
          <w:sz w:val="22"/>
        </w:rPr>
      </w:pPr>
      <w:r w:rsidRPr="00CB0EDA">
        <w:rPr>
          <w:rFonts w:eastAsiaTheme="minorHAnsi"/>
          <w:sz w:val="22"/>
        </w:rPr>
        <w:t xml:space="preserve"> </w:t>
      </w:r>
      <w:r>
        <w:rPr>
          <w:rFonts w:cs="Arial"/>
          <w:noProof/>
          <w:color w:val="303642"/>
          <w:sz w:val="21"/>
          <w:szCs w:val="21"/>
        </w:rPr>
        <w:drawing>
          <wp:inline distT="0" distB="0" distL="0" distR="0" wp14:anchorId="5CEEF46F" wp14:editId="49E0A119">
            <wp:extent cx="4705350" cy="1266825"/>
            <wp:effectExtent l="0" t="0" r="0" b="9525"/>
            <wp:docPr id="2" name="newsimg" descr="clip2012121716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img" descr="clip20121217164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1266825"/>
                    </a:xfrm>
                    <a:prstGeom prst="rect">
                      <a:avLst/>
                    </a:prstGeom>
                    <a:noFill/>
                    <a:ln>
                      <a:noFill/>
                    </a:ln>
                  </pic:spPr>
                </pic:pic>
              </a:graphicData>
            </a:graphic>
          </wp:inline>
        </w:drawing>
      </w:r>
    </w:p>
    <w:p w:rsidR="00CB0EDA" w:rsidRDefault="00CB0EDA" w:rsidP="00CB0EDA">
      <w:pPr>
        <w:rPr>
          <w:rFonts w:eastAsiaTheme="minorHAnsi" w:hint="eastAsia"/>
          <w:sz w:val="22"/>
        </w:rPr>
      </w:pPr>
    </w:p>
    <w:p w:rsidR="00CB0EDA" w:rsidRPr="00CB0EDA" w:rsidRDefault="00CB0EDA" w:rsidP="00CB0EDA">
      <w:pPr>
        <w:rPr>
          <w:rFonts w:eastAsiaTheme="minorHAnsi"/>
          <w:sz w:val="22"/>
        </w:rPr>
      </w:pPr>
      <w:r w:rsidRPr="00CB0EDA">
        <w:rPr>
          <w:rFonts w:eastAsiaTheme="minorHAnsi" w:hint="eastAsia"/>
          <w:sz w:val="22"/>
        </w:rPr>
        <w:t>태양광산업은</w:t>
      </w:r>
      <w:r w:rsidRPr="00CB0EDA">
        <w:rPr>
          <w:rFonts w:eastAsiaTheme="minorHAnsi"/>
          <w:sz w:val="22"/>
        </w:rPr>
        <w:t xml:space="preserve"> 반도체나 LCD에 비해 기술 난이도가 그리 높지 않다. 테크놀로지(technology) 비즈니스가 아니라 파이낸싱(financing) 비즈니스로 이해해야 한다는 의견이 지배적이다. 얼마나 많은 자금을 조달해 제품 단가를 최대한 떨어뜨리느냐가 경쟁력을 좌우한다는 것이다. 대기업에게 절대적으로 유리한 요소다. 삼성과 LG, 현대중공업 등이 후발주자라는 약점에도 불구하고 태양광시장 진출을 밀어붙였던 이유가 여기에 있다.</w:t>
      </w:r>
    </w:p>
    <w:p w:rsidR="00CB0EDA" w:rsidRPr="00CB0EDA" w:rsidRDefault="00CB0EDA" w:rsidP="00CB0EDA">
      <w:pPr>
        <w:rPr>
          <w:rFonts w:eastAsiaTheme="minorHAnsi"/>
          <w:sz w:val="22"/>
        </w:rPr>
      </w:pPr>
      <w:r w:rsidRPr="00CB0EDA">
        <w:rPr>
          <w:rFonts w:eastAsiaTheme="minorHAnsi"/>
          <w:sz w:val="22"/>
        </w:rPr>
        <w:t xml:space="preserve"> </w:t>
      </w:r>
    </w:p>
    <w:p w:rsidR="00CB0EDA" w:rsidRPr="00CB0EDA" w:rsidRDefault="00CB0EDA" w:rsidP="00CB0EDA">
      <w:pPr>
        <w:rPr>
          <w:rFonts w:eastAsiaTheme="minorHAnsi"/>
          <w:sz w:val="22"/>
        </w:rPr>
      </w:pPr>
      <w:r w:rsidRPr="00CB0EDA">
        <w:rPr>
          <w:rFonts w:eastAsiaTheme="minorHAnsi" w:hint="eastAsia"/>
          <w:sz w:val="22"/>
        </w:rPr>
        <w:t>이런</w:t>
      </w:r>
      <w:r w:rsidRPr="00CB0EDA">
        <w:rPr>
          <w:rFonts w:eastAsiaTheme="minorHAnsi"/>
          <w:sz w:val="22"/>
        </w:rPr>
        <w:t xml:space="preserve"> 상황에서 중소업체들이 선택한 태양광 시장은 잉곳·웨이퍼와 태양전지(셀), 모듈 등 다운스트림 분야다. 폴리실리콘에 비해 기술난이도가 낮아 중소업체들의 진출이 용이한 곳이다. 특히 중소 태양광업체 중에는 LCD와 반도체 기업이 업종전환을 하거나 물적 분할을 통해 진입한 사례가 많다. 태양광 제조과정이 LCD, 반도체 제조과정과 상당히 유사하기 때문이다. 태양전지 제조공정에서 결정형 실리콘 태양전지는 반도체공정, 비결정질 실리콘 태양전지는 LCD패널 제</w:t>
      </w:r>
      <w:r w:rsidRPr="00CB0EDA">
        <w:rPr>
          <w:rFonts w:eastAsiaTheme="minorHAnsi" w:hint="eastAsia"/>
          <w:sz w:val="22"/>
        </w:rPr>
        <w:t>조공정과</w:t>
      </w:r>
      <w:r w:rsidRPr="00CB0EDA">
        <w:rPr>
          <w:rFonts w:eastAsiaTheme="minorHAnsi"/>
          <w:sz w:val="22"/>
        </w:rPr>
        <w:t xml:space="preserve"> 비슷하다. 대표적인 </w:t>
      </w:r>
      <w:r w:rsidRPr="00CB0EDA">
        <w:rPr>
          <w:rFonts w:eastAsiaTheme="minorHAnsi"/>
          <w:sz w:val="22"/>
        </w:rPr>
        <w:lastRenderedPageBreak/>
        <w:t xml:space="preserve">곳으로는 세미머티리얼즈, 제스솔라, 렉서 등이 꼽힌다. 태양광시장에 무분별한 진입이 이뤄진 태생적인 원인이기도 하다. </w:t>
      </w:r>
    </w:p>
    <w:p w:rsidR="00CB0EDA" w:rsidRPr="00CB0EDA" w:rsidRDefault="00CB0EDA" w:rsidP="00CB0EDA">
      <w:pPr>
        <w:rPr>
          <w:rFonts w:eastAsiaTheme="minorHAnsi"/>
          <w:sz w:val="22"/>
        </w:rPr>
      </w:pPr>
    </w:p>
    <w:p w:rsidR="00CB0EDA" w:rsidRPr="00CB0EDA" w:rsidRDefault="00CB0EDA" w:rsidP="00CB0EDA">
      <w:pPr>
        <w:rPr>
          <w:rFonts w:eastAsiaTheme="minorHAnsi"/>
          <w:sz w:val="22"/>
        </w:rPr>
      </w:pPr>
      <w:r w:rsidRPr="00CB0EDA">
        <w:rPr>
          <w:rFonts w:eastAsiaTheme="minorHAnsi" w:hint="eastAsia"/>
          <w:sz w:val="22"/>
        </w:rPr>
        <w:t>문제는</w:t>
      </w:r>
      <w:r w:rsidRPr="00CB0EDA">
        <w:rPr>
          <w:rFonts w:eastAsiaTheme="minorHAnsi"/>
          <w:sz w:val="22"/>
        </w:rPr>
        <w:t xml:space="preserve"> 다운스트림 분야에 눈독을 들인 것은 중국 태양광 업체도 마찬가지라는 점이다. 더욱이 이들 업체는 중국 정부의 자금지원에 힘입어 가격경쟁력에서도 한 수 위다. 한국의 웨이퍼와 셀, 모듈 제조원가는 각각 0.35달러, 0.15달러, 0.35달러인 반면, 중국의 제조원가는 각각 0.25달러, 0.14달러, 0.30달러다. 20% 이상 저렴한 가격이다. </w:t>
      </w:r>
    </w:p>
    <w:p w:rsidR="00CB0EDA" w:rsidRPr="00CB0EDA" w:rsidRDefault="00CB0EDA" w:rsidP="00CB0EDA">
      <w:pPr>
        <w:rPr>
          <w:rFonts w:eastAsiaTheme="minorHAnsi"/>
          <w:sz w:val="22"/>
        </w:rPr>
      </w:pPr>
    </w:p>
    <w:p w:rsidR="00CB0EDA" w:rsidRPr="00CB0EDA" w:rsidRDefault="00CB0EDA" w:rsidP="00CB0EDA">
      <w:pPr>
        <w:rPr>
          <w:rFonts w:eastAsiaTheme="minorHAnsi"/>
          <w:sz w:val="22"/>
        </w:rPr>
      </w:pPr>
      <w:r w:rsidRPr="00CB0EDA">
        <w:rPr>
          <w:rFonts w:eastAsiaTheme="minorHAnsi" w:hint="eastAsia"/>
          <w:sz w:val="22"/>
        </w:rPr>
        <w:t>중소업체의</w:t>
      </w:r>
      <w:r w:rsidRPr="00CB0EDA">
        <w:rPr>
          <w:rFonts w:eastAsiaTheme="minorHAnsi"/>
          <w:sz w:val="22"/>
        </w:rPr>
        <w:t xml:space="preserve"> 기술경쟁력도 선진국에 비해 한참 뒤쳐진다. 지식경제부에 따르면 국내 태양광 다운스트림 분야의 제품경쟁력은 선진국(100)에 비해 90~91 수준에 그쳤다. 세계 시장 점유율도 5~12%에 머물고 있다. 이에 반해 중국 업체의 점유율은 31~44%에 달하고 있다. 최근과 같은 경제 위기 과정에서 비빌 언덕이 없다는 점도 악재다. 중소 태양광업체는 수직계열화를 통해 규모의 경제를 완성한 대기업과는 달리 물건을 넘겨줄만한 계열사가 없다.</w:t>
      </w:r>
    </w:p>
    <w:p w:rsidR="00CB0EDA" w:rsidRDefault="00CB0EDA" w:rsidP="00CB0EDA">
      <w:pPr>
        <w:rPr>
          <w:rFonts w:eastAsiaTheme="minorHAnsi" w:hint="eastAsia"/>
          <w:sz w:val="22"/>
        </w:rPr>
      </w:pPr>
      <w:r>
        <w:rPr>
          <w:noProof/>
          <w:color w:val="303642"/>
          <w:sz w:val="21"/>
          <w:szCs w:val="21"/>
        </w:rPr>
        <w:drawing>
          <wp:inline distT="0" distB="0" distL="0" distR="0" wp14:anchorId="6718452D" wp14:editId="7EBAD8CA">
            <wp:extent cx="4705350" cy="1266825"/>
            <wp:effectExtent l="0" t="0" r="0" b="9525"/>
            <wp:docPr id="4" name="newsimg" descr="clip2012121716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img" descr="clip20121217164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1266825"/>
                    </a:xfrm>
                    <a:prstGeom prst="rect">
                      <a:avLst/>
                    </a:prstGeom>
                    <a:noFill/>
                    <a:ln>
                      <a:noFill/>
                    </a:ln>
                  </pic:spPr>
                </pic:pic>
              </a:graphicData>
            </a:graphic>
          </wp:inline>
        </w:drawing>
      </w:r>
    </w:p>
    <w:p w:rsidR="00CB0EDA" w:rsidRDefault="00CB0EDA" w:rsidP="00CB0EDA">
      <w:pPr>
        <w:rPr>
          <w:rFonts w:eastAsiaTheme="minorHAnsi" w:hint="eastAsia"/>
          <w:sz w:val="22"/>
        </w:rPr>
      </w:pPr>
    </w:p>
    <w:p w:rsidR="00CB0EDA" w:rsidRPr="00CB0EDA" w:rsidRDefault="00CB0EDA" w:rsidP="00CB0EDA">
      <w:pPr>
        <w:rPr>
          <w:rFonts w:eastAsiaTheme="minorHAnsi"/>
          <w:sz w:val="22"/>
        </w:rPr>
      </w:pPr>
      <w:r w:rsidRPr="00CB0EDA">
        <w:rPr>
          <w:rFonts w:eastAsiaTheme="minorHAnsi" w:hint="eastAsia"/>
          <w:sz w:val="22"/>
        </w:rPr>
        <w:t>◇과점구조</w:t>
      </w:r>
      <w:r w:rsidRPr="00CB0EDA">
        <w:rPr>
          <w:rFonts w:eastAsiaTheme="minorHAnsi"/>
          <w:sz w:val="22"/>
        </w:rPr>
        <w:t xml:space="preserve"> 견고해져…틈새시장 개척 필요</w:t>
      </w:r>
    </w:p>
    <w:p w:rsidR="00CB0EDA" w:rsidRPr="00CB0EDA" w:rsidRDefault="00CB0EDA" w:rsidP="00CB0EDA">
      <w:pPr>
        <w:rPr>
          <w:rFonts w:eastAsiaTheme="minorHAnsi"/>
          <w:sz w:val="22"/>
        </w:rPr>
      </w:pPr>
      <w:r w:rsidRPr="00CB0EDA">
        <w:rPr>
          <w:rFonts w:eastAsiaTheme="minorHAnsi"/>
          <w:sz w:val="22"/>
        </w:rPr>
        <w:t xml:space="preserve"> </w:t>
      </w:r>
    </w:p>
    <w:p w:rsidR="00CB0EDA" w:rsidRPr="00CB0EDA" w:rsidRDefault="00CB0EDA" w:rsidP="00CB0EDA">
      <w:pPr>
        <w:rPr>
          <w:rFonts w:eastAsiaTheme="minorHAnsi"/>
          <w:sz w:val="22"/>
        </w:rPr>
      </w:pPr>
      <w:r w:rsidRPr="00CB0EDA">
        <w:rPr>
          <w:rFonts w:eastAsiaTheme="minorHAnsi" w:hint="eastAsia"/>
          <w:sz w:val="22"/>
        </w:rPr>
        <w:t>국내</w:t>
      </w:r>
      <w:r w:rsidRPr="00CB0EDA">
        <w:rPr>
          <w:rFonts w:eastAsiaTheme="minorHAnsi"/>
          <w:sz w:val="22"/>
        </w:rPr>
        <w:t xml:space="preserve"> 중소 태양광업체의 전망은 향후에도 어렵다. 냉정히 말해 살아남은 기업조차 손에 꼽힐 정도가 됐다. 전문가들도 향후 태양광시장은 구조조정이 심화되면서 소수업체 중심의 과점체제가 형성될 것으로 전망하고 있다. 태양광시장 조사업체인 Solar&amp;Energy에 따르면 폴리실리콘 시장은 공급기준 상위 7개사의 점유율이 70%, 셀 시장은 상위 10개사가 60%, 모듈시장은 40%에 달하고 있다. </w:t>
      </w:r>
    </w:p>
    <w:p w:rsidR="00CB0EDA" w:rsidRPr="00CB0EDA" w:rsidRDefault="00CB0EDA" w:rsidP="00CB0EDA">
      <w:pPr>
        <w:rPr>
          <w:rFonts w:eastAsiaTheme="minorHAnsi"/>
          <w:sz w:val="22"/>
        </w:rPr>
      </w:pPr>
    </w:p>
    <w:p w:rsidR="00CB0EDA" w:rsidRPr="00CB0EDA" w:rsidRDefault="00CB0EDA" w:rsidP="00CB0EDA">
      <w:pPr>
        <w:rPr>
          <w:rFonts w:eastAsiaTheme="minorHAnsi"/>
          <w:sz w:val="22"/>
        </w:rPr>
      </w:pPr>
      <w:r w:rsidRPr="00CB0EDA">
        <w:rPr>
          <w:rFonts w:eastAsiaTheme="minorHAnsi" w:hint="eastAsia"/>
          <w:sz w:val="22"/>
        </w:rPr>
        <w:t>한국기업평가</w:t>
      </w:r>
      <w:r w:rsidRPr="00CB0EDA">
        <w:rPr>
          <w:rFonts w:eastAsiaTheme="minorHAnsi"/>
          <w:sz w:val="22"/>
        </w:rPr>
        <w:t xml:space="preserve"> 송수범 수석연구원은 "규모의 경제와 고순도 제품생산력을 갖춘 선두업체들은 시장 성장에 따른 이익구조를 누리게 될 것"이라며 "선두업체를 중심으로 과점구조가 더욱 견고해질 것으로 예상된다"고 밝혔다. </w:t>
      </w:r>
    </w:p>
    <w:p w:rsidR="00CB0EDA" w:rsidRPr="00CB0EDA" w:rsidRDefault="00CB0EDA" w:rsidP="00CB0EDA">
      <w:pPr>
        <w:rPr>
          <w:rFonts w:eastAsiaTheme="minorHAnsi"/>
          <w:sz w:val="22"/>
        </w:rPr>
      </w:pPr>
    </w:p>
    <w:p w:rsidR="00CB0EDA" w:rsidRPr="00CB0EDA" w:rsidRDefault="00CB0EDA" w:rsidP="00CB0EDA">
      <w:pPr>
        <w:rPr>
          <w:rFonts w:eastAsiaTheme="minorHAnsi"/>
          <w:sz w:val="22"/>
        </w:rPr>
      </w:pPr>
      <w:r w:rsidRPr="00CB0EDA">
        <w:rPr>
          <w:rFonts w:eastAsiaTheme="minorHAnsi" w:hint="eastAsia"/>
          <w:sz w:val="22"/>
        </w:rPr>
        <w:t>중소업체가</w:t>
      </w:r>
      <w:r w:rsidRPr="00CB0EDA">
        <w:rPr>
          <w:rFonts w:eastAsiaTheme="minorHAnsi"/>
          <w:sz w:val="22"/>
        </w:rPr>
        <w:t xml:space="preserve"> 살아나기 위해서는 틈새시장 개척이 필요하다는 의견도 있다. 코오롱인베스트먼트 안상준 상무는 "태양광모듈을 생산하는 에스에너지는 불황에도 불구하고 꾸준한 실적을 올리고 있다"며 "중국업체와 차별화된 제품경쟁력을 지니고 있기 때문"이라고 말했다. 이어 "에스에너지가 생산하는 제품은 전체 시장 규모가 5000억 원 이내에 불과해 대기업 진출이 어렵다는 점도 긍정적인 요소"라고 설명했다. 에스에너지는 올해 3분기 매출액 1444억 원, 영업이익 93억 원을 기록했다. 부채비율도 94.3%로 양호한 편이다. </w:t>
      </w:r>
    </w:p>
    <w:p w:rsidR="00CB0EDA" w:rsidRDefault="00CB0EDA" w:rsidP="00CB0EDA">
      <w:pPr>
        <w:rPr>
          <w:rFonts w:eastAsiaTheme="minorHAnsi" w:hint="eastAsia"/>
          <w:sz w:val="22"/>
        </w:rPr>
      </w:pPr>
    </w:p>
    <w:p w:rsidR="00CB0EDA" w:rsidRPr="00CB0EDA" w:rsidRDefault="00CB0EDA" w:rsidP="00CB0EDA">
      <w:pPr>
        <w:rPr>
          <w:rFonts w:eastAsiaTheme="minorHAnsi"/>
          <w:b/>
          <w:sz w:val="40"/>
          <w:szCs w:val="40"/>
        </w:rPr>
      </w:pPr>
      <w:r w:rsidRPr="00CB0EDA">
        <w:rPr>
          <w:rFonts w:eastAsiaTheme="minorHAnsi" w:hint="eastAsia"/>
          <w:b/>
          <w:sz w:val="40"/>
          <w:szCs w:val="40"/>
        </w:rPr>
        <w:lastRenderedPageBreak/>
        <w:t xml:space="preserve">2. </w:t>
      </w:r>
      <w:r w:rsidRPr="00CB0EDA">
        <w:rPr>
          <w:rFonts w:eastAsiaTheme="minorHAnsi" w:hint="eastAsia"/>
          <w:b/>
          <w:sz w:val="40"/>
          <w:szCs w:val="40"/>
        </w:rPr>
        <w:t>톱텍</w:t>
      </w:r>
      <w:r w:rsidRPr="00CB0EDA">
        <w:rPr>
          <w:rFonts w:eastAsiaTheme="minorHAnsi"/>
          <w:b/>
          <w:sz w:val="40"/>
          <w:szCs w:val="40"/>
        </w:rPr>
        <w:t>, 227억원 규모 태양광 발전소 공사 계약 체결</w:t>
      </w:r>
    </w:p>
    <w:p w:rsidR="00CB0EDA" w:rsidRPr="00CB0EDA" w:rsidRDefault="00CB0EDA" w:rsidP="00CB0EDA">
      <w:pPr>
        <w:jc w:val="right"/>
        <w:rPr>
          <w:rFonts w:eastAsiaTheme="minorHAnsi"/>
          <w:sz w:val="22"/>
        </w:rPr>
      </w:pPr>
      <w:r w:rsidRPr="00CB0EDA">
        <w:rPr>
          <w:rFonts w:eastAsiaTheme="minorHAnsi"/>
          <w:sz w:val="22"/>
        </w:rPr>
        <w:t xml:space="preserve"> </w:t>
      </w:r>
      <w:r>
        <w:rPr>
          <w:rFonts w:eastAsiaTheme="minorHAnsi" w:hint="eastAsia"/>
          <w:sz w:val="22"/>
        </w:rPr>
        <w:t xml:space="preserve">&lt;출처 </w:t>
      </w:r>
      <w:r>
        <w:rPr>
          <w:rFonts w:eastAsiaTheme="minorHAnsi"/>
          <w:sz w:val="22"/>
        </w:rPr>
        <w:t>–</w:t>
      </w:r>
      <w:r>
        <w:rPr>
          <w:rFonts w:eastAsiaTheme="minorHAnsi" w:hint="eastAsia"/>
          <w:sz w:val="22"/>
        </w:rPr>
        <w:t xml:space="preserve"> 조선비즈 / 김수진 기자&gt;</w:t>
      </w:r>
    </w:p>
    <w:p w:rsidR="00CB0EDA" w:rsidRPr="00CB0EDA" w:rsidRDefault="00CB0EDA" w:rsidP="00CB0EDA">
      <w:pPr>
        <w:rPr>
          <w:rFonts w:eastAsiaTheme="minorHAnsi"/>
          <w:sz w:val="22"/>
        </w:rPr>
      </w:pPr>
    </w:p>
    <w:p w:rsidR="00CB0EDA" w:rsidRPr="00CB0EDA" w:rsidRDefault="00CB0EDA" w:rsidP="00CB0EDA">
      <w:pPr>
        <w:rPr>
          <w:rFonts w:eastAsiaTheme="minorHAnsi"/>
          <w:sz w:val="22"/>
        </w:rPr>
      </w:pPr>
      <w:r w:rsidRPr="00CB0EDA">
        <w:rPr>
          <w:rFonts w:eastAsiaTheme="minorHAnsi" w:hint="eastAsia"/>
          <w:sz w:val="22"/>
        </w:rPr>
        <w:t>톱텍</w:t>
      </w:r>
      <w:r w:rsidRPr="00CB0EDA">
        <w:rPr>
          <w:rFonts w:eastAsiaTheme="minorHAnsi"/>
          <w:sz w:val="22"/>
        </w:rPr>
        <w:t>(108230) (17,700원▼ 700 -3.80%)은 20일 내추럴오투피아와 226억6000만원 규모의 태양광발전소건설공사와 관련한 단일공급계약을 체결했다고 공시했다. 이는 최근 매출액의 11.28%에 해당한다. 계약 시작일은 오는 20일이며, 종료일은 내년 6월 30일이다.</w:t>
      </w:r>
    </w:p>
    <w:p w:rsidR="001A496B" w:rsidRDefault="001A496B" w:rsidP="006078B5">
      <w:pPr>
        <w:rPr>
          <w:rFonts w:eastAsiaTheme="minorHAnsi" w:hint="eastAsia"/>
          <w:sz w:val="22"/>
        </w:rPr>
      </w:pPr>
    </w:p>
    <w:p w:rsidR="004A52E9" w:rsidRDefault="004A52E9" w:rsidP="006078B5">
      <w:pPr>
        <w:rPr>
          <w:rFonts w:eastAsiaTheme="minorHAnsi" w:hint="eastAsia"/>
          <w:sz w:val="22"/>
        </w:rPr>
      </w:pPr>
    </w:p>
    <w:p w:rsidR="004A52E9" w:rsidRDefault="004A52E9" w:rsidP="004A52E9">
      <w:pPr>
        <w:rPr>
          <w:rFonts w:eastAsiaTheme="minorHAnsi" w:hint="eastAsia"/>
          <w:sz w:val="22"/>
        </w:rPr>
      </w:pPr>
    </w:p>
    <w:p w:rsidR="004A52E9" w:rsidRPr="004A52E9" w:rsidRDefault="004A52E9" w:rsidP="004A52E9">
      <w:pPr>
        <w:rPr>
          <w:rFonts w:eastAsiaTheme="minorHAnsi"/>
          <w:b/>
          <w:sz w:val="40"/>
          <w:szCs w:val="40"/>
        </w:rPr>
      </w:pPr>
      <w:r w:rsidRPr="004A52E9">
        <w:rPr>
          <w:rFonts w:eastAsiaTheme="minorHAnsi" w:hint="eastAsia"/>
          <w:b/>
          <w:sz w:val="40"/>
          <w:szCs w:val="40"/>
        </w:rPr>
        <w:t xml:space="preserve">3. </w:t>
      </w:r>
      <w:r w:rsidRPr="004A52E9">
        <w:rPr>
          <w:rFonts w:eastAsiaTheme="minorHAnsi"/>
          <w:b/>
          <w:sz w:val="40"/>
          <w:szCs w:val="40"/>
        </w:rPr>
        <w:t xml:space="preserve">KERI, 중대형 태양광 인버터 인증 시행  </w:t>
      </w:r>
    </w:p>
    <w:p w:rsidR="004A52E9" w:rsidRPr="004A52E9" w:rsidRDefault="004A52E9" w:rsidP="004A52E9">
      <w:pPr>
        <w:jc w:val="right"/>
        <w:rPr>
          <w:rFonts w:eastAsiaTheme="minorHAnsi"/>
          <w:sz w:val="22"/>
        </w:rPr>
      </w:pPr>
      <w:r w:rsidRPr="004A52E9">
        <w:rPr>
          <w:rFonts w:eastAsiaTheme="minorHAnsi"/>
          <w:sz w:val="22"/>
        </w:rPr>
        <w:t xml:space="preserve"> </w:t>
      </w:r>
      <w:r>
        <w:rPr>
          <w:rFonts w:eastAsiaTheme="minorHAnsi" w:hint="eastAsia"/>
          <w:sz w:val="22"/>
        </w:rPr>
        <w:t xml:space="preserve">&lt;출처 </w:t>
      </w:r>
      <w:r>
        <w:rPr>
          <w:rFonts w:eastAsiaTheme="minorHAnsi"/>
          <w:sz w:val="22"/>
        </w:rPr>
        <w:t>–</w:t>
      </w:r>
      <w:r>
        <w:rPr>
          <w:rFonts w:eastAsiaTheme="minorHAnsi" w:hint="eastAsia"/>
          <w:sz w:val="22"/>
        </w:rPr>
        <w:t xml:space="preserve"> 그린데일리 / 임동식 기자&gt;</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r w:rsidRPr="004A52E9">
        <w:rPr>
          <w:rFonts w:eastAsiaTheme="minorHAnsi" w:hint="eastAsia"/>
          <w:sz w:val="22"/>
        </w:rPr>
        <w:t>한국전기연구원</w:t>
      </w:r>
      <w:r w:rsidRPr="004A52E9">
        <w:rPr>
          <w:rFonts w:eastAsiaTheme="minorHAnsi"/>
          <w:sz w:val="22"/>
        </w:rPr>
        <w:t>(KERI)이 국내 처음으로 `중대형 태양광발전용 인버터` 성능검사기관이 됐다.</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r w:rsidRPr="004A52E9">
        <w:rPr>
          <w:rFonts w:eastAsiaTheme="minorHAnsi" w:hint="eastAsia"/>
          <w:sz w:val="22"/>
        </w:rPr>
        <w:t>지식경제부</w:t>
      </w:r>
      <w:r w:rsidRPr="004A52E9">
        <w:rPr>
          <w:rFonts w:eastAsiaTheme="minorHAnsi"/>
          <w:sz w:val="22"/>
        </w:rPr>
        <w:t xml:space="preserve"> 기술표준원(원장 서광현)은 18일자로 `정격출력 10㎾ 초과 250㎾이하 태양광 인버터` 성능 검사기관으로 KERI를 지정했다고 밝혔다.</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r w:rsidRPr="004A52E9">
        <w:rPr>
          <w:rFonts w:eastAsiaTheme="minorHAnsi" w:hint="eastAsia"/>
          <w:sz w:val="22"/>
        </w:rPr>
        <w:t>태양광</w:t>
      </w:r>
      <w:r w:rsidRPr="004A52E9">
        <w:rPr>
          <w:rFonts w:eastAsiaTheme="minorHAnsi"/>
          <w:sz w:val="22"/>
        </w:rPr>
        <w:t xml:space="preserve"> 인버터는 태양전지 모듈에서 생산한 직류(DC) 전압을 가정이나 산업계에서 사용이 가능한 교류(AC)전압으로 변환시켜주는 장치를 말한다. KERI는 지난 2009년 80억원을 들여 350㎾급 대용량 태양광발전용 인버터 시험설비를 구축했다.</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r w:rsidRPr="004A52E9">
        <w:rPr>
          <w:rFonts w:eastAsiaTheme="minorHAnsi" w:hint="eastAsia"/>
          <w:sz w:val="22"/>
        </w:rPr>
        <w:t>이번</w:t>
      </w:r>
      <w:r w:rsidRPr="004A52E9">
        <w:rPr>
          <w:rFonts w:eastAsiaTheme="minorHAnsi"/>
          <w:sz w:val="22"/>
        </w:rPr>
        <w:t xml:space="preserve"> 지정에 따라 국내 중대형 태양광발전용 인버터 제조사는 KERI의 성능 검사와 에너지관리공단 인증을 받아 그린홈 100만호 보급사업, 태양광주택보급사업, 태양광 융자지원사업 등의 우선 지원 혜택을 볼 수 있게 됐다.</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r w:rsidRPr="004A52E9">
        <w:rPr>
          <w:rFonts w:eastAsiaTheme="minorHAnsi"/>
          <w:sz w:val="22"/>
        </w:rPr>
        <w:t>KERI는 내년 초 국제상호인정기구인 `IECEE PV`의 태양광인버터 공인시험기관 인정 절차도 밟을 계획이다.</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r w:rsidRPr="004A52E9">
        <w:rPr>
          <w:rFonts w:eastAsiaTheme="minorHAnsi"/>
          <w:sz w:val="22"/>
        </w:rPr>
        <w:t>KERI가 국제상호인정을 획득하면 내년 하반기부터 KERI의 인증서는 국제적으로 통용돼 국내 중대형 인버터 업체의 수출에도 크게 기여할 것으로 전망된다.</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r w:rsidRPr="004A52E9">
        <w:rPr>
          <w:rFonts w:eastAsiaTheme="minorHAnsi" w:hint="eastAsia"/>
          <w:sz w:val="22"/>
        </w:rPr>
        <w:t>한편</w:t>
      </w:r>
      <w:r w:rsidRPr="004A52E9">
        <w:rPr>
          <w:rFonts w:eastAsiaTheme="minorHAnsi"/>
          <w:sz w:val="22"/>
        </w:rPr>
        <w:t>, 올해부터 본격 시행된 신재생에너지공급 의무화제도(RPS)로 국내 태양광발전시설 수요는 계속 증가할 것으로 예상되고 있다. RPS(Renewable Portfolio Standard)는 일정 규모 이상의 발전사업자·공공기관이 총 발전량 중 일정량 이상을 신재생에너지 전력으로 공급하도록 의무화한 제도다.</w:t>
      </w:r>
    </w:p>
    <w:p w:rsidR="004A52E9" w:rsidRPr="004A52E9" w:rsidRDefault="004A52E9" w:rsidP="004A52E9">
      <w:pPr>
        <w:rPr>
          <w:rFonts w:eastAsiaTheme="minorHAnsi"/>
          <w:sz w:val="22"/>
        </w:rPr>
      </w:pPr>
    </w:p>
    <w:p w:rsidR="004A52E9" w:rsidRPr="004A52E9" w:rsidRDefault="004A52E9" w:rsidP="004A52E9">
      <w:pPr>
        <w:rPr>
          <w:rFonts w:eastAsiaTheme="minorHAnsi"/>
          <w:b/>
          <w:sz w:val="40"/>
          <w:szCs w:val="40"/>
        </w:rPr>
      </w:pPr>
      <w:r w:rsidRPr="004A52E9">
        <w:rPr>
          <w:rFonts w:eastAsiaTheme="minorHAnsi" w:hint="eastAsia"/>
          <w:b/>
          <w:sz w:val="40"/>
          <w:szCs w:val="40"/>
        </w:rPr>
        <w:lastRenderedPageBreak/>
        <w:t xml:space="preserve">4. </w:t>
      </w:r>
      <w:r w:rsidRPr="004A52E9">
        <w:rPr>
          <w:rFonts w:eastAsiaTheme="minorHAnsi" w:hint="eastAsia"/>
          <w:b/>
          <w:sz w:val="40"/>
          <w:szCs w:val="40"/>
        </w:rPr>
        <w:t>‘수상태양광</w:t>
      </w:r>
      <w:r w:rsidRPr="004A52E9">
        <w:rPr>
          <w:rFonts w:eastAsiaTheme="minorHAnsi"/>
          <w:b/>
          <w:sz w:val="40"/>
          <w:szCs w:val="40"/>
        </w:rPr>
        <w:t xml:space="preserve"> 등 RPS 공청회' 개최</w:t>
      </w:r>
    </w:p>
    <w:p w:rsidR="004A52E9" w:rsidRPr="004A52E9" w:rsidRDefault="004A52E9" w:rsidP="004A52E9">
      <w:pPr>
        <w:ind w:firstLineChars="200" w:firstLine="600"/>
        <w:rPr>
          <w:rFonts w:eastAsiaTheme="minorHAnsi"/>
          <w:sz w:val="30"/>
          <w:szCs w:val="30"/>
        </w:rPr>
      </w:pPr>
      <w:r w:rsidRPr="004A52E9">
        <w:rPr>
          <w:rFonts w:eastAsiaTheme="minorHAnsi" w:hint="eastAsia"/>
          <w:sz w:val="30"/>
          <w:szCs w:val="30"/>
        </w:rPr>
        <w:t>지경부</w:t>
      </w:r>
      <w:r w:rsidRPr="004A52E9">
        <w:rPr>
          <w:rFonts w:eastAsiaTheme="minorHAnsi"/>
          <w:sz w:val="30"/>
          <w:szCs w:val="30"/>
        </w:rPr>
        <w:t xml:space="preserve">, 21일 팔래스호텔에서 업계 의견수렴 </w:t>
      </w:r>
    </w:p>
    <w:p w:rsidR="004A52E9" w:rsidRPr="004A52E9" w:rsidRDefault="004A52E9" w:rsidP="004A52E9">
      <w:pPr>
        <w:jc w:val="right"/>
        <w:rPr>
          <w:rFonts w:eastAsiaTheme="minorHAnsi"/>
          <w:sz w:val="22"/>
        </w:rPr>
      </w:pPr>
      <w:r>
        <w:rPr>
          <w:rFonts w:eastAsiaTheme="minorHAnsi" w:hint="eastAsia"/>
          <w:sz w:val="22"/>
        </w:rPr>
        <w:t xml:space="preserve">&lt;출처 </w:t>
      </w:r>
      <w:r>
        <w:rPr>
          <w:rFonts w:eastAsiaTheme="minorHAnsi"/>
          <w:sz w:val="22"/>
        </w:rPr>
        <w:t>–</w:t>
      </w:r>
      <w:r>
        <w:rPr>
          <w:rFonts w:eastAsiaTheme="minorHAnsi" w:hint="eastAsia"/>
          <w:sz w:val="22"/>
        </w:rPr>
        <w:t xml:space="preserve"> 전기신문 / 정형석 기자&gt; </w:t>
      </w:r>
    </w:p>
    <w:p w:rsidR="004A52E9" w:rsidRPr="004A52E9" w:rsidRDefault="004A52E9" w:rsidP="004A52E9">
      <w:pPr>
        <w:rPr>
          <w:rFonts w:eastAsiaTheme="minorHAnsi"/>
          <w:sz w:val="22"/>
        </w:rPr>
      </w:pPr>
    </w:p>
    <w:p w:rsidR="004A52E9" w:rsidRPr="004A52E9" w:rsidRDefault="004A52E9" w:rsidP="004A52E9">
      <w:pPr>
        <w:ind w:firstLineChars="100" w:firstLine="220"/>
        <w:rPr>
          <w:rFonts w:eastAsiaTheme="minorHAnsi"/>
          <w:sz w:val="22"/>
        </w:rPr>
      </w:pPr>
      <w:r w:rsidRPr="004A52E9">
        <w:rPr>
          <w:rFonts w:eastAsiaTheme="minorHAnsi" w:hint="eastAsia"/>
          <w:sz w:val="22"/>
        </w:rPr>
        <w:t>수상태양광</w:t>
      </w:r>
      <w:r w:rsidRPr="004A52E9">
        <w:rPr>
          <w:rFonts w:eastAsiaTheme="minorHAnsi"/>
          <w:sz w:val="22"/>
        </w:rPr>
        <w:t xml:space="preserve"> 등 RPS에 새롭게 추가되는 신재생에너지원의 공급인증서 가중치를 놓고 업계의 의견을 수렴하는 자리가 마련된다.</w:t>
      </w:r>
    </w:p>
    <w:p w:rsidR="004A52E9" w:rsidRPr="004A52E9" w:rsidRDefault="004A52E9" w:rsidP="004A52E9">
      <w:pPr>
        <w:rPr>
          <w:rFonts w:eastAsiaTheme="minorHAnsi"/>
          <w:sz w:val="22"/>
        </w:rPr>
      </w:pPr>
      <w:r w:rsidRPr="004A52E9">
        <w:rPr>
          <w:rFonts w:eastAsiaTheme="minorHAnsi" w:hint="eastAsia"/>
          <w:sz w:val="22"/>
        </w:rPr>
        <w:t>지식경제부와</w:t>
      </w:r>
      <w:r w:rsidRPr="004A52E9">
        <w:rPr>
          <w:rFonts w:eastAsiaTheme="minorHAnsi"/>
          <w:sz w:val="22"/>
        </w:rPr>
        <w:t xml:space="preserve"> 전기연구원은 21일 서울 팔래스호텔에서 ‘RPS 신규 신재생에너지에 대한 공급인증서 가중치 시행방안 공청회’를 개최한다. </w:t>
      </w:r>
    </w:p>
    <w:p w:rsidR="004A52E9" w:rsidRPr="004A52E9" w:rsidRDefault="004A52E9" w:rsidP="004A52E9">
      <w:pPr>
        <w:rPr>
          <w:rFonts w:eastAsiaTheme="minorHAnsi"/>
          <w:sz w:val="22"/>
        </w:rPr>
      </w:pPr>
      <w:r w:rsidRPr="004A52E9">
        <w:rPr>
          <w:rFonts w:eastAsiaTheme="minorHAnsi" w:hint="eastAsia"/>
          <w:sz w:val="22"/>
        </w:rPr>
        <w:t>이번</w:t>
      </w:r>
      <w:r w:rsidRPr="004A52E9">
        <w:rPr>
          <w:rFonts w:eastAsiaTheme="minorHAnsi"/>
          <w:sz w:val="22"/>
        </w:rPr>
        <w:t xml:space="preserve"> 공청회에서는 신재생에너지 공급의무화제도(RPS) 하에서 새롭게 검토되고 있는 ‘수상태양광, 태양열발전, 지열발전’에 대한 신규 가중치 부여와 관련된 논의가 전개된다.</w:t>
      </w:r>
    </w:p>
    <w:p w:rsidR="004A52E9" w:rsidRPr="004A52E9" w:rsidRDefault="004A52E9" w:rsidP="004A52E9">
      <w:pPr>
        <w:rPr>
          <w:rFonts w:eastAsiaTheme="minorHAnsi"/>
          <w:sz w:val="22"/>
        </w:rPr>
      </w:pPr>
      <w:r w:rsidRPr="004A52E9">
        <w:rPr>
          <w:rFonts w:eastAsiaTheme="minorHAnsi" w:hint="eastAsia"/>
          <w:sz w:val="22"/>
        </w:rPr>
        <w:t>그동안</w:t>
      </w:r>
      <w:r w:rsidRPr="004A52E9">
        <w:rPr>
          <w:rFonts w:eastAsiaTheme="minorHAnsi"/>
          <w:sz w:val="22"/>
        </w:rPr>
        <w:t xml:space="preserve"> 연구용역을 수행해 온 전기연구원에서 정책연구결과를 발표하고, 관련 업계 관계자가 패널로 참석해 토론을 벌일 예정이다. </w:t>
      </w:r>
    </w:p>
    <w:p w:rsidR="004A52E9" w:rsidRPr="004A52E9" w:rsidRDefault="004A52E9" w:rsidP="004A52E9">
      <w:pPr>
        <w:rPr>
          <w:rFonts w:eastAsiaTheme="minorHAnsi"/>
          <w:sz w:val="22"/>
        </w:rPr>
      </w:pPr>
      <w:r w:rsidRPr="004A52E9">
        <w:rPr>
          <w:rFonts w:eastAsiaTheme="minorHAnsi" w:hint="eastAsia"/>
          <w:sz w:val="22"/>
        </w:rPr>
        <w:t>이중</w:t>
      </w:r>
      <w:r w:rsidRPr="004A52E9">
        <w:rPr>
          <w:rFonts w:eastAsiaTheme="minorHAnsi"/>
          <w:sz w:val="22"/>
        </w:rPr>
        <w:t xml:space="preserve"> 가장 관심을 끄는 것은 단연 수상태양광. 지난 9월 환경정책평가연구원 주최로 수상태양광 발전사업 관련 제도개선을 위한 의견수렴 공청회가 열려 수상태양광 산업 육성과 국내 보급 확대를 위해서는 보조금 지급 등 정책적인 지원이 필요하다는 의견을 도출한 바 있지만, 아직 가중치가 결정되지 않아 관련 업계가 선뜻 나서지 못하고 있기 때문이다. </w:t>
      </w:r>
    </w:p>
    <w:p w:rsidR="004A52E9" w:rsidRPr="004A52E9" w:rsidRDefault="004A52E9" w:rsidP="004A52E9">
      <w:pPr>
        <w:rPr>
          <w:rFonts w:eastAsiaTheme="minorHAnsi"/>
          <w:sz w:val="22"/>
        </w:rPr>
      </w:pPr>
      <w:r w:rsidRPr="004A52E9">
        <w:rPr>
          <w:rFonts w:eastAsiaTheme="minorHAnsi" w:hint="eastAsia"/>
          <w:sz w:val="22"/>
        </w:rPr>
        <w:t>이날</w:t>
      </w:r>
      <w:r w:rsidRPr="004A52E9">
        <w:rPr>
          <w:rFonts w:eastAsiaTheme="minorHAnsi"/>
          <w:sz w:val="22"/>
        </w:rPr>
        <w:t xml:space="preserve"> 공청회에서도 육상태양광에 비해 초기 투자비와 유지비용이 많이 들어 수익성이 떨어지는 수상태양광의 적절한 가중치를 놓고 업계가 공방을 펼칠 것으로 주목된다. </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p>
    <w:p w:rsidR="004A52E9" w:rsidRDefault="004A52E9" w:rsidP="004A52E9">
      <w:pPr>
        <w:rPr>
          <w:rFonts w:eastAsiaTheme="minorHAnsi" w:hint="eastAsia"/>
          <w:sz w:val="22"/>
        </w:rPr>
      </w:pPr>
    </w:p>
    <w:p w:rsidR="004A52E9" w:rsidRPr="004A52E9" w:rsidRDefault="004A52E9" w:rsidP="004A52E9">
      <w:pPr>
        <w:rPr>
          <w:rFonts w:eastAsiaTheme="minorHAnsi"/>
          <w:b/>
          <w:sz w:val="40"/>
          <w:szCs w:val="40"/>
        </w:rPr>
      </w:pPr>
      <w:r w:rsidRPr="004A52E9">
        <w:rPr>
          <w:rFonts w:eastAsiaTheme="minorHAnsi" w:hint="eastAsia"/>
          <w:b/>
          <w:sz w:val="40"/>
          <w:szCs w:val="40"/>
        </w:rPr>
        <w:t xml:space="preserve">5. </w:t>
      </w:r>
      <w:r w:rsidRPr="004A52E9">
        <w:rPr>
          <w:rFonts w:eastAsiaTheme="minorHAnsi"/>
          <w:b/>
          <w:sz w:val="40"/>
          <w:szCs w:val="40"/>
        </w:rPr>
        <w:t>(태양광발전의 모든 것) (3) 효율과 설치면적</w:t>
      </w:r>
    </w:p>
    <w:p w:rsidR="004A52E9" w:rsidRPr="004A52E9" w:rsidRDefault="004A52E9" w:rsidP="004A52E9">
      <w:pPr>
        <w:ind w:firstLineChars="200" w:firstLine="600"/>
        <w:rPr>
          <w:rFonts w:eastAsiaTheme="minorHAnsi"/>
          <w:sz w:val="30"/>
          <w:szCs w:val="30"/>
        </w:rPr>
      </w:pPr>
      <w:r w:rsidRPr="004A52E9">
        <w:rPr>
          <w:rFonts w:eastAsiaTheme="minorHAnsi"/>
          <w:sz w:val="30"/>
          <w:szCs w:val="30"/>
        </w:rPr>
        <w:t>"태양광발전에 사용하는 모듈은 셀효율보다 낮아</w:t>
      </w:r>
    </w:p>
    <w:p w:rsidR="004A52E9" w:rsidRPr="004A52E9" w:rsidRDefault="004A52E9" w:rsidP="004A52E9">
      <w:pPr>
        <w:ind w:firstLineChars="300" w:firstLine="900"/>
        <w:rPr>
          <w:rFonts w:eastAsiaTheme="minorHAnsi"/>
          <w:sz w:val="30"/>
          <w:szCs w:val="30"/>
        </w:rPr>
      </w:pPr>
      <w:r w:rsidRPr="004A52E9">
        <w:rPr>
          <w:rFonts w:eastAsiaTheme="minorHAnsi" w:hint="eastAsia"/>
          <w:sz w:val="30"/>
          <w:szCs w:val="30"/>
        </w:rPr>
        <w:t>박막형</w:t>
      </w:r>
      <w:r w:rsidRPr="004A52E9">
        <w:rPr>
          <w:rFonts w:eastAsiaTheme="minorHAnsi"/>
          <w:sz w:val="30"/>
          <w:szCs w:val="30"/>
        </w:rPr>
        <w:t xml:space="preserve"> 설치 시 최소 1.2서 최대 1.5배 면적 필요"</w:t>
      </w:r>
    </w:p>
    <w:p w:rsidR="004A52E9" w:rsidRPr="004A52E9" w:rsidRDefault="004A52E9" w:rsidP="004A52E9">
      <w:pPr>
        <w:jc w:val="right"/>
        <w:rPr>
          <w:rFonts w:eastAsiaTheme="minorHAnsi"/>
          <w:sz w:val="22"/>
        </w:rPr>
      </w:pPr>
      <w:r>
        <w:rPr>
          <w:rFonts w:eastAsiaTheme="minorHAnsi" w:hint="eastAsia"/>
          <w:sz w:val="22"/>
        </w:rPr>
        <w:t xml:space="preserve">&lt;출처 </w:t>
      </w:r>
      <w:r>
        <w:rPr>
          <w:rFonts w:eastAsiaTheme="minorHAnsi"/>
          <w:sz w:val="22"/>
        </w:rPr>
        <w:t>–</w:t>
      </w:r>
      <w:r>
        <w:rPr>
          <w:rFonts w:eastAsiaTheme="minorHAnsi" w:hint="eastAsia"/>
          <w:sz w:val="22"/>
        </w:rPr>
        <w:t xml:space="preserve"> 그린데일리 / 정형석 기자&gt;</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r w:rsidRPr="004A52E9">
        <w:rPr>
          <w:rFonts w:eastAsiaTheme="minorHAnsi" w:hint="eastAsia"/>
          <w:sz w:val="22"/>
        </w:rPr>
        <w:t>태양전지의</w:t>
      </w:r>
      <w:r w:rsidRPr="004A52E9">
        <w:rPr>
          <w:rFonts w:eastAsiaTheme="minorHAnsi"/>
          <w:sz w:val="22"/>
        </w:rPr>
        <w:t xml:space="preserve"> 효율은 설치된 출력의 실제적 이용 상태를 말하는 것으로, 예를 들면 100W의 일사량에서 15%의 효율이라면 15W가 전지의 출력이 된다. 즉 변환효율이 15%가 된다는 뜻이다.</w:t>
      </w:r>
    </w:p>
    <w:p w:rsidR="004A52E9" w:rsidRPr="004A52E9" w:rsidRDefault="004A52E9" w:rsidP="004A52E9">
      <w:pPr>
        <w:rPr>
          <w:rFonts w:eastAsiaTheme="minorHAnsi"/>
          <w:sz w:val="22"/>
        </w:rPr>
      </w:pPr>
      <w:r w:rsidRPr="004A52E9">
        <w:rPr>
          <w:rFonts w:eastAsiaTheme="minorHAnsi" w:hint="eastAsia"/>
          <w:sz w:val="22"/>
        </w:rPr>
        <w:t>요즈음</w:t>
      </w:r>
      <w:r w:rsidRPr="004A52E9">
        <w:rPr>
          <w:rFonts w:eastAsiaTheme="minorHAnsi"/>
          <w:sz w:val="22"/>
        </w:rPr>
        <w:t xml:space="preserve"> 태양광 발전장치는 사용한 태양전지의 종류에 따라 단결정 실리콘에서 15~19%, 다결정 실리콘에서 13~18%, 박막형에서 6~9%의 효율에 이르고 있으며, 메이커에 따라 20.1% 제품이 판매되고 있고, 멀지 않아 25% 제품까지 볼 수 있을 전망이다.</w:t>
      </w:r>
    </w:p>
    <w:p w:rsidR="004A52E9" w:rsidRPr="004A52E9" w:rsidRDefault="004A52E9" w:rsidP="004A52E9">
      <w:pPr>
        <w:rPr>
          <w:rFonts w:eastAsiaTheme="minorHAnsi"/>
          <w:sz w:val="22"/>
        </w:rPr>
      </w:pPr>
      <w:r w:rsidRPr="004A52E9">
        <w:rPr>
          <w:rFonts w:eastAsiaTheme="minorHAnsi" w:hint="eastAsia"/>
          <w:sz w:val="22"/>
        </w:rPr>
        <w:t>효율에는</w:t>
      </w:r>
      <w:r w:rsidRPr="004A52E9">
        <w:rPr>
          <w:rFonts w:eastAsiaTheme="minorHAnsi"/>
          <w:sz w:val="22"/>
        </w:rPr>
        <w:t xml:space="preserve"> 셀효율과 모듈효율로 나눌 수 있는데, 실제로 태양광발전에 사용하는 모듈은 셀효율보다 낮다. 그 이유는 셀과 셀 사이에 1mm 정도, 셀과 금속프레임 사이에 2~3mm, 그리고 전극으로 사용하는 스트링 바 접속이 필요하기 때문에 10mm 정도의 간격이 필요하기 때문이다. 이와 같이 </w:t>
      </w:r>
      <w:r w:rsidRPr="004A52E9">
        <w:rPr>
          <w:rFonts w:eastAsiaTheme="minorHAnsi"/>
          <w:sz w:val="22"/>
        </w:rPr>
        <w:lastRenderedPageBreak/>
        <w:t xml:space="preserve">셀이 없는 공간이 늘어날수록 발전에 필요한 유효면적이 줄어들기 때문에 실제로 모듈의 효율은 셀 효율보다 2~3% 정도 줄어들게 된다. </w:t>
      </w:r>
    </w:p>
    <w:p w:rsidR="004A52E9" w:rsidRPr="004A52E9" w:rsidRDefault="004A52E9" w:rsidP="004A52E9">
      <w:pPr>
        <w:rPr>
          <w:rFonts w:eastAsiaTheme="minorHAnsi"/>
          <w:sz w:val="22"/>
        </w:rPr>
      </w:pPr>
      <w:r w:rsidRPr="004A52E9">
        <w:rPr>
          <w:rFonts w:eastAsiaTheme="minorHAnsi" w:hint="eastAsia"/>
          <w:sz w:val="22"/>
        </w:rPr>
        <w:t>태양광발전시스템에서는</w:t>
      </w:r>
      <w:r w:rsidRPr="004A52E9">
        <w:rPr>
          <w:rFonts w:eastAsiaTheme="minorHAnsi"/>
          <w:sz w:val="22"/>
        </w:rPr>
        <w:t xml:space="preserve"> 최대로 가능한 출력의 표준조건을 피크출력이라 하고, 단위는 와트 피크(Wp)다. 표준조건으로 최적 일사량이 1㎡당 1000W로 제시되고 있는데, 이것은 날씨 좋은 여름날 정오의 일사에 해당된다. ㎡당 1000W 일사의 의미는 효율 10%에서 밝은 백열전구에 상응하는 100W의 출력을 뜻한다.</w:t>
      </w:r>
    </w:p>
    <w:p w:rsidR="004A52E9" w:rsidRPr="004A52E9" w:rsidRDefault="004A52E9" w:rsidP="004A52E9">
      <w:pPr>
        <w:rPr>
          <w:rFonts w:eastAsiaTheme="minorHAnsi"/>
          <w:sz w:val="22"/>
        </w:rPr>
      </w:pPr>
      <w:r w:rsidRPr="004A52E9">
        <w:rPr>
          <w:rFonts w:eastAsiaTheme="minorHAnsi" w:hint="eastAsia"/>
          <w:sz w:val="22"/>
        </w:rPr>
        <w:t>그리고</w:t>
      </w:r>
      <w:r w:rsidRPr="004A52E9">
        <w:rPr>
          <w:rFonts w:eastAsiaTheme="minorHAnsi"/>
          <w:sz w:val="22"/>
        </w:rPr>
        <w:t xml:space="preserve"> 설치 면적에 대해서는 고정형과 추적형, 설치각도 등 형태와 장소에 따라 다소 차이는 있지만, 보통 1kW의 발전시스템은 전지의 종류와 효율, 설치 방식 및 각도에 따라 대략 15~20㎡의 면적이 필요하게 된다. 참고로 지상설치형 1MW급 발전소를 계획하는 경우, 고정형, 결정질 모듈을 기준으로 평균 1만8000㎡의 면적이 필요하지만, 추적형의 경우 그림자의 영향이 크므로 최대 2만5000㎡ 정도까지 필요하다. 또 박막형으로 설치할 경우 결정질에 비</w:t>
      </w:r>
      <w:r w:rsidRPr="004A52E9">
        <w:rPr>
          <w:rFonts w:eastAsiaTheme="minorHAnsi" w:hint="eastAsia"/>
          <w:sz w:val="22"/>
        </w:rPr>
        <w:t>해</w:t>
      </w:r>
      <w:r w:rsidRPr="004A52E9">
        <w:rPr>
          <w:rFonts w:eastAsiaTheme="minorHAnsi"/>
          <w:sz w:val="22"/>
        </w:rPr>
        <w:t xml:space="preserve"> 최소 1.2에서 최대 1.5배의 면적이 더 필요하다. </w:t>
      </w:r>
    </w:p>
    <w:p w:rsidR="004A52E9" w:rsidRPr="004A52E9" w:rsidRDefault="004A52E9" w:rsidP="004A52E9">
      <w:pPr>
        <w:rPr>
          <w:rFonts w:eastAsiaTheme="minorHAnsi"/>
          <w:sz w:val="22"/>
        </w:rPr>
      </w:pPr>
      <w:r w:rsidRPr="004A52E9">
        <w:rPr>
          <w:rFonts w:eastAsiaTheme="minorHAnsi"/>
          <w:sz w:val="22"/>
        </w:rPr>
        <w:t xml:space="preserve">(자료제공, 이순형 선강엔지니어링 대표) </w:t>
      </w: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p>
    <w:p w:rsidR="004A52E9" w:rsidRPr="004A52E9" w:rsidRDefault="004A52E9" w:rsidP="004A52E9">
      <w:pPr>
        <w:rPr>
          <w:rFonts w:eastAsiaTheme="minorHAnsi"/>
          <w:sz w:val="22"/>
        </w:rPr>
      </w:pPr>
    </w:p>
    <w:p w:rsidR="004A52E9" w:rsidRPr="009A030D" w:rsidRDefault="009A030D" w:rsidP="009A030D">
      <w:pPr>
        <w:ind w:left="1600" w:hangingChars="400" w:hanging="1600"/>
        <w:rPr>
          <w:rFonts w:eastAsiaTheme="minorHAnsi"/>
          <w:b/>
          <w:sz w:val="40"/>
          <w:szCs w:val="40"/>
        </w:rPr>
      </w:pPr>
      <w:r w:rsidRPr="009A030D">
        <w:rPr>
          <w:rFonts w:eastAsiaTheme="minorHAnsi" w:hint="eastAsia"/>
          <w:b/>
          <w:sz w:val="40"/>
          <w:szCs w:val="40"/>
        </w:rPr>
        <w:t xml:space="preserve">6. </w:t>
      </w:r>
      <w:r w:rsidR="004A52E9" w:rsidRPr="009A030D">
        <w:rPr>
          <w:rFonts w:eastAsiaTheme="minorHAnsi"/>
          <w:b/>
          <w:sz w:val="40"/>
          <w:szCs w:val="40"/>
        </w:rPr>
        <w:t>"신재생에너지공급의무화제도(RPS) 이행</w:t>
      </w:r>
      <w:r w:rsidR="004A52E9" w:rsidRPr="009A030D">
        <w:rPr>
          <w:rFonts w:ascii="바탕" w:eastAsia="바탕" w:hAnsi="바탕" w:cs="바탕" w:hint="eastAsia"/>
          <w:b/>
          <w:sz w:val="40"/>
          <w:szCs w:val="40"/>
        </w:rPr>
        <w:t>費</w:t>
      </w:r>
      <w:r w:rsidR="004A52E9" w:rsidRPr="009A030D">
        <w:rPr>
          <w:rFonts w:eastAsiaTheme="minorHAnsi"/>
          <w:b/>
          <w:sz w:val="40"/>
          <w:szCs w:val="40"/>
        </w:rPr>
        <w:t>, 전기요금에 별도 항목 둬야"</w:t>
      </w:r>
    </w:p>
    <w:p w:rsidR="004A52E9" w:rsidRPr="009A030D" w:rsidRDefault="004A52E9" w:rsidP="004A52E9">
      <w:pPr>
        <w:rPr>
          <w:rFonts w:eastAsiaTheme="minorHAnsi"/>
          <w:sz w:val="30"/>
          <w:szCs w:val="30"/>
        </w:rPr>
      </w:pPr>
      <w:r w:rsidRPr="009A030D">
        <w:rPr>
          <w:rFonts w:eastAsiaTheme="minorHAnsi" w:hint="eastAsia"/>
          <w:sz w:val="30"/>
          <w:szCs w:val="30"/>
        </w:rPr>
        <w:t>외국은</w:t>
      </w:r>
      <w:r w:rsidRPr="009A030D">
        <w:rPr>
          <w:rFonts w:eastAsiaTheme="minorHAnsi"/>
          <w:sz w:val="30"/>
          <w:szCs w:val="30"/>
        </w:rPr>
        <w:t xml:space="preserve"> 판매사업자 부담…국내는 당분간 기존 체계 유지할 듯</w:t>
      </w:r>
    </w:p>
    <w:p w:rsidR="004A52E9" w:rsidRPr="004A52E9" w:rsidRDefault="009A030D" w:rsidP="009A030D">
      <w:pPr>
        <w:jc w:val="right"/>
        <w:rPr>
          <w:rFonts w:eastAsiaTheme="minorHAnsi"/>
          <w:sz w:val="22"/>
        </w:rPr>
      </w:pPr>
      <w:r>
        <w:rPr>
          <w:rFonts w:eastAsiaTheme="minorHAnsi" w:hint="eastAsia"/>
          <w:sz w:val="22"/>
        </w:rPr>
        <w:t xml:space="preserve">&lt;출처 </w:t>
      </w:r>
      <w:r>
        <w:rPr>
          <w:rFonts w:eastAsiaTheme="minorHAnsi"/>
          <w:sz w:val="22"/>
        </w:rPr>
        <w:t>–</w:t>
      </w:r>
      <w:r>
        <w:rPr>
          <w:rFonts w:eastAsiaTheme="minorHAnsi" w:hint="eastAsia"/>
          <w:sz w:val="22"/>
        </w:rPr>
        <w:t xml:space="preserve"> 전기신문 / 정형석 기자&gt;</w:t>
      </w:r>
    </w:p>
    <w:p w:rsidR="004A52E9" w:rsidRPr="004A52E9" w:rsidRDefault="004A52E9" w:rsidP="004A52E9">
      <w:pPr>
        <w:rPr>
          <w:rFonts w:eastAsiaTheme="minorHAnsi"/>
          <w:sz w:val="22"/>
        </w:rPr>
      </w:pPr>
    </w:p>
    <w:p w:rsidR="004A52E9" w:rsidRPr="004A52E9" w:rsidRDefault="004A52E9" w:rsidP="009A030D">
      <w:pPr>
        <w:ind w:firstLineChars="100" w:firstLine="220"/>
        <w:rPr>
          <w:rFonts w:eastAsiaTheme="minorHAnsi"/>
          <w:sz w:val="22"/>
        </w:rPr>
      </w:pPr>
      <w:r w:rsidRPr="004A52E9">
        <w:rPr>
          <w:rFonts w:eastAsiaTheme="minorHAnsi"/>
          <w:sz w:val="22"/>
        </w:rPr>
        <w:t xml:space="preserve">신재생에너지공급의무화제도(RPS)를 준수해야 할 기관들이 이행비용을 보전받고, 제도가 성공적으로 정착하기 위해서는 전기요금에 별도 요금항목을 신설할 필요가 있는 것으로 나타났다. </w:t>
      </w:r>
    </w:p>
    <w:p w:rsidR="004A52E9" w:rsidRPr="004A52E9" w:rsidRDefault="004A52E9" w:rsidP="004A52E9">
      <w:pPr>
        <w:rPr>
          <w:rFonts w:eastAsiaTheme="minorHAnsi"/>
          <w:sz w:val="22"/>
        </w:rPr>
      </w:pPr>
      <w:r w:rsidRPr="004A52E9">
        <w:rPr>
          <w:rFonts w:eastAsiaTheme="minorHAnsi" w:hint="eastAsia"/>
          <w:sz w:val="22"/>
        </w:rPr>
        <w:t>한전</w:t>
      </w:r>
      <w:r w:rsidRPr="004A52E9">
        <w:rPr>
          <w:rFonts w:eastAsiaTheme="minorHAnsi"/>
          <w:sz w:val="22"/>
        </w:rPr>
        <w:t xml:space="preserve"> 경제경영연구원이 최근 발간한 보고서에 따르면 RPS 의무이행비용을 전기요금에 별도 항목으로 표기할 경우 신재생에너지에 대한 소비자의 인식을 제고하고, 비용 회수가능성도 높아지는 것으로 분석됐다. </w:t>
      </w:r>
    </w:p>
    <w:p w:rsidR="004A52E9" w:rsidRPr="004A52E9" w:rsidRDefault="004A52E9" w:rsidP="004A52E9">
      <w:pPr>
        <w:rPr>
          <w:rFonts w:eastAsiaTheme="minorHAnsi"/>
          <w:sz w:val="22"/>
        </w:rPr>
      </w:pPr>
      <w:r w:rsidRPr="004A52E9">
        <w:rPr>
          <w:rFonts w:eastAsiaTheme="minorHAnsi" w:hint="eastAsia"/>
          <w:sz w:val="22"/>
        </w:rPr>
        <w:t>현재</w:t>
      </w:r>
      <w:r w:rsidRPr="004A52E9">
        <w:rPr>
          <w:rFonts w:eastAsiaTheme="minorHAnsi"/>
          <w:sz w:val="22"/>
        </w:rPr>
        <w:t xml:space="preserve"> 전 세계적으로 17개국가에서 RPS제도를 도입해 운영 중이다. 미국과 호주, 일본 등 대부분의 국가에서는 RPS의무를 판매사업자에 부담하고 있다. 판매사업자가 공급의무를 부담하는 경우 판매사업자가 관련 비용을 최종 소비자로부터 회수하게 돼 자동으로 비용보전이 이뤄진다.</w:t>
      </w:r>
    </w:p>
    <w:p w:rsidR="004A52E9" w:rsidRPr="004A52E9" w:rsidRDefault="004A52E9" w:rsidP="004A52E9">
      <w:pPr>
        <w:rPr>
          <w:rFonts w:eastAsiaTheme="minorHAnsi"/>
          <w:sz w:val="22"/>
        </w:rPr>
      </w:pPr>
      <w:r w:rsidRPr="004A52E9">
        <w:rPr>
          <w:rFonts w:eastAsiaTheme="minorHAnsi" w:hint="eastAsia"/>
          <w:sz w:val="22"/>
        </w:rPr>
        <w:t>하지만</w:t>
      </w:r>
      <w:r w:rsidRPr="004A52E9">
        <w:rPr>
          <w:rFonts w:eastAsiaTheme="minorHAnsi"/>
          <w:sz w:val="22"/>
        </w:rPr>
        <w:t xml:space="preserve"> 우리나라와 같이 발전사업자가 의무공급기관인 경우 비용회수가 요금부과형태에 따라 달라진다.</w:t>
      </w:r>
    </w:p>
    <w:p w:rsidR="004A52E9" w:rsidRPr="004A52E9" w:rsidRDefault="004A52E9" w:rsidP="004A52E9">
      <w:pPr>
        <w:rPr>
          <w:rFonts w:eastAsiaTheme="minorHAnsi"/>
          <w:sz w:val="22"/>
        </w:rPr>
      </w:pPr>
      <w:r w:rsidRPr="004A52E9">
        <w:rPr>
          <w:rFonts w:eastAsiaTheme="minorHAnsi" w:hint="eastAsia"/>
          <w:sz w:val="22"/>
        </w:rPr>
        <w:t>삼일회계법인이</w:t>
      </w:r>
      <w:r w:rsidRPr="004A52E9">
        <w:rPr>
          <w:rFonts w:eastAsiaTheme="minorHAnsi"/>
          <w:sz w:val="22"/>
        </w:rPr>
        <w:t xml:space="preserve"> 지경부 용역으로 수행한 과제결과에 따르면 RPS 이행비용을 기존전기요금에 반영할 경우 별도 요금항목을 신설할 때와 비교해 회수 가능성과 소비자인식 면에서 큰 차이가 발생하는 것으로 조사됐다.</w:t>
      </w:r>
    </w:p>
    <w:p w:rsidR="004A52E9" w:rsidRPr="004A52E9" w:rsidRDefault="004A52E9" w:rsidP="004A52E9">
      <w:pPr>
        <w:rPr>
          <w:rFonts w:eastAsiaTheme="minorHAnsi"/>
          <w:sz w:val="22"/>
        </w:rPr>
      </w:pPr>
      <w:r w:rsidRPr="004A52E9">
        <w:rPr>
          <w:rFonts w:eastAsiaTheme="minorHAnsi" w:hint="eastAsia"/>
          <w:sz w:val="22"/>
        </w:rPr>
        <w:t>즉</w:t>
      </w:r>
      <w:r w:rsidRPr="004A52E9">
        <w:rPr>
          <w:rFonts w:eastAsiaTheme="minorHAnsi"/>
          <w:sz w:val="22"/>
        </w:rPr>
        <w:t xml:space="preserve"> 기존 전기요금에 반영될 경우 정치적 영향으로 인한 적정요금 수준이 왜곡됨으로써 회수가능성이 불확실하고, 단순한 요금 인상요인으로만 인식할 위험이 커 소비자의 인식수준도 낮았다.</w:t>
      </w:r>
    </w:p>
    <w:p w:rsidR="004A52E9" w:rsidRPr="004A52E9" w:rsidRDefault="004A52E9" w:rsidP="004A52E9">
      <w:pPr>
        <w:rPr>
          <w:rFonts w:eastAsiaTheme="minorHAnsi"/>
          <w:sz w:val="22"/>
        </w:rPr>
      </w:pPr>
      <w:r w:rsidRPr="004A52E9">
        <w:rPr>
          <w:rFonts w:eastAsiaTheme="minorHAnsi" w:hint="eastAsia"/>
          <w:sz w:val="22"/>
        </w:rPr>
        <w:lastRenderedPageBreak/>
        <w:t>그러나</w:t>
      </w:r>
      <w:r w:rsidRPr="004A52E9">
        <w:rPr>
          <w:rFonts w:eastAsiaTheme="minorHAnsi"/>
          <w:sz w:val="22"/>
        </w:rPr>
        <w:t xml:space="preserve"> 지경부는 RPS 시행 2년째인 내년에도 별도 요금항목 신설이 어렵다는 입장이다.</w:t>
      </w:r>
    </w:p>
    <w:p w:rsidR="004A52E9" w:rsidRPr="004A52E9" w:rsidRDefault="004A52E9" w:rsidP="004A52E9">
      <w:pPr>
        <w:rPr>
          <w:rFonts w:eastAsiaTheme="minorHAnsi"/>
          <w:sz w:val="22"/>
        </w:rPr>
      </w:pPr>
      <w:r w:rsidRPr="004A52E9">
        <w:rPr>
          <w:rFonts w:eastAsiaTheme="minorHAnsi" w:hint="eastAsia"/>
          <w:sz w:val="22"/>
        </w:rPr>
        <w:t>지경부</w:t>
      </w:r>
      <w:r w:rsidRPr="004A52E9">
        <w:rPr>
          <w:rFonts w:eastAsiaTheme="minorHAnsi"/>
          <w:sz w:val="22"/>
        </w:rPr>
        <w:t xml:space="preserve"> 관계자는 “현재로서는 기존 전기요금 안에서 RPS 이행비용을 보전해야 할 것 같다”며 “앞으로 별도항목으로 부과하는 방안을 적극 검토해 나갈 계획”이라고 말했다. </w:t>
      </w:r>
    </w:p>
    <w:p w:rsidR="004A52E9" w:rsidRPr="004A52E9" w:rsidRDefault="004A52E9" w:rsidP="004A52E9">
      <w:pPr>
        <w:rPr>
          <w:rFonts w:eastAsiaTheme="minorHAnsi"/>
          <w:sz w:val="22"/>
        </w:rPr>
      </w:pPr>
    </w:p>
    <w:p w:rsidR="004A52E9" w:rsidRPr="00CB0EDA" w:rsidRDefault="004A52E9" w:rsidP="004A52E9">
      <w:pPr>
        <w:rPr>
          <w:rFonts w:eastAsiaTheme="minorHAnsi"/>
          <w:sz w:val="22"/>
        </w:rPr>
      </w:pPr>
      <w:bookmarkStart w:id="0" w:name="_GoBack"/>
      <w:bookmarkEnd w:id="0"/>
    </w:p>
    <w:sectPr w:rsidR="004A52E9" w:rsidRPr="00CB0EDA" w:rsidSect="004A0160">
      <w:footerReference w:type="default" r:id="rId11"/>
      <w:pgSz w:w="11907" w:h="16839" w:code="9"/>
      <w:pgMar w:top="720" w:right="720" w:bottom="720" w:left="720" w:header="851" w:footer="992" w:gutter="0"/>
      <w:pgNumType w:chapStyle="1"/>
      <w:cols w:sep="1"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383" w:rsidRDefault="00E93383" w:rsidP="0013493E">
      <w:r>
        <w:separator/>
      </w:r>
    </w:p>
  </w:endnote>
  <w:endnote w:type="continuationSeparator" w:id="0">
    <w:p w:rsidR="00E93383" w:rsidRDefault="00E93383" w:rsidP="0013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함초롬바탕">
    <w:panose1 w:val="02030504000101010101"/>
    <w:charset w:val="81"/>
    <w:family w:val="roman"/>
    <w:pitch w:val="variable"/>
    <w:sig w:usb0="F7FFAEFF" w:usb1="FBDFFFFF" w:usb2="0417FFFF"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399604"/>
      <w:docPartObj>
        <w:docPartGallery w:val="Page Numbers (Bottom of Page)"/>
        <w:docPartUnique/>
      </w:docPartObj>
    </w:sdtPr>
    <w:sdtEndPr/>
    <w:sdtContent>
      <w:sdt>
        <w:sdtPr>
          <w:id w:val="-1669238322"/>
          <w:docPartObj>
            <w:docPartGallery w:val="Page Numbers (Top of Page)"/>
            <w:docPartUnique/>
          </w:docPartObj>
        </w:sdtPr>
        <w:sdtEndPr/>
        <w:sdtContent>
          <w:p w:rsidR="004A0160" w:rsidRDefault="004A0160">
            <w:pPr>
              <w:pStyle w:val="a7"/>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sidR="004773F7">
              <w:rPr>
                <w:b/>
                <w:bCs/>
                <w:noProof/>
              </w:rPr>
              <w:t>6</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4773F7">
              <w:rPr>
                <w:b/>
                <w:bCs/>
                <w:noProof/>
              </w:rPr>
              <w:t>6</w:t>
            </w:r>
            <w:r>
              <w:rPr>
                <w:b/>
                <w:bCs/>
                <w:sz w:val="24"/>
                <w:szCs w:val="24"/>
              </w:rPr>
              <w:fldChar w:fldCharType="end"/>
            </w:r>
          </w:p>
        </w:sdtContent>
      </w:sdt>
    </w:sdtContent>
  </w:sdt>
  <w:p w:rsidR="001E15B1" w:rsidRDefault="001E15B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383" w:rsidRDefault="00E93383" w:rsidP="0013493E">
      <w:r>
        <w:separator/>
      </w:r>
    </w:p>
  </w:footnote>
  <w:footnote w:type="continuationSeparator" w:id="0">
    <w:p w:rsidR="00E93383" w:rsidRDefault="00E93383" w:rsidP="00134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802"/>
    <w:multiLevelType w:val="hybridMultilevel"/>
    <w:tmpl w:val="81A65AB0"/>
    <w:lvl w:ilvl="0" w:tplc="D2CA09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123A72"/>
    <w:multiLevelType w:val="hybridMultilevel"/>
    <w:tmpl w:val="6EDC5F2A"/>
    <w:lvl w:ilvl="0" w:tplc="1BCCAE84">
      <w:start w:val="1"/>
      <w:numFmt w:val="decimal"/>
      <w:lvlText w:val="%1."/>
      <w:lvlJc w:val="left"/>
      <w:pPr>
        <w:ind w:left="760" w:hanging="360"/>
      </w:pPr>
      <w:rPr>
        <w:rFonts w:eastAsiaTheme="minorEastAsia" w:hint="default"/>
        <w:b/>
        <w:color w:val="444444"/>
        <w:sz w:val="27"/>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606BB1"/>
    <w:multiLevelType w:val="hybridMultilevel"/>
    <w:tmpl w:val="A8CC22E2"/>
    <w:lvl w:ilvl="0" w:tplc="82EE71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BE329F9"/>
    <w:multiLevelType w:val="hybridMultilevel"/>
    <w:tmpl w:val="EC4CC6D4"/>
    <w:lvl w:ilvl="0" w:tplc="67860A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1703435"/>
    <w:multiLevelType w:val="hybridMultilevel"/>
    <w:tmpl w:val="3410BCDC"/>
    <w:lvl w:ilvl="0" w:tplc="D4B849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26134D3"/>
    <w:multiLevelType w:val="hybridMultilevel"/>
    <w:tmpl w:val="1724172E"/>
    <w:lvl w:ilvl="0" w:tplc="6F00B8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8BE604D"/>
    <w:multiLevelType w:val="hybridMultilevel"/>
    <w:tmpl w:val="339EBD24"/>
    <w:lvl w:ilvl="0" w:tplc="D136B2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FC73DA2"/>
    <w:multiLevelType w:val="hybridMultilevel"/>
    <w:tmpl w:val="C1F43BCA"/>
    <w:lvl w:ilvl="0" w:tplc="EB026B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21765E49"/>
    <w:multiLevelType w:val="hybridMultilevel"/>
    <w:tmpl w:val="F3AA61A8"/>
    <w:lvl w:ilvl="0" w:tplc="813E8F60">
      <w:start w:val="1"/>
      <w:numFmt w:val="decimal"/>
      <w:lvlText w:val="%1."/>
      <w:lvlJc w:val="left"/>
      <w:pPr>
        <w:ind w:left="760" w:hanging="360"/>
      </w:pPr>
      <w:rPr>
        <w:rFonts w:ascii="바탕" w:eastAsia="바탕" w:hAnsi="바탕" w:cs="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226D776C"/>
    <w:multiLevelType w:val="hybridMultilevel"/>
    <w:tmpl w:val="3E26ADD2"/>
    <w:lvl w:ilvl="0" w:tplc="B4FCDB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4A15FC6"/>
    <w:multiLevelType w:val="hybridMultilevel"/>
    <w:tmpl w:val="36026E9C"/>
    <w:lvl w:ilvl="0" w:tplc="C79C5B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54A3D74"/>
    <w:multiLevelType w:val="hybridMultilevel"/>
    <w:tmpl w:val="A8648F56"/>
    <w:lvl w:ilvl="0" w:tplc="2ABE07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CEC0566"/>
    <w:multiLevelType w:val="hybridMultilevel"/>
    <w:tmpl w:val="684C8806"/>
    <w:lvl w:ilvl="0" w:tplc="A0BE2F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D9437FF"/>
    <w:multiLevelType w:val="hybridMultilevel"/>
    <w:tmpl w:val="FA982464"/>
    <w:lvl w:ilvl="0" w:tplc="E5E649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DAD74B8"/>
    <w:multiLevelType w:val="hybridMultilevel"/>
    <w:tmpl w:val="01F67A4E"/>
    <w:lvl w:ilvl="0" w:tplc="37F2C0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2E885449"/>
    <w:multiLevelType w:val="hybridMultilevel"/>
    <w:tmpl w:val="6F86F154"/>
    <w:lvl w:ilvl="0" w:tplc="A32E8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FBC6FF4"/>
    <w:multiLevelType w:val="hybridMultilevel"/>
    <w:tmpl w:val="2B28F0D2"/>
    <w:lvl w:ilvl="0" w:tplc="AD90E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35A3284"/>
    <w:multiLevelType w:val="hybridMultilevel"/>
    <w:tmpl w:val="FE188C64"/>
    <w:lvl w:ilvl="0" w:tplc="1B1A2A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4A71F17"/>
    <w:multiLevelType w:val="hybridMultilevel"/>
    <w:tmpl w:val="65224A5E"/>
    <w:lvl w:ilvl="0" w:tplc="3EF4711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9">
    <w:nsid w:val="39D572AC"/>
    <w:multiLevelType w:val="hybridMultilevel"/>
    <w:tmpl w:val="E0DE4FE0"/>
    <w:lvl w:ilvl="0" w:tplc="93C68A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3ABA2F18"/>
    <w:multiLevelType w:val="hybridMultilevel"/>
    <w:tmpl w:val="C45ED8DE"/>
    <w:lvl w:ilvl="0" w:tplc="C35297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3CD27232"/>
    <w:multiLevelType w:val="hybridMultilevel"/>
    <w:tmpl w:val="50FA17E8"/>
    <w:lvl w:ilvl="0" w:tplc="A198D9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412E5646"/>
    <w:multiLevelType w:val="hybridMultilevel"/>
    <w:tmpl w:val="9AAA08E0"/>
    <w:lvl w:ilvl="0" w:tplc="ECFE5A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2735464"/>
    <w:multiLevelType w:val="hybridMultilevel"/>
    <w:tmpl w:val="103C15EA"/>
    <w:lvl w:ilvl="0" w:tplc="21481E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5AC61B8B"/>
    <w:multiLevelType w:val="hybridMultilevel"/>
    <w:tmpl w:val="DED41FB4"/>
    <w:lvl w:ilvl="0" w:tplc="F46442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5B452977"/>
    <w:multiLevelType w:val="hybridMultilevel"/>
    <w:tmpl w:val="3E489CEC"/>
    <w:lvl w:ilvl="0" w:tplc="86A628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5BCB54E8"/>
    <w:multiLevelType w:val="hybridMultilevel"/>
    <w:tmpl w:val="A13C21D6"/>
    <w:lvl w:ilvl="0" w:tplc="4B2E98F0">
      <w:start w:val="1"/>
      <w:numFmt w:val="decimal"/>
      <w:lvlText w:val="%1."/>
      <w:lvlJc w:val="left"/>
      <w:pPr>
        <w:ind w:left="880" w:hanging="4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5E99506C"/>
    <w:multiLevelType w:val="hybridMultilevel"/>
    <w:tmpl w:val="230E24E0"/>
    <w:lvl w:ilvl="0" w:tplc="8A6CC5B4">
      <w:start w:val="1"/>
      <w:numFmt w:val="decimal"/>
      <w:lvlText w:val="%1."/>
      <w:lvlJc w:val="left"/>
      <w:pPr>
        <w:ind w:left="760" w:hanging="360"/>
      </w:pPr>
      <w:rPr>
        <w:rFonts w:eastAsiaTheme="minorEastAsia" w:hint="default"/>
        <w:b/>
        <w:color w:val="444444"/>
        <w:sz w:val="27"/>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5FD95E0D"/>
    <w:multiLevelType w:val="hybridMultilevel"/>
    <w:tmpl w:val="8FFC3880"/>
    <w:lvl w:ilvl="0" w:tplc="BFCA5238">
      <w:start w:val="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621227AF"/>
    <w:multiLevelType w:val="hybridMultilevel"/>
    <w:tmpl w:val="158C040A"/>
    <w:lvl w:ilvl="0" w:tplc="F08A8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65B2232B"/>
    <w:multiLevelType w:val="hybridMultilevel"/>
    <w:tmpl w:val="E7184306"/>
    <w:lvl w:ilvl="0" w:tplc="837A8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84B62F4"/>
    <w:multiLevelType w:val="hybridMultilevel"/>
    <w:tmpl w:val="460A61BC"/>
    <w:lvl w:ilvl="0" w:tplc="810E67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74A53AE7"/>
    <w:multiLevelType w:val="hybridMultilevel"/>
    <w:tmpl w:val="D832AD0E"/>
    <w:lvl w:ilvl="0" w:tplc="25CAFB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754C3460"/>
    <w:multiLevelType w:val="hybridMultilevel"/>
    <w:tmpl w:val="A4BC3A12"/>
    <w:lvl w:ilvl="0" w:tplc="924003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774C5F91"/>
    <w:multiLevelType w:val="hybridMultilevel"/>
    <w:tmpl w:val="8D2AE5CC"/>
    <w:lvl w:ilvl="0" w:tplc="E00247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79736DC"/>
    <w:multiLevelType w:val="hybridMultilevel"/>
    <w:tmpl w:val="21AC3C54"/>
    <w:lvl w:ilvl="0" w:tplc="733C4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7BC90F6D"/>
    <w:multiLevelType w:val="hybridMultilevel"/>
    <w:tmpl w:val="A44452B0"/>
    <w:lvl w:ilvl="0" w:tplc="CDDACC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7CFD4467"/>
    <w:multiLevelType w:val="hybridMultilevel"/>
    <w:tmpl w:val="655AB228"/>
    <w:lvl w:ilvl="0" w:tplc="4DDA00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3"/>
  </w:num>
  <w:num w:numId="2">
    <w:abstractNumId w:val="18"/>
  </w:num>
  <w:num w:numId="3">
    <w:abstractNumId w:val="27"/>
  </w:num>
  <w:num w:numId="4">
    <w:abstractNumId w:val="1"/>
  </w:num>
  <w:num w:numId="5">
    <w:abstractNumId w:val="10"/>
  </w:num>
  <w:num w:numId="6">
    <w:abstractNumId w:val="15"/>
  </w:num>
  <w:num w:numId="7">
    <w:abstractNumId w:val="5"/>
  </w:num>
  <w:num w:numId="8">
    <w:abstractNumId w:val="35"/>
  </w:num>
  <w:num w:numId="9">
    <w:abstractNumId w:val="17"/>
  </w:num>
  <w:num w:numId="10">
    <w:abstractNumId w:val="29"/>
  </w:num>
  <w:num w:numId="11">
    <w:abstractNumId w:val="12"/>
  </w:num>
  <w:num w:numId="12">
    <w:abstractNumId w:val="9"/>
  </w:num>
  <w:num w:numId="13">
    <w:abstractNumId w:val="36"/>
  </w:num>
  <w:num w:numId="14">
    <w:abstractNumId w:val="3"/>
  </w:num>
  <w:num w:numId="15">
    <w:abstractNumId w:val="6"/>
  </w:num>
  <w:num w:numId="16">
    <w:abstractNumId w:val="2"/>
  </w:num>
  <w:num w:numId="17">
    <w:abstractNumId w:val="8"/>
  </w:num>
  <w:num w:numId="18">
    <w:abstractNumId w:val="13"/>
  </w:num>
  <w:num w:numId="19">
    <w:abstractNumId w:val="26"/>
  </w:num>
  <w:num w:numId="20">
    <w:abstractNumId w:val="0"/>
  </w:num>
  <w:num w:numId="21">
    <w:abstractNumId w:val="30"/>
  </w:num>
  <w:num w:numId="22">
    <w:abstractNumId w:val="24"/>
  </w:num>
  <w:num w:numId="23">
    <w:abstractNumId w:val="11"/>
  </w:num>
  <w:num w:numId="24">
    <w:abstractNumId w:val="7"/>
  </w:num>
  <w:num w:numId="25">
    <w:abstractNumId w:val="34"/>
  </w:num>
  <w:num w:numId="26">
    <w:abstractNumId w:val="20"/>
  </w:num>
  <w:num w:numId="27">
    <w:abstractNumId w:val="4"/>
  </w:num>
  <w:num w:numId="28">
    <w:abstractNumId w:val="14"/>
  </w:num>
  <w:num w:numId="29">
    <w:abstractNumId w:val="28"/>
  </w:num>
  <w:num w:numId="30">
    <w:abstractNumId w:val="21"/>
  </w:num>
  <w:num w:numId="31">
    <w:abstractNumId w:val="22"/>
  </w:num>
  <w:num w:numId="32">
    <w:abstractNumId w:val="37"/>
  </w:num>
  <w:num w:numId="33">
    <w:abstractNumId w:val="31"/>
  </w:num>
  <w:num w:numId="34">
    <w:abstractNumId w:val="32"/>
  </w:num>
  <w:num w:numId="35">
    <w:abstractNumId w:val="16"/>
  </w:num>
  <w:num w:numId="36">
    <w:abstractNumId w:val="33"/>
  </w:num>
  <w:num w:numId="37">
    <w:abstractNumId w:val="19"/>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B65"/>
    <w:rsid w:val="0001794B"/>
    <w:rsid w:val="000939D6"/>
    <w:rsid w:val="000A3AA2"/>
    <w:rsid w:val="000A55E2"/>
    <w:rsid w:val="000B35F1"/>
    <w:rsid w:val="000C1794"/>
    <w:rsid w:val="000D34F9"/>
    <w:rsid w:val="00101B05"/>
    <w:rsid w:val="00105226"/>
    <w:rsid w:val="00131AFB"/>
    <w:rsid w:val="0013493E"/>
    <w:rsid w:val="00170DCC"/>
    <w:rsid w:val="00181E01"/>
    <w:rsid w:val="00191C8A"/>
    <w:rsid w:val="001977B6"/>
    <w:rsid w:val="001A496B"/>
    <w:rsid w:val="001C0191"/>
    <w:rsid w:val="001D2502"/>
    <w:rsid w:val="001E0927"/>
    <w:rsid w:val="001E15B1"/>
    <w:rsid w:val="001F1F76"/>
    <w:rsid w:val="001F2072"/>
    <w:rsid w:val="00282678"/>
    <w:rsid w:val="00283FDF"/>
    <w:rsid w:val="00284C71"/>
    <w:rsid w:val="002941CD"/>
    <w:rsid w:val="002D78BC"/>
    <w:rsid w:val="003212CF"/>
    <w:rsid w:val="003551A1"/>
    <w:rsid w:val="00357593"/>
    <w:rsid w:val="00367139"/>
    <w:rsid w:val="003734EA"/>
    <w:rsid w:val="0039034E"/>
    <w:rsid w:val="00394913"/>
    <w:rsid w:val="003A0BB7"/>
    <w:rsid w:val="003A7EB8"/>
    <w:rsid w:val="003B2D05"/>
    <w:rsid w:val="003C04F9"/>
    <w:rsid w:val="003D47C2"/>
    <w:rsid w:val="00422DD8"/>
    <w:rsid w:val="00431B84"/>
    <w:rsid w:val="00433458"/>
    <w:rsid w:val="004565C4"/>
    <w:rsid w:val="004631D0"/>
    <w:rsid w:val="004773F7"/>
    <w:rsid w:val="004A0160"/>
    <w:rsid w:val="004A408F"/>
    <w:rsid w:val="004A52E9"/>
    <w:rsid w:val="004D44BD"/>
    <w:rsid w:val="004E48F7"/>
    <w:rsid w:val="00541B65"/>
    <w:rsid w:val="00544871"/>
    <w:rsid w:val="005478A5"/>
    <w:rsid w:val="005730AD"/>
    <w:rsid w:val="00581A5A"/>
    <w:rsid w:val="005859FF"/>
    <w:rsid w:val="005C3810"/>
    <w:rsid w:val="005D6957"/>
    <w:rsid w:val="005E277A"/>
    <w:rsid w:val="005E3CD6"/>
    <w:rsid w:val="00602B50"/>
    <w:rsid w:val="006078B5"/>
    <w:rsid w:val="0061255F"/>
    <w:rsid w:val="00626130"/>
    <w:rsid w:val="00636D05"/>
    <w:rsid w:val="00642A9C"/>
    <w:rsid w:val="00673E6C"/>
    <w:rsid w:val="006A40AA"/>
    <w:rsid w:val="006B070B"/>
    <w:rsid w:val="006C4B18"/>
    <w:rsid w:val="006D15F0"/>
    <w:rsid w:val="00726BB7"/>
    <w:rsid w:val="00733C06"/>
    <w:rsid w:val="007503BD"/>
    <w:rsid w:val="00763C71"/>
    <w:rsid w:val="007841FB"/>
    <w:rsid w:val="007D0828"/>
    <w:rsid w:val="00811C85"/>
    <w:rsid w:val="008202A9"/>
    <w:rsid w:val="00833773"/>
    <w:rsid w:val="00847D99"/>
    <w:rsid w:val="008820A9"/>
    <w:rsid w:val="008A51F3"/>
    <w:rsid w:val="008C118A"/>
    <w:rsid w:val="008F0044"/>
    <w:rsid w:val="008F3B5D"/>
    <w:rsid w:val="00905AA7"/>
    <w:rsid w:val="00913B02"/>
    <w:rsid w:val="0091615D"/>
    <w:rsid w:val="009241AF"/>
    <w:rsid w:val="009335EA"/>
    <w:rsid w:val="00941F5E"/>
    <w:rsid w:val="00955F8A"/>
    <w:rsid w:val="00993C4F"/>
    <w:rsid w:val="009A030D"/>
    <w:rsid w:val="009C2AE3"/>
    <w:rsid w:val="009E0F6B"/>
    <w:rsid w:val="009E3969"/>
    <w:rsid w:val="009F208D"/>
    <w:rsid w:val="00A26731"/>
    <w:rsid w:val="00A532E4"/>
    <w:rsid w:val="00A62256"/>
    <w:rsid w:val="00A83E20"/>
    <w:rsid w:val="00AA4A9E"/>
    <w:rsid w:val="00AB1AFA"/>
    <w:rsid w:val="00AB31F0"/>
    <w:rsid w:val="00AB473C"/>
    <w:rsid w:val="00AE2228"/>
    <w:rsid w:val="00AF529A"/>
    <w:rsid w:val="00AF7C24"/>
    <w:rsid w:val="00B008C4"/>
    <w:rsid w:val="00B071A9"/>
    <w:rsid w:val="00B119AA"/>
    <w:rsid w:val="00B31A6F"/>
    <w:rsid w:val="00B51019"/>
    <w:rsid w:val="00B57BB0"/>
    <w:rsid w:val="00B743BF"/>
    <w:rsid w:val="00BA4626"/>
    <w:rsid w:val="00BA6152"/>
    <w:rsid w:val="00BB3B60"/>
    <w:rsid w:val="00BB40ED"/>
    <w:rsid w:val="00BC778A"/>
    <w:rsid w:val="00BF5FEA"/>
    <w:rsid w:val="00BF7D01"/>
    <w:rsid w:val="00C25B35"/>
    <w:rsid w:val="00CB0EDA"/>
    <w:rsid w:val="00CB56D1"/>
    <w:rsid w:val="00CC69FF"/>
    <w:rsid w:val="00CD03A4"/>
    <w:rsid w:val="00CE447C"/>
    <w:rsid w:val="00CF1727"/>
    <w:rsid w:val="00D00081"/>
    <w:rsid w:val="00D44D71"/>
    <w:rsid w:val="00D81AB9"/>
    <w:rsid w:val="00D85CE6"/>
    <w:rsid w:val="00D91ECF"/>
    <w:rsid w:val="00D92148"/>
    <w:rsid w:val="00D936F3"/>
    <w:rsid w:val="00DA3A50"/>
    <w:rsid w:val="00DB2BB4"/>
    <w:rsid w:val="00DB4AC5"/>
    <w:rsid w:val="00DD55EB"/>
    <w:rsid w:val="00DD5C53"/>
    <w:rsid w:val="00DE7600"/>
    <w:rsid w:val="00DE7DD3"/>
    <w:rsid w:val="00E03697"/>
    <w:rsid w:val="00E227C4"/>
    <w:rsid w:val="00E55441"/>
    <w:rsid w:val="00E8384E"/>
    <w:rsid w:val="00E93383"/>
    <w:rsid w:val="00E94478"/>
    <w:rsid w:val="00E95374"/>
    <w:rsid w:val="00EA5A27"/>
    <w:rsid w:val="00EC4319"/>
    <w:rsid w:val="00F11345"/>
    <w:rsid w:val="00F22118"/>
    <w:rsid w:val="00F472A9"/>
    <w:rsid w:val="00F561E4"/>
    <w:rsid w:val="00FA07E2"/>
    <w:rsid w:val="00FB52FF"/>
    <w:rsid w:val="00FC4F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1B65"/>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41B65"/>
    <w:rPr>
      <w:rFonts w:asciiTheme="majorHAnsi" w:eastAsiaTheme="majorEastAsia" w:hAnsiTheme="majorHAnsi" w:cstheme="majorBidi"/>
      <w:sz w:val="18"/>
      <w:szCs w:val="18"/>
    </w:rPr>
  </w:style>
  <w:style w:type="paragraph" w:customStyle="1" w:styleId="a4">
    <w:name w:val="바탕글"/>
    <w:basedOn w:val="a"/>
    <w:rsid w:val="00541B65"/>
    <w:pPr>
      <w:shd w:val="clear" w:color="auto" w:fill="FFFFFF"/>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BC778A"/>
    <w:pPr>
      <w:ind w:leftChars="400" w:left="800"/>
    </w:pPr>
  </w:style>
  <w:style w:type="paragraph" w:styleId="a6">
    <w:name w:val="header"/>
    <w:basedOn w:val="a"/>
    <w:link w:val="Char0"/>
    <w:uiPriority w:val="99"/>
    <w:unhideWhenUsed/>
    <w:rsid w:val="0013493E"/>
    <w:pPr>
      <w:tabs>
        <w:tab w:val="center" w:pos="4513"/>
        <w:tab w:val="right" w:pos="9026"/>
      </w:tabs>
      <w:snapToGrid w:val="0"/>
    </w:pPr>
  </w:style>
  <w:style w:type="character" w:customStyle="1" w:styleId="Char0">
    <w:name w:val="머리글 Char"/>
    <w:basedOn w:val="a0"/>
    <w:link w:val="a6"/>
    <w:uiPriority w:val="99"/>
    <w:rsid w:val="0013493E"/>
  </w:style>
  <w:style w:type="paragraph" w:styleId="a7">
    <w:name w:val="footer"/>
    <w:basedOn w:val="a"/>
    <w:link w:val="Char1"/>
    <w:uiPriority w:val="99"/>
    <w:unhideWhenUsed/>
    <w:rsid w:val="0013493E"/>
    <w:pPr>
      <w:tabs>
        <w:tab w:val="center" w:pos="4513"/>
        <w:tab w:val="right" w:pos="9026"/>
      </w:tabs>
      <w:snapToGrid w:val="0"/>
    </w:pPr>
  </w:style>
  <w:style w:type="character" w:customStyle="1" w:styleId="Char1">
    <w:name w:val="바닥글 Char"/>
    <w:basedOn w:val="a0"/>
    <w:link w:val="a7"/>
    <w:uiPriority w:val="99"/>
    <w:rsid w:val="0013493E"/>
  </w:style>
  <w:style w:type="paragraph" w:customStyle="1" w:styleId="img">
    <w:name w:val="img"/>
    <w:basedOn w:val="a"/>
    <w:rsid w:val="00905AA7"/>
    <w:pPr>
      <w:spacing w:before="100" w:beforeAutospacing="1" w:after="100" w:afterAutospacing="1"/>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1B65"/>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41B65"/>
    <w:rPr>
      <w:rFonts w:asciiTheme="majorHAnsi" w:eastAsiaTheme="majorEastAsia" w:hAnsiTheme="majorHAnsi" w:cstheme="majorBidi"/>
      <w:sz w:val="18"/>
      <w:szCs w:val="18"/>
    </w:rPr>
  </w:style>
  <w:style w:type="paragraph" w:customStyle="1" w:styleId="a4">
    <w:name w:val="바탕글"/>
    <w:basedOn w:val="a"/>
    <w:rsid w:val="00541B65"/>
    <w:pPr>
      <w:shd w:val="clear" w:color="auto" w:fill="FFFFFF"/>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BC778A"/>
    <w:pPr>
      <w:ind w:leftChars="400" w:left="800"/>
    </w:pPr>
  </w:style>
  <w:style w:type="paragraph" w:styleId="a6">
    <w:name w:val="header"/>
    <w:basedOn w:val="a"/>
    <w:link w:val="Char0"/>
    <w:uiPriority w:val="99"/>
    <w:unhideWhenUsed/>
    <w:rsid w:val="0013493E"/>
    <w:pPr>
      <w:tabs>
        <w:tab w:val="center" w:pos="4513"/>
        <w:tab w:val="right" w:pos="9026"/>
      </w:tabs>
      <w:snapToGrid w:val="0"/>
    </w:pPr>
  </w:style>
  <w:style w:type="character" w:customStyle="1" w:styleId="Char0">
    <w:name w:val="머리글 Char"/>
    <w:basedOn w:val="a0"/>
    <w:link w:val="a6"/>
    <w:uiPriority w:val="99"/>
    <w:rsid w:val="0013493E"/>
  </w:style>
  <w:style w:type="paragraph" w:styleId="a7">
    <w:name w:val="footer"/>
    <w:basedOn w:val="a"/>
    <w:link w:val="Char1"/>
    <w:uiPriority w:val="99"/>
    <w:unhideWhenUsed/>
    <w:rsid w:val="0013493E"/>
    <w:pPr>
      <w:tabs>
        <w:tab w:val="center" w:pos="4513"/>
        <w:tab w:val="right" w:pos="9026"/>
      </w:tabs>
      <w:snapToGrid w:val="0"/>
    </w:pPr>
  </w:style>
  <w:style w:type="character" w:customStyle="1" w:styleId="Char1">
    <w:name w:val="바닥글 Char"/>
    <w:basedOn w:val="a0"/>
    <w:link w:val="a7"/>
    <w:uiPriority w:val="99"/>
    <w:rsid w:val="0013493E"/>
  </w:style>
  <w:style w:type="paragraph" w:customStyle="1" w:styleId="img">
    <w:name w:val="img"/>
    <w:basedOn w:val="a"/>
    <w:rsid w:val="00905AA7"/>
    <w:pPr>
      <w:spacing w:before="100" w:beforeAutospacing="1" w:after="100" w:afterAutospacing="1"/>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1878">
      <w:bodyDiv w:val="1"/>
      <w:marLeft w:val="0"/>
      <w:marRight w:val="0"/>
      <w:marTop w:val="0"/>
      <w:marBottom w:val="0"/>
      <w:divBdr>
        <w:top w:val="none" w:sz="0" w:space="0" w:color="auto"/>
        <w:left w:val="none" w:sz="0" w:space="0" w:color="auto"/>
        <w:bottom w:val="none" w:sz="0" w:space="0" w:color="auto"/>
        <w:right w:val="none" w:sz="0" w:space="0" w:color="auto"/>
      </w:divBdr>
      <w:divsChild>
        <w:div w:id="1244875458">
          <w:marLeft w:val="0"/>
          <w:marRight w:val="0"/>
          <w:marTop w:val="0"/>
          <w:marBottom w:val="450"/>
          <w:divBdr>
            <w:top w:val="none" w:sz="0" w:space="0" w:color="auto"/>
            <w:left w:val="none" w:sz="0" w:space="0" w:color="auto"/>
            <w:bottom w:val="none" w:sz="0" w:space="0" w:color="auto"/>
            <w:right w:val="none" w:sz="0" w:space="0" w:color="auto"/>
          </w:divBdr>
          <w:divsChild>
            <w:div w:id="172962191">
              <w:marLeft w:val="0"/>
              <w:marRight w:val="0"/>
              <w:marTop w:val="0"/>
              <w:marBottom w:val="0"/>
              <w:divBdr>
                <w:top w:val="none" w:sz="0" w:space="0" w:color="auto"/>
                <w:left w:val="none" w:sz="0" w:space="0" w:color="auto"/>
                <w:bottom w:val="none" w:sz="0" w:space="0" w:color="auto"/>
                <w:right w:val="none" w:sz="0" w:space="0" w:color="auto"/>
              </w:divBdr>
              <w:divsChild>
                <w:div w:id="162937540">
                  <w:marLeft w:val="0"/>
                  <w:marRight w:val="0"/>
                  <w:marTop w:val="225"/>
                  <w:marBottom w:val="225"/>
                  <w:divBdr>
                    <w:top w:val="none" w:sz="0" w:space="0" w:color="auto"/>
                    <w:left w:val="none" w:sz="0" w:space="0" w:color="auto"/>
                    <w:bottom w:val="none" w:sz="0" w:space="0" w:color="auto"/>
                    <w:right w:val="none" w:sz="0" w:space="0" w:color="auto"/>
                  </w:divBdr>
                  <w:divsChild>
                    <w:div w:id="430051679">
                      <w:marLeft w:val="0"/>
                      <w:marRight w:val="0"/>
                      <w:marTop w:val="0"/>
                      <w:marBottom w:val="0"/>
                      <w:divBdr>
                        <w:top w:val="none" w:sz="0" w:space="0" w:color="auto"/>
                        <w:left w:val="none" w:sz="0" w:space="0" w:color="auto"/>
                        <w:bottom w:val="none" w:sz="0" w:space="0" w:color="auto"/>
                        <w:right w:val="none" w:sz="0" w:space="0" w:color="auto"/>
                      </w:divBdr>
                      <w:divsChild>
                        <w:div w:id="11601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13443">
      <w:bodyDiv w:val="1"/>
      <w:marLeft w:val="0"/>
      <w:marRight w:val="0"/>
      <w:marTop w:val="0"/>
      <w:marBottom w:val="0"/>
      <w:divBdr>
        <w:top w:val="none" w:sz="0" w:space="0" w:color="auto"/>
        <w:left w:val="none" w:sz="0" w:space="0" w:color="auto"/>
        <w:bottom w:val="none" w:sz="0" w:space="0" w:color="auto"/>
        <w:right w:val="none" w:sz="0" w:space="0" w:color="auto"/>
      </w:divBdr>
      <w:divsChild>
        <w:div w:id="1498963091">
          <w:marLeft w:val="0"/>
          <w:marRight w:val="0"/>
          <w:marTop w:val="0"/>
          <w:marBottom w:val="0"/>
          <w:divBdr>
            <w:top w:val="none" w:sz="0" w:space="0" w:color="auto"/>
            <w:left w:val="none" w:sz="0" w:space="0" w:color="auto"/>
            <w:bottom w:val="none" w:sz="0" w:space="0" w:color="auto"/>
            <w:right w:val="none" w:sz="0" w:space="0" w:color="auto"/>
          </w:divBdr>
          <w:divsChild>
            <w:div w:id="2080320170">
              <w:marLeft w:val="0"/>
              <w:marRight w:val="0"/>
              <w:marTop w:val="0"/>
              <w:marBottom w:val="0"/>
              <w:divBdr>
                <w:top w:val="none" w:sz="0" w:space="0" w:color="auto"/>
                <w:left w:val="none" w:sz="0" w:space="0" w:color="auto"/>
                <w:bottom w:val="none" w:sz="0" w:space="0" w:color="auto"/>
                <w:right w:val="none" w:sz="0" w:space="0" w:color="auto"/>
              </w:divBdr>
              <w:divsChild>
                <w:div w:id="1386953769">
                  <w:marLeft w:val="0"/>
                  <w:marRight w:val="0"/>
                  <w:marTop w:val="0"/>
                  <w:marBottom w:val="0"/>
                  <w:divBdr>
                    <w:top w:val="single" w:sz="12" w:space="19" w:color="518EC8"/>
                    <w:left w:val="none" w:sz="0" w:space="0" w:color="auto"/>
                    <w:bottom w:val="none" w:sz="0" w:space="0" w:color="auto"/>
                    <w:right w:val="none" w:sz="0" w:space="0" w:color="auto"/>
                  </w:divBdr>
                </w:div>
                <w:div w:id="872114422">
                  <w:marLeft w:val="0"/>
                  <w:marRight w:val="0"/>
                  <w:marTop w:val="0"/>
                  <w:marBottom w:val="0"/>
                  <w:divBdr>
                    <w:top w:val="dashed" w:sz="6" w:space="7" w:color="CCCCCC"/>
                    <w:left w:val="none" w:sz="0" w:space="0" w:color="auto"/>
                    <w:bottom w:val="single" w:sz="6" w:space="5" w:color="E2E2E2"/>
                    <w:right w:val="none" w:sz="0" w:space="0" w:color="auto"/>
                  </w:divBdr>
                  <w:divsChild>
                    <w:div w:id="487945486">
                      <w:marLeft w:val="0"/>
                      <w:marRight w:val="0"/>
                      <w:marTop w:val="0"/>
                      <w:marBottom w:val="0"/>
                      <w:divBdr>
                        <w:top w:val="none" w:sz="0" w:space="0" w:color="auto"/>
                        <w:left w:val="none" w:sz="0" w:space="0" w:color="auto"/>
                        <w:bottom w:val="none" w:sz="0" w:space="0" w:color="auto"/>
                        <w:right w:val="none" w:sz="0" w:space="0" w:color="auto"/>
                      </w:divBdr>
                    </w:div>
                  </w:divsChild>
                </w:div>
                <w:div w:id="313485646">
                  <w:marLeft w:val="0"/>
                  <w:marRight w:val="0"/>
                  <w:marTop w:val="0"/>
                  <w:marBottom w:val="0"/>
                  <w:divBdr>
                    <w:top w:val="none" w:sz="0" w:space="0" w:color="auto"/>
                    <w:left w:val="none" w:sz="0" w:space="0" w:color="auto"/>
                    <w:bottom w:val="none" w:sz="0" w:space="0" w:color="auto"/>
                    <w:right w:val="none" w:sz="0" w:space="0" w:color="auto"/>
                  </w:divBdr>
                  <w:divsChild>
                    <w:div w:id="1124537307">
                      <w:marLeft w:val="0"/>
                      <w:marRight w:val="0"/>
                      <w:marTop w:val="300"/>
                      <w:marBottom w:val="150"/>
                      <w:divBdr>
                        <w:top w:val="none" w:sz="0" w:space="0" w:color="auto"/>
                        <w:left w:val="none" w:sz="0" w:space="0" w:color="auto"/>
                        <w:bottom w:val="none" w:sz="0" w:space="0" w:color="auto"/>
                        <w:right w:val="none" w:sz="0" w:space="0" w:color="auto"/>
                      </w:divBdr>
                      <w:divsChild>
                        <w:div w:id="1186863678">
                          <w:marLeft w:val="0"/>
                          <w:marRight w:val="0"/>
                          <w:marTop w:val="0"/>
                          <w:marBottom w:val="0"/>
                          <w:divBdr>
                            <w:top w:val="none" w:sz="0" w:space="0" w:color="auto"/>
                            <w:left w:val="none" w:sz="0" w:space="0" w:color="auto"/>
                            <w:bottom w:val="none" w:sz="0" w:space="0" w:color="auto"/>
                            <w:right w:val="none" w:sz="0" w:space="0" w:color="auto"/>
                          </w:divBdr>
                        </w:div>
                      </w:divsChild>
                    </w:div>
                    <w:div w:id="1547377886">
                      <w:marLeft w:val="0"/>
                      <w:marRight w:val="0"/>
                      <w:marTop w:val="0"/>
                      <w:marBottom w:val="0"/>
                      <w:divBdr>
                        <w:top w:val="none" w:sz="0" w:space="0" w:color="auto"/>
                        <w:left w:val="none" w:sz="0" w:space="0" w:color="auto"/>
                        <w:bottom w:val="none" w:sz="0" w:space="0" w:color="auto"/>
                        <w:right w:val="none" w:sz="0" w:space="0" w:color="auto"/>
                      </w:divBdr>
                      <w:divsChild>
                        <w:div w:id="1735085779">
                          <w:marLeft w:val="0"/>
                          <w:marRight w:val="0"/>
                          <w:marTop w:val="300"/>
                          <w:marBottom w:val="0"/>
                          <w:divBdr>
                            <w:top w:val="none" w:sz="0" w:space="0" w:color="auto"/>
                            <w:left w:val="none" w:sz="0" w:space="0" w:color="auto"/>
                            <w:bottom w:val="none" w:sz="0" w:space="0" w:color="auto"/>
                            <w:right w:val="none" w:sz="0" w:space="0" w:color="auto"/>
                          </w:divBdr>
                          <w:divsChild>
                            <w:div w:id="1359165473">
                              <w:marLeft w:val="0"/>
                              <w:marRight w:val="0"/>
                              <w:marTop w:val="0"/>
                              <w:marBottom w:val="0"/>
                              <w:divBdr>
                                <w:top w:val="none" w:sz="0" w:space="0" w:color="auto"/>
                                <w:left w:val="none" w:sz="0" w:space="0" w:color="auto"/>
                                <w:bottom w:val="none" w:sz="0" w:space="0" w:color="auto"/>
                                <w:right w:val="none" w:sz="0" w:space="0" w:color="auto"/>
                              </w:divBdr>
                              <w:divsChild>
                                <w:div w:id="2124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168">
                          <w:marLeft w:val="0"/>
                          <w:marRight w:val="0"/>
                          <w:marTop w:val="150"/>
                          <w:marBottom w:val="150"/>
                          <w:divBdr>
                            <w:top w:val="none" w:sz="0" w:space="0" w:color="auto"/>
                            <w:left w:val="none" w:sz="0" w:space="0" w:color="auto"/>
                            <w:bottom w:val="none" w:sz="0" w:space="0" w:color="auto"/>
                            <w:right w:val="none" w:sz="0" w:space="0" w:color="auto"/>
                          </w:divBdr>
                        </w:div>
                        <w:div w:id="524950616">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98182">
      <w:bodyDiv w:val="1"/>
      <w:marLeft w:val="0"/>
      <w:marRight w:val="0"/>
      <w:marTop w:val="0"/>
      <w:marBottom w:val="0"/>
      <w:divBdr>
        <w:top w:val="none" w:sz="0" w:space="0" w:color="auto"/>
        <w:left w:val="none" w:sz="0" w:space="0" w:color="auto"/>
        <w:bottom w:val="none" w:sz="0" w:space="0" w:color="auto"/>
        <w:right w:val="none" w:sz="0" w:space="0" w:color="auto"/>
      </w:divBdr>
      <w:divsChild>
        <w:div w:id="1886213246">
          <w:marLeft w:val="195"/>
          <w:marRight w:val="195"/>
          <w:marTop w:val="0"/>
          <w:marBottom w:val="0"/>
          <w:divBdr>
            <w:top w:val="none" w:sz="0" w:space="0" w:color="auto"/>
            <w:left w:val="single" w:sz="6" w:space="7" w:color="DBDBDB"/>
            <w:bottom w:val="none" w:sz="0" w:space="0" w:color="auto"/>
            <w:right w:val="single" w:sz="6" w:space="7" w:color="DBDBDB"/>
          </w:divBdr>
          <w:divsChild>
            <w:div w:id="1018192038">
              <w:marLeft w:val="0"/>
              <w:marRight w:val="0"/>
              <w:marTop w:val="0"/>
              <w:marBottom w:val="0"/>
              <w:divBdr>
                <w:top w:val="none" w:sz="0" w:space="0" w:color="auto"/>
                <w:left w:val="none" w:sz="0" w:space="0" w:color="auto"/>
                <w:bottom w:val="none" w:sz="0" w:space="0" w:color="auto"/>
                <w:right w:val="none" w:sz="0" w:space="0" w:color="auto"/>
              </w:divBdr>
              <w:divsChild>
                <w:div w:id="1892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2949">
      <w:bodyDiv w:val="1"/>
      <w:marLeft w:val="0"/>
      <w:marRight w:val="0"/>
      <w:marTop w:val="0"/>
      <w:marBottom w:val="0"/>
      <w:divBdr>
        <w:top w:val="none" w:sz="0" w:space="0" w:color="auto"/>
        <w:left w:val="none" w:sz="0" w:space="0" w:color="auto"/>
        <w:bottom w:val="none" w:sz="0" w:space="0" w:color="auto"/>
        <w:right w:val="none" w:sz="0" w:space="0" w:color="auto"/>
      </w:divBdr>
    </w:div>
    <w:div w:id="835417579">
      <w:bodyDiv w:val="1"/>
      <w:marLeft w:val="0"/>
      <w:marRight w:val="0"/>
      <w:marTop w:val="0"/>
      <w:marBottom w:val="0"/>
      <w:divBdr>
        <w:top w:val="none" w:sz="0" w:space="0" w:color="auto"/>
        <w:left w:val="none" w:sz="0" w:space="0" w:color="auto"/>
        <w:bottom w:val="none" w:sz="0" w:space="0" w:color="auto"/>
        <w:right w:val="none" w:sz="0" w:space="0" w:color="auto"/>
      </w:divBdr>
      <w:divsChild>
        <w:div w:id="1994796948">
          <w:marLeft w:val="0"/>
          <w:marRight w:val="0"/>
          <w:marTop w:val="0"/>
          <w:marBottom w:val="0"/>
          <w:divBdr>
            <w:top w:val="none" w:sz="0" w:space="0" w:color="auto"/>
            <w:left w:val="none" w:sz="0" w:space="0" w:color="auto"/>
            <w:bottom w:val="none" w:sz="0" w:space="0" w:color="auto"/>
            <w:right w:val="none" w:sz="0" w:space="0" w:color="auto"/>
          </w:divBdr>
        </w:div>
      </w:divsChild>
    </w:div>
    <w:div w:id="1268125094">
      <w:bodyDiv w:val="1"/>
      <w:marLeft w:val="0"/>
      <w:marRight w:val="0"/>
      <w:marTop w:val="0"/>
      <w:marBottom w:val="0"/>
      <w:divBdr>
        <w:top w:val="none" w:sz="0" w:space="0" w:color="auto"/>
        <w:left w:val="none" w:sz="0" w:space="0" w:color="auto"/>
        <w:bottom w:val="none" w:sz="0" w:space="0" w:color="auto"/>
        <w:right w:val="none" w:sz="0" w:space="0" w:color="auto"/>
      </w:divBdr>
    </w:div>
    <w:div w:id="1705444127">
      <w:bodyDiv w:val="1"/>
      <w:marLeft w:val="0"/>
      <w:marRight w:val="0"/>
      <w:marTop w:val="0"/>
      <w:marBottom w:val="0"/>
      <w:divBdr>
        <w:top w:val="none" w:sz="0" w:space="0" w:color="auto"/>
        <w:left w:val="none" w:sz="0" w:space="0" w:color="auto"/>
        <w:bottom w:val="none" w:sz="0" w:space="0" w:color="auto"/>
        <w:right w:val="none" w:sz="0" w:space="0" w:color="auto"/>
      </w:divBdr>
      <w:divsChild>
        <w:div w:id="366881844">
          <w:marLeft w:val="0"/>
          <w:marRight w:val="0"/>
          <w:marTop w:val="0"/>
          <w:marBottom w:val="0"/>
          <w:divBdr>
            <w:top w:val="none" w:sz="0" w:space="0" w:color="auto"/>
            <w:left w:val="none" w:sz="0" w:space="0" w:color="auto"/>
            <w:bottom w:val="none" w:sz="0" w:space="0" w:color="auto"/>
            <w:right w:val="none" w:sz="0" w:space="0" w:color="auto"/>
          </w:divBdr>
        </w:div>
      </w:divsChild>
    </w:div>
    <w:div w:id="1719277430">
      <w:bodyDiv w:val="1"/>
      <w:marLeft w:val="0"/>
      <w:marRight w:val="0"/>
      <w:marTop w:val="0"/>
      <w:marBottom w:val="0"/>
      <w:divBdr>
        <w:top w:val="none" w:sz="0" w:space="0" w:color="auto"/>
        <w:left w:val="none" w:sz="0" w:space="0" w:color="auto"/>
        <w:bottom w:val="none" w:sz="0" w:space="0" w:color="auto"/>
        <w:right w:val="none" w:sz="0" w:space="0" w:color="auto"/>
      </w:divBdr>
      <w:divsChild>
        <w:div w:id="212476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30641-EB5C-4229-AD28-E75A0F55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867</Words>
  <Characters>4944</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Hewlett-Packard Company</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김아름</dc:creator>
  <cp:lastModifiedBy>김아름</cp:lastModifiedBy>
  <cp:revision>5</cp:revision>
  <cp:lastPrinted>2012-12-20T02:43:00Z</cp:lastPrinted>
  <dcterms:created xsi:type="dcterms:W3CDTF">2012-12-20T02:18:00Z</dcterms:created>
  <dcterms:modified xsi:type="dcterms:W3CDTF">2012-12-20T02:43:00Z</dcterms:modified>
</cp:coreProperties>
</file>