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94C" w:rsidRPr="00243CC3" w:rsidRDefault="006C7855" w:rsidP="00952791">
      <w:pPr>
        <w:ind w:left="360"/>
        <w:jc w:val="center"/>
        <w:outlineLvl w:val="0"/>
        <w:rPr>
          <w:rFonts w:ascii="Times New Roman" w:hAnsi="Times New Roman" w:cs="Times New Roman"/>
          <w:b/>
        </w:rPr>
      </w:pPr>
      <w:r w:rsidRPr="00243CC3">
        <w:rPr>
          <w:rFonts w:ascii="Times New Roman" w:hAnsi="Times New Roman" w:cs="Times New Roman"/>
          <w:b/>
        </w:rPr>
        <w:t>Supplementary Material</w:t>
      </w:r>
    </w:p>
    <w:p w:rsidR="003D2D72" w:rsidRPr="00243CC3" w:rsidRDefault="00AE3933" w:rsidP="00952791">
      <w:pPr>
        <w:outlineLvl w:val="0"/>
        <w:rPr>
          <w:rFonts w:ascii="Times New Roman" w:hAnsi="Times New Roman" w:cs="Times New Roman"/>
          <w:b/>
        </w:rPr>
      </w:pPr>
      <w:r w:rsidRPr="00243CC3">
        <w:rPr>
          <w:rFonts w:ascii="Times New Roman" w:hAnsi="Times New Roman" w:cs="Times New Roman"/>
          <w:b/>
        </w:rPr>
        <w:t>Table S1</w:t>
      </w:r>
      <w:r w:rsidR="00057C5C" w:rsidRPr="00243CC3">
        <w:rPr>
          <w:rFonts w:ascii="Times New Roman" w:hAnsi="Times New Roman" w:cs="Times New Roman"/>
          <w:b/>
        </w:rPr>
        <w:t xml:space="preserve"> </w:t>
      </w:r>
    </w:p>
    <w:p w:rsidR="00057C5C" w:rsidRPr="00243CC3" w:rsidRDefault="00057C5C" w:rsidP="00952791">
      <w:pPr>
        <w:outlineLvl w:val="0"/>
        <w:rPr>
          <w:rFonts w:ascii="Times New Roman" w:hAnsi="Times New Roman" w:cs="Times New Roman"/>
        </w:rPr>
      </w:pPr>
      <w:r w:rsidRPr="00243CC3">
        <w:rPr>
          <w:rFonts w:ascii="Times New Roman" w:hAnsi="Times New Roman" w:cs="Times New Roman"/>
        </w:rPr>
        <w:t>Century extension input parameters</w:t>
      </w:r>
      <w:r w:rsidR="004C3CC1" w:rsidRPr="00243CC3">
        <w:rPr>
          <w:rFonts w:ascii="Times New Roman" w:hAnsi="Times New Roman" w:cs="Times New Roman"/>
        </w:rPr>
        <w:t xml:space="preserve">. </w:t>
      </w:r>
      <w:r w:rsidR="009A197D" w:rsidRPr="00243CC3">
        <w:rPr>
          <w:rFonts w:ascii="Times New Roman" w:hAnsi="Times New Roman" w:cs="Times New Roman"/>
        </w:rPr>
        <w:t>R</w:t>
      </w:r>
      <w:r w:rsidR="004C3CC1" w:rsidRPr="00243CC3">
        <w:rPr>
          <w:rFonts w:ascii="Times New Roman" w:hAnsi="Times New Roman" w:cs="Times New Roman"/>
        </w:rPr>
        <w:t xml:space="preserve">efer to the extensions user's guide for detailed explanations of each parameter, found on the LANDIS-II website: </w:t>
      </w:r>
      <w:hyperlink r:id="rId5" w:history="1">
        <w:r w:rsidR="004C3CC1" w:rsidRPr="00243CC3">
          <w:rPr>
            <w:rStyle w:val="Hyperlink"/>
            <w:rFonts w:ascii="Times New Roman" w:hAnsi="Times New Roman" w:cs="Times New Roman"/>
          </w:rPr>
          <w:t>www.landis-ii.org</w:t>
        </w:r>
      </w:hyperlink>
      <w:r w:rsidR="004C3CC1" w:rsidRPr="00243CC3">
        <w:rPr>
          <w:rFonts w:ascii="Times New Roman" w:hAnsi="Times New Roman" w:cs="Times New Roman"/>
        </w:rPr>
        <w:t xml:space="preserve">.  </w:t>
      </w:r>
      <w:r w:rsidR="00D640E5" w:rsidRPr="00243CC3">
        <w:rPr>
          <w:rFonts w:ascii="Times New Roman" w:hAnsi="Times New Roman" w:cs="Times New Roman"/>
          <w:sz w:val="20"/>
          <w:szCs w:val="20"/>
        </w:rPr>
        <w:t>Species-specific parameters represent species sensitivity to temperature and drought and estimates of % lignin and C</w:t>
      </w:r>
      <w:proofErr w:type="gramStart"/>
      <w:r w:rsidR="00D640E5" w:rsidRPr="00243CC3">
        <w:rPr>
          <w:rFonts w:ascii="Times New Roman" w:hAnsi="Times New Roman" w:cs="Times New Roman"/>
          <w:sz w:val="20"/>
          <w:szCs w:val="20"/>
        </w:rPr>
        <w:t>:N</w:t>
      </w:r>
      <w:proofErr w:type="gramEnd"/>
      <w:r w:rsidR="00D640E5" w:rsidRPr="00243CC3">
        <w:rPr>
          <w:rFonts w:ascii="Times New Roman" w:hAnsi="Times New Roman" w:cs="Times New Roman"/>
          <w:sz w:val="20"/>
          <w:szCs w:val="20"/>
        </w:rPr>
        <w:t xml:space="preserve"> ratios in various plant parts.  The parameters are drawn from the original CENTURY model (</w:t>
      </w:r>
      <w:hyperlink r:id="rId6" w:history="1">
        <w:r w:rsidR="00D640E5" w:rsidRPr="00243CC3">
          <w:rPr>
            <w:rStyle w:val="Hyperlink"/>
            <w:rFonts w:ascii="Times New Roman" w:hAnsi="Times New Roman" w:cs="Times New Roman"/>
            <w:sz w:val="20"/>
            <w:szCs w:val="20"/>
          </w:rPr>
          <w:t>http://www.nrel.colostate.edu/projects/century/manual4/man96.html</w:t>
        </w:r>
      </w:hyperlink>
      <w:r w:rsidR="00D640E5" w:rsidRPr="00243CC3">
        <w:rPr>
          <w:rFonts w:ascii="Times New Roman" w:hAnsi="Times New Roman" w:cs="Times New Roman"/>
          <w:sz w:val="20"/>
          <w:szCs w:val="20"/>
        </w:rPr>
        <w:t xml:space="preserve">) or from the literature, where available.  </w:t>
      </w:r>
      <w:r w:rsidR="000270E0" w:rsidRPr="00243CC3">
        <w:rPr>
          <w:rFonts w:ascii="Times New Roman" w:hAnsi="Times New Roman" w:cs="Times New Roman"/>
          <w:sz w:val="20"/>
          <w:szCs w:val="20"/>
        </w:rPr>
        <w:t xml:space="preserve">Century calculates species-specific establishment probability within each </w:t>
      </w:r>
      <w:proofErr w:type="spellStart"/>
      <w:r w:rsidR="000270E0" w:rsidRPr="00243CC3">
        <w:rPr>
          <w:rFonts w:ascii="Times New Roman" w:hAnsi="Times New Roman" w:cs="Times New Roman"/>
          <w:sz w:val="20"/>
          <w:szCs w:val="20"/>
        </w:rPr>
        <w:t>ecoregion</w:t>
      </w:r>
      <w:proofErr w:type="spellEnd"/>
      <w:r w:rsidR="000270E0" w:rsidRPr="00243CC3">
        <w:rPr>
          <w:rFonts w:ascii="Times New Roman" w:hAnsi="Times New Roman" w:cs="Times New Roman"/>
          <w:sz w:val="20"/>
          <w:szCs w:val="20"/>
        </w:rPr>
        <w:t xml:space="preserve"> based on species sensitivity to growth, temperature, and soil moisture.  </w:t>
      </w:r>
    </w:p>
    <w:tbl>
      <w:tblPr>
        <w:tblW w:w="14576" w:type="dxa"/>
        <w:tblLayout w:type="fixed"/>
        <w:tblLook w:val="04A0" w:firstRow="1" w:lastRow="0" w:firstColumn="1" w:lastColumn="0" w:noHBand="0" w:noVBand="1"/>
      </w:tblPr>
      <w:tblGrid>
        <w:gridCol w:w="2651"/>
        <w:gridCol w:w="901"/>
        <w:gridCol w:w="876"/>
        <w:gridCol w:w="630"/>
        <w:gridCol w:w="720"/>
        <w:gridCol w:w="630"/>
        <w:gridCol w:w="810"/>
        <w:gridCol w:w="900"/>
        <w:gridCol w:w="630"/>
        <w:gridCol w:w="900"/>
        <w:gridCol w:w="951"/>
        <w:gridCol w:w="661"/>
        <w:gridCol w:w="691"/>
        <w:gridCol w:w="749"/>
        <w:gridCol w:w="612"/>
        <w:gridCol w:w="691"/>
        <w:gridCol w:w="573"/>
      </w:tblGrid>
      <w:tr w:rsidR="00057C5C" w:rsidRPr="00243CC3" w:rsidTr="009A197D">
        <w:trPr>
          <w:trHeight w:val="300"/>
        </w:trPr>
        <w:tc>
          <w:tcPr>
            <w:tcW w:w="10599" w:type="dxa"/>
            <w:gridSpan w:val="11"/>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Physiological parameters for 11 tree species and 4 shrub functional groups found in the Lake Tahoe Basin, CA, NV, USA. GDD: Growing Degree Days</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r>
      <w:tr w:rsidR="009A197D" w:rsidRPr="00243CC3" w:rsidTr="009A197D">
        <w:trPr>
          <w:trHeight w:val="885"/>
        </w:trPr>
        <w:tc>
          <w:tcPr>
            <w:tcW w:w="265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Species or functional group</w:t>
            </w:r>
          </w:p>
        </w:tc>
        <w:tc>
          <w:tcPr>
            <w:tcW w:w="90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Functional type</w:t>
            </w:r>
          </w:p>
        </w:tc>
        <w:tc>
          <w:tcPr>
            <w:tcW w:w="876"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Nitrogen tolerance</w:t>
            </w:r>
          </w:p>
        </w:tc>
        <w:tc>
          <w:tcPr>
            <w:tcW w:w="63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GDD min</w:t>
            </w:r>
          </w:p>
        </w:tc>
        <w:tc>
          <w:tcPr>
            <w:tcW w:w="72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GDD max</w:t>
            </w:r>
          </w:p>
        </w:tc>
        <w:tc>
          <w:tcPr>
            <w:tcW w:w="63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Min. Jan. Temp. (C) </w:t>
            </w:r>
          </w:p>
        </w:tc>
        <w:tc>
          <w:tcPr>
            <w:tcW w:w="81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Max Drought</w:t>
            </w:r>
          </w:p>
        </w:tc>
        <w:tc>
          <w:tcPr>
            <w:tcW w:w="90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Leaf longevity (yrs.)</w:t>
            </w:r>
          </w:p>
        </w:tc>
        <w:tc>
          <w:tcPr>
            <w:tcW w:w="63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Leaf lignin (%)</w:t>
            </w:r>
          </w:p>
        </w:tc>
        <w:tc>
          <w:tcPr>
            <w:tcW w:w="90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Fine root lignin (%)</w:t>
            </w:r>
          </w:p>
        </w:tc>
        <w:tc>
          <w:tcPr>
            <w:tcW w:w="95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Wood lignin (%)</w:t>
            </w:r>
          </w:p>
        </w:tc>
        <w:tc>
          <w:tcPr>
            <w:tcW w:w="66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Coarse root lignin (%)</w:t>
            </w:r>
          </w:p>
        </w:tc>
        <w:tc>
          <w:tcPr>
            <w:tcW w:w="69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Leaf CN ratio</w:t>
            </w:r>
          </w:p>
        </w:tc>
        <w:tc>
          <w:tcPr>
            <w:tcW w:w="749"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Fine root C:N ratio</w:t>
            </w:r>
          </w:p>
        </w:tc>
        <w:tc>
          <w:tcPr>
            <w:tcW w:w="612"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Wood C:N ratio</w:t>
            </w:r>
          </w:p>
        </w:tc>
        <w:tc>
          <w:tcPr>
            <w:tcW w:w="69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Coarse root C:N ratio</w:t>
            </w:r>
          </w:p>
        </w:tc>
        <w:tc>
          <w:tcPr>
            <w:tcW w:w="573"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Litter C:N ratio</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Pinus</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jeffreyi</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555</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2149</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0.94</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6.0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0.28</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48</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48</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250</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167</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Pinus</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lambertiana</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815</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2866</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0.90</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2.5</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0.17</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53</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53</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278</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185</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Calocedrus</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decurrens</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837</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2938</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18</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0.99</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0.1</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48</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48</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500</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Abies</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concolor</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540</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2670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0.93</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8.0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0.17</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222</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Abies</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magnifica</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483</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1144</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-18</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0.87</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8.0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0.17</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250</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167</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Pinus</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contorta</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276</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993</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-18</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0.87</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3.5</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48</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48</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500</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Pinus</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monticola</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155</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1016</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-18</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0.82</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7.0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0.31</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37</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37</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500</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Tsuga</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mertensiana</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235</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894</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-18</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0.80</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4.5</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0.24</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80</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80</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222</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Pinus</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albicaulis</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230</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950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-18</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0.90</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5.5</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0.27</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80</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80</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222</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i/>
                <w:iCs/>
                <w:sz w:val="16"/>
                <w:szCs w:val="16"/>
              </w:rPr>
            </w:pPr>
            <w:proofErr w:type="spellStart"/>
            <w:r w:rsidRPr="00243CC3">
              <w:rPr>
                <w:rFonts w:ascii="Times New Roman" w:eastAsia="Times New Roman" w:hAnsi="Times New Roman" w:cs="Times New Roman"/>
                <w:i/>
                <w:iCs/>
                <w:sz w:val="16"/>
                <w:szCs w:val="16"/>
              </w:rPr>
              <w:t>Populus</w:t>
            </w:r>
            <w:proofErr w:type="spellEnd"/>
            <w:r w:rsidRPr="00243CC3">
              <w:rPr>
                <w:rFonts w:ascii="Times New Roman" w:eastAsia="Times New Roman" w:hAnsi="Times New Roman" w:cs="Times New Roman"/>
                <w:i/>
                <w:iCs/>
                <w:sz w:val="16"/>
                <w:szCs w:val="16"/>
              </w:rPr>
              <w:t xml:space="preserve"> </w:t>
            </w:r>
            <w:proofErr w:type="spellStart"/>
            <w:r w:rsidRPr="00243CC3">
              <w:rPr>
                <w:rFonts w:ascii="Times New Roman" w:eastAsia="Times New Roman" w:hAnsi="Times New Roman" w:cs="Times New Roman"/>
                <w:i/>
                <w:iCs/>
                <w:sz w:val="16"/>
                <w:szCs w:val="16"/>
              </w:rPr>
              <w:t>tremuloides</w:t>
            </w:r>
            <w:proofErr w:type="spellEnd"/>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600</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0.82</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0.18</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62</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62</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222</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Non N-fixing </w:t>
            </w:r>
            <w:proofErr w:type="spellStart"/>
            <w:r w:rsidRPr="00243CC3">
              <w:rPr>
                <w:rFonts w:ascii="Times New Roman" w:eastAsia="Times New Roman" w:hAnsi="Times New Roman" w:cs="Times New Roman"/>
                <w:sz w:val="16"/>
                <w:szCs w:val="16"/>
              </w:rPr>
              <w:t>resprouting</w:t>
            </w:r>
            <w:proofErr w:type="spellEnd"/>
            <w:r w:rsidRPr="00243CC3">
              <w:rPr>
                <w:rFonts w:ascii="Times New Roman" w:eastAsia="Times New Roman" w:hAnsi="Times New Roman" w:cs="Times New Roman"/>
                <w:sz w:val="16"/>
                <w:szCs w:val="16"/>
              </w:rPr>
              <w:t xml:space="preserve"> shrubs</w:t>
            </w:r>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400</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4000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0.99</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56</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56</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222</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Non N-fixing obligate seeding shrubs</w:t>
            </w:r>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 </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400</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4000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0.97</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59</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59</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222</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r>
      <w:tr w:rsidR="009A197D" w:rsidRPr="00243CC3" w:rsidTr="009A197D">
        <w:trPr>
          <w:trHeight w:val="300"/>
        </w:trPr>
        <w:tc>
          <w:tcPr>
            <w:tcW w:w="26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N-fixing </w:t>
            </w:r>
            <w:proofErr w:type="spellStart"/>
            <w:r w:rsidRPr="00243CC3">
              <w:rPr>
                <w:rFonts w:ascii="Times New Roman" w:eastAsia="Times New Roman" w:hAnsi="Times New Roman" w:cs="Times New Roman"/>
                <w:sz w:val="16"/>
                <w:szCs w:val="16"/>
              </w:rPr>
              <w:t>resprouting</w:t>
            </w:r>
            <w:proofErr w:type="spellEnd"/>
            <w:r w:rsidRPr="00243CC3">
              <w:rPr>
                <w:rFonts w:ascii="Times New Roman" w:eastAsia="Times New Roman" w:hAnsi="Times New Roman" w:cs="Times New Roman"/>
                <w:sz w:val="16"/>
                <w:szCs w:val="16"/>
              </w:rPr>
              <w:t xml:space="preserve"> shrubs</w:t>
            </w:r>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w:t>
            </w:r>
          </w:p>
        </w:tc>
        <w:tc>
          <w:tcPr>
            <w:tcW w:w="87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Y</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400</w:t>
            </w:r>
          </w:p>
        </w:tc>
        <w:tc>
          <w:tcPr>
            <w:tcW w:w="7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4000</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w:t>
            </w:r>
          </w:p>
        </w:tc>
        <w:tc>
          <w:tcPr>
            <w:tcW w:w="81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0.97</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w:t>
            </w:r>
          </w:p>
        </w:tc>
        <w:tc>
          <w:tcPr>
            <w:tcW w:w="63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9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20</w:t>
            </w:r>
          </w:p>
        </w:tc>
        <w:tc>
          <w:tcPr>
            <w:tcW w:w="74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28</w:t>
            </w:r>
          </w:p>
        </w:tc>
        <w:tc>
          <w:tcPr>
            <w:tcW w:w="612"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69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222</w:t>
            </w:r>
          </w:p>
        </w:tc>
        <w:tc>
          <w:tcPr>
            <w:tcW w:w="57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w:t>
            </w:r>
          </w:p>
        </w:tc>
      </w:tr>
      <w:tr w:rsidR="009A197D" w:rsidRPr="00243CC3" w:rsidTr="009A197D">
        <w:trPr>
          <w:trHeight w:val="300"/>
        </w:trPr>
        <w:tc>
          <w:tcPr>
            <w:tcW w:w="265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N-fixing obligate seeding shrubs</w:t>
            </w:r>
          </w:p>
        </w:tc>
        <w:tc>
          <w:tcPr>
            <w:tcW w:w="90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w:t>
            </w:r>
          </w:p>
        </w:tc>
        <w:tc>
          <w:tcPr>
            <w:tcW w:w="876"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Y</w:t>
            </w:r>
          </w:p>
        </w:tc>
        <w:tc>
          <w:tcPr>
            <w:tcW w:w="63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400</w:t>
            </w:r>
          </w:p>
        </w:tc>
        <w:tc>
          <w:tcPr>
            <w:tcW w:w="72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4000</w:t>
            </w:r>
          </w:p>
        </w:tc>
        <w:tc>
          <w:tcPr>
            <w:tcW w:w="63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w:t>
            </w:r>
          </w:p>
        </w:tc>
        <w:tc>
          <w:tcPr>
            <w:tcW w:w="81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0.99</w:t>
            </w:r>
          </w:p>
        </w:tc>
        <w:tc>
          <w:tcPr>
            <w:tcW w:w="90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w:t>
            </w:r>
          </w:p>
        </w:tc>
        <w:tc>
          <w:tcPr>
            <w:tcW w:w="63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90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w:t>
            </w:r>
          </w:p>
        </w:tc>
        <w:tc>
          <w:tcPr>
            <w:tcW w:w="95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6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0.25</w:t>
            </w:r>
          </w:p>
        </w:tc>
        <w:tc>
          <w:tcPr>
            <w:tcW w:w="69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20</w:t>
            </w:r>
          </w:p>
        </w:tc>
        <w:tc>
          <w:tcPr>
            <w:tcW w:w="749"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612"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333</w:t>
            </w:r>
          </w:p>
        </w:tc>
        <w:tc>
          <w:tcPr>
            <w:tcW w:w="69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222</w:t>
            </w:r>
          </w:p>
        </w:tc>
        <w:tc>
          <w:tcPr>
            <w:tcW w:w="573"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w:t>
            </w:r>
          </w:p>
        </w:tc>
      </w:tr>
    </w:tbl>
    <w:p w:rsidR="00057C5C" w:rsidRPr="00243CC3" w:rsidRDefault="00057C5C">
      <w:pPr>
        <w:rPr>
          <w:rFonts w:ascii="Times New Roman" w:hAnsi="Times New Roman" w:cs="Times New Roman"/>
        </w:rPr>
      </w:pPr>
    </w:p>
    <w:p w:rsidR="006C7855" w:rsidRPr="00243CC3" w:rsidRDefault="006C7855">
      <w:pPr>
        <w:rPr>
          <w:rFonts w:ascii="Times New Roman" w:hAnsi="Times New Roman" w:cs="Times New Roman"/>
        </w:rPr>
      </w:pPr>
    </w:p>
    <w:p w:rsidR="00D640E5" w:rsidRPr="00243CC3" w:rsidRDefault="00D640E5">
      <w:pPr>
        <w:rPr>
          <w:rFonts w:ascii="Times New Roman" w:hAnsi="Times New Roman" w:cs="Times New Roman"/>
        </w:rPr>
      </w:pPr>
    </w:p>
    <w:p w:rsidR="00D640E5" w:rsidRPr="00243CC3" w:rsidRDefault="00D640E5">
      <w:pPr>
        <w:rPr>
          <w:rFonts w:ascii="Times New Roman" w:hAnsi="Times New Roman" w:cs="Times New Roman"/>
        </w:rPr>
      </w:pPr>
    </w:p>
    <w:p w:rsidR="00D640E5" w:rsidRPr="00243CC3" w:rsidRDefault="00D640E5">
      <w:pPr>
        <w:rPr>
          <w:rFonts w:ascii="Times New Roman" w:hAnsi="Times New Roman" w:cs="Times New Roman"/>
        </w:rPr>
      </w:pPr>
    </w:p>
    <w:p w:rsidR="00D640E5" w:rsidRPr="00243CC3" w:rsidRDefault="00D640E5">
      <w:pPr>
        <w:rPr>
          <w:rFonts w:ascii="Times New Roman" w:hAnsi="Times New Roman" w:cs="Times New Roman"/>
        </w:rPr>
      </w:pPr>
    </w:p>
    <w:p w:rsidR="00D640E5" w:rsidRPr="00243CC3" w:rsidRDefault="00D640E5">
      <w:pPr>
        <w:rPr>
          <w:rFonts w:ascii="Times New Roman" w:hAnsi="Times New Roman" w:cs="Times New Roman"/>
        </w:rPr>
      </w:pPr>
    </w:p>
    <w:p w:rsidR="00AE3933" w:rsidRPr="00243CC3" w:rsidRDefault="00AE3933" w:rsidP="00AE3933">
      <w:pPr>
        <w:outlineLvl w:val="0"/>
        <w:rPr>
          <w:rFonts w:ascii="Times New Roman" w:hAnsi="Times New Roman" w:cs="Times New Roman"/>
          <w:b/>
        </w:rPr>
      </w:pPr>
      <w:r w:rsidRPr="00243CC3">
        <w:rPr>
          <w:rFonts w:ascii="Times New Roman" w:hAnsi="Times New Roman" w:cs="Times New Roman"/>
          <w:b/>
        </w:rPr>
        <w:t xml:space="preserve">Table S2 </w:t>
      </w:r>
    </w:p>
    <w:p w:rsidR="00AE3933" w:rsidRPr="00243CC3" w:rsidRDefault="00AE3933" w:rsidP="00AE3933">
      <w:pPr>
        <w:outlineLvl w:val="0"/>
        <w:rPr>
          <w:rFonts w:ascii="Times New Roman" w:hAnsi="Times New Roman" w:cs="Times New Roman"/>
        </w:rPr>
      </w:pPr>
      <w:r w:rsidRPr="00243CC3">
        <w:rPr>
          <w:rFonts w:ascii="Times New Roman" w:hAnsi="Times New Roman" w:cs="Times New Roman"/>
        </w:rPr>
        <w:t>Functional type parameters for the species list in Table 1.</w:t>
      </w:r>
      <w:r w:rsidR="009A197D" w:rsidRPr="00243CC3">
        <w:rPr>
          <w:rFonts w:ascii="Times New Roman" w:hAnsi="Times New Roman" w:cs="Times New Roman"/>
        </w:rPr>
        <w:t xml:space="preserve"> Refer to the extensions user's guide for detailed explanations of each parameter, found on the LANDIS-II website: </w:t>
      </w:r>
      <w:hyperlink r:id="rId7" w:history="1">
        <w:r w:rsidR="009A197D" w:rsidRPr="00243CC3">
          <w:rPr>
            <w:rStyle w:val="Hyperlink"/>
            <w:rFonts w:ascii="Times New Roman" w:hAnsi="Times New Roman" w:cs="Times New Roman"/>
          </w:rPr>
          <w:t>www.landis-ii.org</w:t>
        </w:r>
      </w:hyperlink>
      <w:r w:rsidR="009A197D" w:rsidRPr="00243CC3">
        <w:rPr>
          <w:rFonts w:ascii="Times New Roman" w:hAnsi="Times New Roman" w:cs="Times New Roman"/>
        </w:rPr>
        <w:t xml:space="preserve">. </w:t>
      </w:r>
      <w:r w:rsidR="00D640E5" w:rsidRPr="00243CC3">
        <w:rPr>
          <w:rFonts w:ascii="Times New Roman" w:hAnsi="Times New Roman" w:cs="Times New Roman"/>
          <w:sz w:val="20"/>
          <w:szCs w:val="20"/>
        </w:rPr>
        <w:t>The tree species and shrub functional groups were further classified into functional types, where temperature, Leaf Area Index (LAI), and water limitations were parameterized for monthly growth (e.g., NPP) patterns, specifically in response to the dry summers and below-freezing winter temperatures found at the LTB.  The vegetation within the LTB is well-adapted to the droughty summer months and benefits mainly from the spring snowmelt and early autumn rainfall.  As such, the functional groups were parameterized to allow productivity (hence, minimal water</w:t>
      </w:r>
      <w:r w:rsidR="006B1A47" w:rsidRPr="00243CC3">
        <w:rPr>
          <w:rFonts w:ascii="Times New Roman" w:hAnsi="Times New Roman" w:cs="Times New Roman"/>
          <w:sz w:val="20"/>
          <w:szCs w:val="20"/>
        </w:rPr>
        <w:t xml:space="preserve"> and soil moisture</w:t>
      </w:r>
      <w:r w:rsidR="00D640E5" w:rsidRPr="00243CC3">
        <w:rPr>
          <w:rFonts w:ascii="Times New Roman" w:hAnsi="Times New Roman" w:cs="Times New Roman"/>
          <w:sz w:val="20"/>
          <w:szCs w:val="20"/>
        </w:rPr>
        <w:t xml:space="preserve"> limitations) during the dry summer months.  The CENTURY default LAI values were used for conifers and hardwoods, while shrubs were adjusted for reduced NPP.  </w:t>
      </w:r>
    </w:p>
    <w:tbl>
      <w:tblPr>
        <w:tblW w:w="12615" w:type="dxa"/>
        <w:tblInd w:w="93" w:type="dxa"/>
        <w:tblLook w:val="04A0" w:firstRow="1" w:lastRow="0" w:firstColumn="1" w:lastColumn="0" w:noHBand="0" w:noVBand="1"/>
      </w:tblPr>
      <w:tblGrid>
        <w:gridCol w:w="980"/>
        <w:gridCol w:w="901"/>
        <w:gridCol w:w="679"/>
        <w:gridCol w:w="679"/>
        <w:gridCol w:w="679"/>
        <w:gridCol w:w="679"/>
        <w:gridCol w:w="740"/>
        <w:gridCol w:w="803"/>
        <w:gridCol w:w="599"/>
        <w:gridCol w:w="856"/>
        <w:gridCol w:w="857"/>
        <w:gridCol w:w="857"/>
        <w:gridCol w:w="620"/>
        <w:gridCol w:w="1240"/>
        <w:gridCol w:w="803"/>
        <w:gridCol w:w="643"/>
      </w:tblGrid>
      <w:tr w:rsidR="00057C5C" w:rsidRPr="00243CC3" w:rsidTr="00AE3933">
        <w:trPr>
          <w:trHeight w:val="705"/>
        </w:trPr>
        <w:tc>
          <w:tcPr>
            <w:tcW w:w="98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Name</w:t>
            </w:r>
          </w:p>
        </w:tc>
        <w:tc>
          <w:tcPr>
            <w:tcW w:w="90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Functional type index</w:t>
            </w:r>
          </w:p>
        </w:tc>
        <w:tc>
          <w:tcPr>
            <w:tcW w:w="679"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PPDF1 mean</w:t>
            </w:r>
          </w:p>
        </w:tc>
        <w:tc>
          <w:tcPr>
            <w:tcW w:w="679"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PPDF2  max</w:t>
            </w:r>
          </w:p>
        </w:tc>
        <w:tc>
          <w:tcPr>
            <w:tcW w:w="679"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PPDF1 shape 1</w:t>
            </w:r>
          </w:p>
        </w:tc>
        <w:tc>
          <w:tcPr>
            <w:tcW w:w="679"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PPDF1 shape 2</w:t>
            </w:r>
          </w:p>
        </w:tc>
        <w:tc>
          <w:tcPr>
            <w:tcW w:w="74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NPP leaf (%)</w:t>
            </w:r>
          </w:p>
        </w:tc>
        <w:tc>
          <w:tcPr>
            <w:tcW w:w="803"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BTOLAI</w:t>
            </w:r>
          </w:p>
        </w:tc>
        <w:tc>
          <w:tcPr>
            <w:tcW w:w="599"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KLAI</w:t>
            </w:r>
          </w:p>
        </w:tc>
        <w:tc>
          <w:tcPr>
            <w:tcW w:w="856"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MAXLAI</w:t>
            </w:r>
          </w:p>
        </w:tc>
        <w:tc>
          <w:tcPr>
            <w:tcW w:w="857"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PPRPTS2</w:t>
            </w:r>
          </w:p>
        </w:tc>
        <w:tc>
          <w:tcPr>
            <w:tcW w:w="857"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PPRPTS3</w:t>
            </w:r>
          </w:p>
        </w:tc>
        <w:tc>
          <w:tcPr>
            <w:tcW w:w="62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Wood decay rate</w:t>
            </w:r>
          </w:p>
        </w:tc>
        <w:tc>
          <w:tcPr>
            <w:tcW w:w="124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Wood mortality (%/mo.)</w:t>
            </w:r>
          </w:p>
        </w:tc>
        <w:tc>
          <w:tcPr>
            <w:tcW w:w="803"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 xml:space="preserve">Age mortality shape </w:t>
            </w:r>
          </w:p>
        </w:tc>
        <w:tc>
          <w:tcPr>
            <w:tcW w:w="643"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Leaf Drop Month</w:t>
            </w:r>
          </w:p>
        </w:tc>
      </w:tr>
      <w:tr w:rsidR="00057C5C" w:rsidRPr="00243CC3" w:rsidTr="00AE3933">
        <w:trPr>
          <w:trHeight w:val="300"/>
        </w:trPr>
        <w:tc>
          <w:tcPr>
            <w:tcW w:w="98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Conifers</w:t>
            </w:r>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w:t>
            </w:r>
          </w:p>
        </w:tc>
        <w:tc>
          <w:tcPr>
            <w:tcW w:w="67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23.0</w:t>
            </w:r>
          </w:p>
        </w:tc>
        <w:tc>
          <w:tcPr>
            <w:tcW w:w="67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40.0</w:t>
            </w:r>
          </w:p>
        </w:tc>
        <w:tc>
          <w:tcPr>
            <w:tcW w:w="67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0.05</w:t>
            </w:r>
          </w:p>
        </w:tc>
        <w:tc>
          <w:tcPr>
            <w:tcW w:w="67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6.0</w:t>
            </w:r>
          </w:p>
        </w:tc>
        <w:tc>
          <w:tcPr>
            <w:tcW w:w="74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0.2</w:t>
            </w:r>
          </w:p>
        </w:tc>
        <w:tc>
          <w:tcPr>
            <w:tcW w:w="80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0.002</w:t>
            </w:r>
          </w:p>
        </w:tc>
        <w:tc>
          <w:tcPr>
            <w:tcW w:w="59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5000</w:t>
            </w:r>
          </w:p>
        </w:tc>
        <w:tc>
          <w:tcPr>
            <w:tcW w:w="85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w:t>
            </w:r>
          </w:p>
        </w:tc>
        <w:tc>
          <w:tcPr>
            <w:tcW w:w="85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0.2</w:t>
            </w:r>
          </w:p>
        </w:tc>
        <w:tc>
          <w:tcPr>
            <w:tcW w:w="85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0.1</w:t>
            </w:r>
          </w:p>
        </w:tc>
        <w:tc>
          <w:tcPr>
            <w:tcW w:w="6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w:t>
            </w:r>
          </w:p>
        </w:tc>
        <w:tc>
          <w:tcPr>
            <w:tcW w:w="124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0.002</w:t>
            </w:r>
          </w:p>
        </w:tc>
        <w:tc>
          <w:tcPr>
            <w:tcW w:w="80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10.0</w:t>
            </w:r>
          </w:p>
        </w:tc>
        <w:tc>
          <w:tcPr>
            <w:tcW w:w="64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9.0</w:t>
            </w:r>
          </w:p>
        </w:tc>
      </w:tr>
      <w:tr w:rsidR="00057C5C" w:rsidRPr="00243CC3" w:rsidTr="00AE3933">
        <w:trPr>
          <w:trHeight w:val="300"/>
        </w:trPr>
        <w:tc>
          <w:tcPr>
            <w:tcW w:w="98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Hardwoods</w:t>
            </w:r>
          </w:p>
        </w:tc>
        <w:tc>
          <w:tcPr>
            <w:tcW w:w="90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2</w:t>
            </w:r>
          </w:p>
        </w:tc>
        <w:tc>
          <w:tcPr>
            <w:tcW w:w="67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23.0</w:t>
            </w:r>
          </w:p>
        </w:tc>
        <w:tc>
          <w:tcPr>
            <w:tcW w:w="67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35.0</w:t>
            </w:r>
          </w:p>
        </w:tc>
        <w:tc>
          <w:tcPr>
            <w:tcW w:w="67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0.05</w:t>
            </w:r>
          </w:p>
        </w:tc>
        <w:tc>
          <w:tcPr>
            <w:tcW w:w="67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7.0</w:t>
            </w:r>
          </w:p>
        </w:tc>
        <w:tc>
          <w:tcPr>
            <w:tcW w:w="74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0.3</w:t>
            </w:r>
          </w:p>
        </w:tc>
        <w:tc>
          <w:tcPr>
            <w:tcW w:w="80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0.002</w:t>
            </w:r>
          </w:p>
        </w:tc>
        <w:tc>
          <w:tcPr>
            <w:tcW w:w="59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5000</w:t>
            </w:r>
          </w:p>
        </w:tc>
        <w:tc>
          <w:tcPr>
            <w:tcW w:w="85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20</w:t>
            </w:r>
          </w:p>
        </w:tc>
        <w:tc>
          <w:tcPr>
            <w:tcW w:w="85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0.2</w:t>
            </w:r>
          </w:p>
        </w:tc>
        <w:tc>
          <w:tcPr>
            <w:tcW w:w="85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0.1</w:t>
            </w:r>
          </w:p>
        </w:tc>
        <w:tc>
          <w:tcPr>
            <w:tcW w:w="6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w:t>
            </w:r>
          </w:p>
        </w:tc>
        <w:tc>
          <w:tcPr>
            <w:tcW w:w="124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0.002</w:t>
            </w:r>
          </w:p>
        </w:tc>
        <w:tc>
          <w:tcPr>
            <w:tcW w:w="80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10.0</w:t>
            </w:r>
          </w:p>
        </w:tc>
        <w:tc>
          <w:tcPr>
            <w:tcW w:w="64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9.0</w:t>
            </w:r>
          </w:p>
        </w:tc>
      </w:tr>
      <w:tr w:rsidR="00057C5C" w:rsidRPr="00243CC3" w:rsidTr="00AE3933">
        <w:trPr>
          <w:trHeight w:val="300"/>
        </w:trPr>
        <w:tc>
          <w:tcPr>
            <w:tcW w:w="98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Shrubs</w:t>
            </w:r>
          </w:p>
        </w:tc>
        <w:tc>
          <w:tcPr>
            <w:tcW w:w="90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3</w:t>
            </w:r>
          </w:p>
        </w:tc>
        <w:tc>
          <w:tcPr>
            <w:tcW w:w="679"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23.0</w:t>
            </w:r>
          </w:p>
        </w:tc>
        <w:tc>
          <w:tcPr>
            <w:tcW w:w="679"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32.0</w:t>
            </w:r>
          </w:p>
        </w:tc>
        <w:tc>
          <w:tcPr>
            <w:tcW w:w="679"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0.05</w:t>
            </w:r>
          </w:p>
        </w:tc>
        <w:tc>
          <w:tcPr>
            <w:tcW w:w="679"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10.0</w:t>
            </w:r>
          </w:p>
        </w:tc>
        <w:tc>
          <w:tcPr>
            <w:tcW w:w="74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0.3</w:t>
            </w:r>
          </w:p>
        </w:tc>
        <w:tc>
          <w:tcPr>
            <w:tcW w:w="803"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0.002</w:t>
            </w:r>
          </w:p>
        </w:tc>
        <w:tc>
          <w:tcPr>
            <w:tcW w:w="599"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500</w:t>
            </w:r>
          </w:p>
        </w:tc>
        <w:tc>
          <w:tcPr>
            <w:tcW w:w="856"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5</w:t>
            </w:r>
          </w:p>
        </w:tc>
        <w:tc>
          <w:tcPr>
            <w:tcW w:w="857"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0.2</w:t>
            </w:r>
          </w:p>
        </w:tc>
        <w:tc>
          <w:tcPr>
            <w:tcW w:w="857"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0.1</w:t>
            </w:r>
          </w:p>
        </w:tc>
        <w:tc>
          <w:tcPr>
            <w:tcW w:w="62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w:t>
            </w:r>
          </w:p>
        </w:tc>
        <w:tc>
          <w:tcPr>
            <w:tcW w:w="124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0.002</w:t>
            </w:r>
          </w:p>
        </w:tc>
        <w:tc>
          <w:tcPr>
            <w:tcW w:w="803"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10.0</w:t>
            </w:r>
          </w:p>
        </w:tc>
        <w:tc>
          <w:tcPr>
            <w:tcW w:w="643"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9.0</w:t>
            </w:r>
          </w:p>
        </w:tc>
      </w:tr>
      <w:tr w:rsidR="00057C5C" w:rsidRPr="00243CC3" w:rsidTr="00AE3933">
        <w:trPr>
          <w:trHeight w:val="300"/>
        </w:trPr>
        <w:tc>
          <w:tcPr>
            <w:tcW w:w="9929" w:type="dxa"/>
            <w:gridSpan w:val="13"/>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c>
          <w:tcPr>
            <w:tcW w:w="124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c>
          <w:tcPr>
            <w:tcW w:w="80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c>
          <w:tcPr>
            <w:tcW w:w="643"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color w:val="000000"/>
                <w:sz w:val="16"/>
                <w:szCs w:val="16"/>
              </w:rPr>
            </w:pPr>
          </w:p>
        </w:tc>
      </w:tr>
    </w:tbl>
    <w:p w:rsidR="004078D0" w:rsidRPr="00243CC3" w:rsidRDefault="004078D0" w:rsidP="00AE3933">
      <w:pPr>
        <w:outlineLvl w:val="0"/>
        <w:rPr>
          <w:rFonts w:ascii="Times New Roman" w:hAnsi="Times New Roman" w:cs="Times New Roman"/>
          <w:b/>
        </w:rPr>
      </w:pPr>
    </w:p>
    <w:p w:rsidR="00AE3933" w:rsidRPr="00243CC3" w:rsidRDefault="00AE3933" w:rsidP="00AE3933">
      <w:pPr>
        <w:outlineLvl w:val="0"/>
        <w:rPr>
          <w:rFonts w:ascii="Times New Roman" w:hAnsi="Times New Roman" w:cs="Times New Roman"/>
          <w:b/>
        </w:rPr>
      </w:pPr>
      <w:r w:rsidRPr="00243CC3">
        <w:rPr>
          <w:rFonts w:ascii="Times New Roman" w:hAnsi="Times New Roman" w:cs="Times New Roman"/>
          <w:b/>
        </w:rPr>
        <w:t xml:space="preserve">Table S3 </w:t>
      </w:r>
    </w:p>
    <w:p w:rsidR="00AE3933" w:rsidRPr="00243CC3" w:rsidRDefault="00E25D76" w:rsidP="00D640E5">
      <w:pPr>
        <w:rPr>
          <w:rFonts w:ascii="Times New Roman" w:hAnsi="Times New Roman" w:cs="Times New Roman"/>
          <w:sz w:val="20"/>
          <w:szCs w:val="20"/>
        </w:rPr>
      </w:pPr>
      <w:proofErr w:type="gramStart"/>
      <w:r w:rsidRPr="00243CC3">
        <w:rPr>
          <w:rFonts w:ascii="Times New Roman" w:hAnsi="Times New Roman" w:cs="Times New Roman"/>
        </w:rPr>
        <w:t>Initial values of carbon and n</w:t>
      </w:r>
      <w:r w:rsidR="00AE3933" w:rsidRPr="00243CC3">
        <w:rPr>
          <w:rFonts w:ascii="Times New Roman" w:hAnsi="Times New Roman" w:cs="Times New Roman"/>
        </w:rPr>
        <w:t>itrogen in various soil organic pools.</w:t>
      </w:r>
      <w:proofErr w:type="gramEnd"/>
      <w:r w:rsidR="009A197D" w:rsidRPr="00243CC3">
        <w:rPr>
          <w:rFonts w:ascii="Times New Roman" w:hAnsi="Times New Roman" w:cs="Times New Roman"/>
        </w:rPr>
        <w:t xml:space="preserve"> Refer to the extensions user's guide for detailed explanations of each parameter, found on the LANDIS-II website: </w:t>
      </w:r>
      <w:hyperlink r:id="rId8" w:history="1">
        <w:r w:rsidR="009A197D" w:rsidRPr="00243CC3">
          <w:rPr>
            <w:rStyle w:val="Hyperlink"/>
            <w:rFonts w:ascii="Times New Roman" w:hAnsi="Times New Roman" w:cs="Times New Roman"/>
          </w:rPr>
          <w:t>www.landis-ii.org</w:t>
        </w:r>
      </w:hyperlink>
      <w:r w:rsidR="009A197D" w:rsidRPr="00243CC3">
        <w:rPr>
          <w:rFonts w:ascii="Times New Roman" w:hAnsi="Times New Roman" w:cs="Times New Roman"/>
        </w:rPr>
        <w:t xml:space="preserve">.  </w:t>
      </w:r>
      <w:r w:rsidR="00483F99" w:rsidRPr="00243CC3">
        <w:rPr>
          <w:rFonts w:ascii="Times New Roman" w:hAnsi="Times New Roman" w:cs="Times New Roman"/>
        </w:rPr>
        <w:t>Also see Fig. S1.</w:t>
      </w:r>
    </w:p>
    <w:tbl>
      <w:tblPr>
        <w:tblW w:w="8750" w:type="dxa"/>
        <w:tblInd w:w="93" w:type="dxa"/>
        <w:tblLook w:val="04A0" w:firstRow="1" w:lastRow="0" w:firstColumn="1" w:lastColumn="0" w:noHBand="0" w:noVBand="1"/>
      </w:tblPr>
      <w:tblGrid>
        <w:gridCol w:w="2160"/>
        <w:gridCol w:w="785"/>
        <w:gridCol w:w="785"/>
        <w:gridCol w:w="700"/>
        <w:gridCol w:w="700"/>
        <w:gridCol w:w="700"/>
        <w:gridCol w:w="700"/>
        <w:gridCol w:w="700"/>
        <w:gridCol w:w="700"/>
        <w:gridCol w:w="820"/>
      </w:tblGrid>
      <w:tr w:rsidR="00057C5C" w:rsidRPr="00243CC3" w:rsidTr="00AE3933">
        <w:trPr>
          <w:trHeight w:val="450"/>
        </w:trPr>
        <w:tc>
          <w:tcPr>
            <w:tcW w:w="216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proofErr w:type="spellStart"/>
            <w:r w:rsidRPr="00243CC3">
              <w:rPr>
                <w:rFonts w:ascii="Times New Roman" w:eastAsia="Times New Roman" w:hAnsi="Times New Roman" w:cs="Times New Roman"/>
                <w:sz w:val="16"/>
                <w:szCs w:val="16"/>
              </w:rPr>
              <w:t>Ecoregion</w:t>
            </w:r>
            <w:proofErr w:type="spellEnd"/>
          </w:p>
        </w:tc>
        <w:tc>
          <w:tcPr>
            <w:tcW w:w="785"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SOM1 C (surface)</w:t>
            </w:r>
          </w:p>
        </w:tc>
        <w:tc>
          <w:tcPr>
            <w:tcW w:w="785"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SOM1 N (surface)</w:t>
            </w:r>
          </w:p>
        </w:tc>
        <w:tc>
          <w:tcPr>
            <w:tcW w:w="70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SOM1 C (soil)</w:t>
            </w:r>
          </w:p>
        </w:tc>
        <w:tc>
          <w:tcPr>
            <w:tcW w:w="70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SOM1 N (soil)</w:t>
            </w:r>
          </w:p>
        </w:tc>
        <w:tc>
          <w:tcPr>
            <w:tcW w:w="70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SOM2 C</w:t>
            </w:r>
          </w:p>
        </w:tc>
        <w:tc>
          <w:tcPr>
            <w:tcW w:w="70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SOM2 N</w:t>
            </w:r>
          </w:p>
        </w:tc>
        <w:tc>
          <w:tcPr>
            <w:tcW w:w="70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SOM3 C</w:t>
            </w:r>
          </w:p>
        </w:tc>
        <w:tc>
          <w:tcPr>
            <w:tcW w:w="70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SOM3 N</w:t>
            </w:r>
          </w:p>
        </w:tc>
        <w:tc>
          <w:tcPr>
            <w:tcW w:w="82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Mineral N</w:t>
            </w:r>
          </w:p>
        </w:tc>
      </w:tr>
      <w:tr w:rsidR="00057C5C" w:rsidRPr="00243CC3" w:rsidTr="00AE3933">
        <w:trPr>
          <w:trHeight w:val="300"/>
        </w:trPr>
        <w:tc>
          <w:tcPr>
            <w:tcW w:w="216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Eastside Forest &amp; Woodland</w:t>
            </w:r>
          </w:p>
        </w:tc>
        <w:tc>
          <w:tcPr>
            <w:tcW w:w="785"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75.0</w:t>
            </w:r>
          </w:p>
        </w:tc>
        <w:tc>
          <w:tcPr>
            <w:tcW w:w="785"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15.0</w:t>
            </w:r>
          </w:p>
        </w:tc>
        <w:tc>
          <w:tcPr>
            <w:tcW w:w="8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r>
      <w:tr w:rsidR="00057C5C" w:rsidRPr="00243CC3" w:rsidTr="00AE3933">
        <w:trPr>
          <w:trHeight w:val="300"/>
        </w:trPr>
        <w:tc>
          <w:tcPr>
            <w:tcW w:w="216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Upper </w:t>
            </w:r>
            <w:proofErr w:type="spellStart"/>
            <w:r w:rsidRPr="00243CC3">
              <w:rPr>
                <w:rFonts w:ascii="Times New Roman" w:eastAsia="Times New Roman" w:hAnsi="Times New Roman" w:cs="Times New Roman"/>
                <w:sz w:val="16"/>
                <w:szCs w:val="16"/>
              </w:rPr>
              <w:t>Montane</w:t>
            </w:r>
            <w:proofErr w:type="spellEnd"/>
          </w:p>
        </w:tc>
        <w:tc>
          <w:tcPr>
            <w:tcW w:w="785"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75.0</w:t>
            </w:r>
          </w:p>
        </w:tc>
        <w:tc>
          <w:tcPr>
            <w:tcW w:w="785"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15.0</w:t>
            </w:r>
          </w:p>
        </w:tc>
        <w:tc>
          <w:tcPr>
            <w:tcW w:w="8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r>
      <w:tr w:rsidR="00057C5C" w:rsidRPr="00243CC3" w:rsidTr="00AE3933">
        <w:trPr>
          <w:trHeight w:val="300"/>
        </w:trPr>
        <w:tc>
          <w:tcPr>
            <w:tcW w:w="216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Subalpine</w:t>
            </w:r>
          </w:p>
        </w:tc>
        <w:tc>
          <w:tcPr>
            <w:tcW w:w="785"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75.0</w:t>
            </w:r>
          </w:p>
        </w:tc>
        <w:tc>
          <w:tcPr>
            <w:tcW w:w="785"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15.0</w:t>
            </w:r>
          </w:p>
        </w:tc>
        <w:tc>
          <w:tcPr>
            <w:tcW w:w="8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r>
      <w:tr w:rsidR="00057C5C" w:rsidRPr="00243CC3" w:rsidTr="00AE3933">
        <w:trPr>
          <w:trHeight w:val="300"/>
        </w:trPr>
        <w:tc>
          <w:tcPr>
            <w:tcW w:w="216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proofErr w:type="spellStart"/>
            <w:r w:rsidRPr="00243CC3">
              <w:rPr>
                <w:rFonts w:ascii="Times New Roman" w:eastAsia="Times New Roman" w:hAnsi="Times New Roman" w:cs="Times New Roman"/>
                <w:sz w:val="16"/>
                <w:szCs w:val="16"/>
              </w:rPr>
              <w:t>Montane</w:t>
            </w:r>
            <w:proofErr w:type="spellEnd"/>
            <w:r w:rsidRPr="00243CC3">
              <w:rPr>
                <w:rFonts w:ascii="Times New Roman" w:eastAsia="Times New Roman" w:hAnsi="Times New Roman" w:cs="Times New Roman"/>
                <w:sz w:val="16"/>
                <w:szCs w:val="16"/>
              </w:rPr>
              <w:t xml:space="preserve"> </w:t>
            </w:r>
            <w:proofErr w:type="spellStart"/>
            <w:r w:rsidRPr="00243CC3">
              <w:rPr>
                <w:rFonts w:ascii="Times New Roman" w:eastAsia="Times New Roman" w:hAnsi="Times New Roman" w:cs="Times New Roman"/>
                <w:sz w:val="16"/>
                <w:szCs w:val="16"/>
              </w:rPr>
              <w:t>shrubland</w:t>
            </w:r>
            <w:proofErr w:type="spellEnd"/>
          </w:p>
        </w:tc>
        <w:tc>
          <w:tcPr>
            <w:tcW w:w="785"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75.0</w:t>
            </w:r>
          </w:p>
        </w:tc>
        <w:tc>
          <w:tcPr>
            <w:tcW w:w="785"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w:t>
            </w:r>
          </w:p>
        </w:tc>
        <w:tc>
          <w:tcPr>
            <w:tcW w:w="70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15.0</w:t>
            </w:r>
          </w:p>
        </w:tc>
        <w:tc>
          <w:tcPr>
            <w:tcW w:w="82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r>
      <w:tr w:rsidR="00057C5C" w:rsidRPr="00243CC3" w:rsidTr="00AE3933">
        <w:trPr>
          <w:trHeight w:val="300"/>
        </w:trPr>
        <w:tc>
          <w:tcPr>
            <w:tcW w:w="216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Riparian areas</w:t>
            </w:r>
          </w:p>
        </w:tc>
        <w:tc>
          <w:tcPr>
            <w:tcW w:w="785"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75.0</w:t>
            </w:r>
          </w:p>
        </w:tc>
        <w:tc>
          <w:tcPr>
            <w:tcW w:w="785"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c>
          <w:tcPr>
            <w:tcW w:w="70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100.0</w:t>
            </w:r>
          </w:p>
        </w:tc>
        <w:tc>
          <w:tcPr>
            <w:tcW w:w="70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0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3000.0</w:t>
            </w:r>
          </w:p>
        </w:tc>
        <w:tc>
          <w:tcPr>
            <w:tcW w:w="70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50.0</w:t>
            </w:r>
          </w:p>
        </w:tc>
        <w:tc>
          <w:tcPr>
            <w:tcW w:w="70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300.0</w:t>
            </w:r>
          </w:p>
        </w:tc>
        <w:tc>
          <w:tcPr>
            <w:tcW w:w="70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15.0</w:t>
            </w:r>
          </w:p>
        </w:tc>
        <w:tc>
          <w:tcPr>
            <w:tcW w:w="82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3.0</w:t>
            </w:r>
          </w:p>
        </w:tc>
      </w:tr>
      <w:tr w:rsidR="00057C5C" w:rsidRPr="00243CC3" w:rsidTr="00AE3933">
        <w:trPr>
          <w:trHeight w:val="300"/>
        </w:trPr>
        <w:tc>
          <w:tcPr>
            <w:tcW w:w="8750" w:type="dxa"/>
            <w:gridSpan w:val="10"/>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SOM1: Soil Organic Matter fast pool; SOM2: Soil Organic Matter fast pool; SOM3: Soil Organic Matter passive pool</w:t>
            </w:r>
          </w:p>
        </w:tc>
      </w:tr>
    </w:tbl>
    <w:p w:rsidR="00057C5C" w:rsidRPr="00243CC3" w:rsidRDefault="00057C5C" w:rsidP="00952791">
      <w:pPr>
        <w:outlineLvl w:val="0"/>
        <w:rPr>
          <w:rFonts w:ascii="Times New Roman" w:hAnsi="Times New Roman" w:cs="Times New Roman"/>
          <w:b/>
        </w:rPr>
      </w:pPr>
    </w:p>
    <w:p w:rsidR="009A197D" w:rsidRPr="00243CC3" w:rsidRDefault="009A197D">
      <w:pPr>
        <w:rPr>
          <w:rFonts w:ascii="Times New Roman" w:hAnsi="Times New Roman" w:cs="Times New Roman"/>
          <w:b/>
        </w:rPr>
      </w:pPr>
      <w:r w:rsidRPr="00243CC3">
        <w:rPr>
          <w:rFonts w:ascii="Times New Roman" w:hAnsi="Times New Roman" w:cs="Times New Roman"/>
          <w:b/>
        </w:rPr>
        <w:br w:type="page"/>
      </w:r>
    </w:p>
    <w:p w:rsidR="00AE3933" w:rsidRPr="00243CC3" w:rsidRDefault="00AE3933" w:rsidP="00AE3933">
      <w:pPr>
        <w:outlineLvl w:val="0"/>
        <w:rPr>
          <w:rFonts w:ascii="Times New Roman" w:hAnsi="Times New Roman" w:cs="Times New Roman"/>
          <w:b/>
        </w:rPr>
      </w:pPr>
      <w:r w:rsidRPr="00243CC3">
        <w:rPr>
          <w:rFonts w:ascii="Times New Roman" w:hAnsi="Times New Roman" w:cs="Times New Roman"/>
          <w:b/>
        </w:rPr>
        <w:lastRenderedPageBreak/>
        <w:t>Table S</w:t>
      </w:r>
      <w:r w:rsidR="006C7855" w:rsidRPr="00243CC3">
        <w:rPr>
          <w:rFonts w:ascii="Times New Roman" w:hAnsi="Times New Roman" w:cs="Times New Roman"/>
          <w:b/>
        </w:rPr>
        <w:t>4</w:t>
      </w:r>
      <w:r w:rsidRPr="00243CC3">
        <w:rPr>
          <w:rFonts w:ascii="Times New Roman" w:hAnsi="Times New Roman" w:cs="Times New Roman"/>
          <w:b/>
        </w:rPr>
        <w:t xml:space="preserve"> </w:t>
      </w:r>
    </w:p>
    <w:p w:rsidR="00AE3933" w:rsidRPr="00243CC3" w:rsidRDefault="00AE3933" w:rsidP="00952791">
      <w:pPr>
        <w:outlineLvl w:val="0"/>
        <w:rPr>
          <w:rFonts w:ascii="Times New Roman" w:hAnsi="Times New Roman" w:cs="Times New Roman"/>
        </w:rPr>
      </w:pPr>
      <w:proofErr w:type="spellStart"/>
      <w:r w:rsidRPr="00243CC3">
        <w:rPr>
          <w:rFonts w:ascii="Times New Roman" w:hAnsi="Times New Roman" w:cs="Times New Roman"/>
        </w:rPr>
        <w:t>Ecoregion</w:t>
      </w:r>
      <w:proofErr w:type="spellEnd"/>
      <w:r w:rsidRPr="00243CC3">
        <w:rPr>
          <w:rFonts w:ascii="Times New Roman" w:hAnsi="Times New Roman" w:cs="Times New Roman"/>
        </w:rPr>
        <w:t xml:space="preserve"> fixed parameters for the Lake Tahoe Basin, CA, NV, </w:t>
      </w:r>
      <w:proofErr w:type="gramStart"/>
      <w:r w:rsidRPr="00243CC3">
        <w:rPr>
          <w:rFonts w:ascii="Times New Roman" w:hAnsi="Times New Roman" w:cs="Times New Roman"/>
        </w:rPr>
        <w:t>USA</w:t>
      </w:r>
      <w:proofErr w:type="gramEnd"/>
      <w:r w:rsidRPr="00243CC3">
        <w:rPr>
          <w:rFonts w:ascii="Times New Roman" w:hAnsi="Times New Roman" w:cs="Times New Roman"/>
        </w:rPr>
        <w:t>.</w:t>
      </w:r>
      <w:r w:rsidR="009A197D" w:rsidRPr="00243CC3">
        <w:rPr>
          <w:rFonts w:ascii="Times New Roman" w:hAnsi="Times New Roman" w:cs="Times New Roman"/>
        </w:rPr>
        <w:t xml:space="preserve"> Refer to the extensions user's guide for detailed explanations of each parameter, found on the LANDIS-II website: </w:t>
      </w:r>
      <w:hyperlink r:id="rId9" w:history="1">
        <w:r w:rsidR="009A197D" w:rsidRPr="00243CC3">
          <w:rPr>
            <w:rStyle w:val="Hyperlink"/>
            <w:rFonts w:ascii="Times New Roman" w:hAnsi="Times New Roman" w:cs="Times New Roman"/>
          </w:rPr>
          <w:t>www.landis-ii.org</w:t>
        </w:r>
      </w:hyperlink>
      <w:r w:rsidR="009A197D" w:rsidRPr="00243CC3">
        <w:rPr>
          <w:rFonts w:ascii="Times New Roman" w:hAnsi="Times New Roman" w:cs="Times New Roman"/>
        </w:rPr>
        <w:t xml:space="preserve">.  </w:t>
      </w:r>
      <w:r w:rsidR="00483F99" w:rsidRPr="00243CC3">
        <w:rPr>
          <w:rFonts w:ascii="Times New Roman" w:hAnsi="Times New Roman" w:cs="Times New Roman"/>
          <w:sz w:val="20"/>
          <w:szCs w:val="20"/>
        </w:rPr>
        <w:t xml:space="preserve">The spatial </w:t>
      </w:r>
      <w:proofErr w:type="spellStart"/>
      <w:r w:rsidR="00483F99" w:rsidRPr="00243CC3">
        <w:rPr>
          <w:rFonts w:ascii="Times New Roman" w:hAnsi="Times New Roman" w:cs="Times New Roman"/>
          <w:sz w:val="20"/>
          <w:szCs w:val="20"/>
        </w:rPr>
        <w:t>ecoregion</w:t>
      </w:r>
      <w:proofErr w:type="spellEnd"/>
      <w:r w:rsidR="00483F99" w:rsidRPr="00243CC3">
        <w:rPr>
          <w:rFonts w:ascii="Times New Roman" w:hAnsi="Times New Roman" w:cs="Times New Roman"/>
          <w:sz w:val="20"/>
          <w:szCs w:val="20"/>
        </w:rPr>
        <w:t xml:space="preserve"> dataset, initial soil conditions, and soil properties were developed from national soil databases (NRCS, SSURGO). </w:t>
      </w:r>
    </w:p>
    <w:tbl>
      <w:tblPr>
        <w:tblW w:w="15172" w:type="dxa"/>
        <w:tblInd w:w="-343" w:type="dxa"/>
        <w:tblLayout w:type="fixed"/>
        <w:tblLook w:val="04A0" w:firstRow="1" w:lastRow="0" w:firstColumn="1" w:lastColumn="0" w:noHBand="0" w:noVBand="1"/>
      </w:tblPr>
      <w:tblGrid>
        <w:gridCol w:w="2160"/>
        <w:gridCol w:w="828"/>
        <w:gridCol w:w="731"/>
        <w:gridCol w:w="731"/>
        <w:gridCol w:w="759"/>
        <w:gridCol w:w="688"/>
        <w:gridCol w:w="868"/>
        <w:gridCol w:w="731"/>
        <w:gridCol w:w="807"/>
        <w:gridCol w:w="1069"/>
        <w:gridCol w:w="1090"/>
        <w:gridCol w:w="817"/>
        <w:gridCol w:w="727"/>
        <w:gridCol w:w="636"/>
        <w:gridCol w:w="636"/>
        <w:gridCol w:w="727"/>
        <w:gridCol w:w="1167"/>
      </w:tblGrid>
      <w:tr w:rsidR="00057C5C" w:rsidRPr="00243CC3" w:rsidTr="00760D1A">
        <w:trPr>
          <w:trHeight w:val="687"/>
        </w:trPr>
        <w:tc>
          <w:tcPr>
            <w:tcW w:w="216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proofErr w:type="spellStart"/>
            <w:r w:rsidRPr="00243CC3">
              <w:rPr>
                <w:rFonts w:ascii="Times New Roman" w:eastAsia="Times New Roman" w:hAnsi="Times New Roman" w:cs="Times New Roman"/>
                <w:sz w:val="16"/>
                <w:szCs w:val="16"/>
              </w:rPr>
              <w:t>Ecoregion</w:t>
            </w:r>
            <w:proofErr w:type="spellEnd"/>
          </w:p>
        </w:tc>
        <w:tc>
          <w:tcPr>
            <w:tcW w:w="828"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Soil depth (cm)</w:t>
            </w:r>
          </w:p>
        </w:tc>
        <w:tc>
          <w:tcPr>
            <w:tcW w:w="73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Clay fraction</w:t>
            </w:r>
          </w:p>
        </w:tc>
        <w:tc>
          <w:tcPr>
            <w:tcW w:w="73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Sand fraction</w:t>
            </w:r>
          </w:p>
        </w:tc>
        <w:tc>
          <w:tcPr>
            <w:tcW w:w="759"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Field capacity</w:t>
            </w:r>
          </w:p>
        </w:tc>
        <w:tc>
          <w:tcPr>
            <w:tcW w:w="688"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Wilting point</w:t>
            </w:r>
          </w:p>
        </w:tc>
        <w:tc>
          <w:tcPr>
            <w:tcW w:w="868"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Storm flow fraction</w:t>
            </w:r>
          </w:p>
        </w:tc>
        <w:tc>
          <w:tcPr>
            <w:tcW w:w="731"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Base flow fraction</w:t>
            </w:r>
          </w:p>
        </w:tc>
        <w:tc>
          <w:tcPr>
            <w:tcW w:w="807"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Drainage</w:t>
            </w:r>
          </w:p>
        </w:tc>
        <w:tc>
          <w:tcPr>
            <w:tcW w:w="1069" w:type="dxa"/>
            <w:tcBorders>
              <w:top w:val="single" w:sz="4" w:space="0" w:color="auto"/>
              <w:left w:val="nil"/>
              <w:bottom w:val="nil"/>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Atmospheric N (slope)</w:t>
            </w:r>
          </w:p>
        </w:tc>
        <w:tc>
          <w:tcPr>
            <w:tcW w:w="1090"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Atmospheric N (intercept)</w:t>
            </w:r>
          </w:p>
        </w:tc>
        <w:tc>
          <w:tcPr>
            <w:tcW w:w="817"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Latitude</w:t>
            </w:r>
          </w:p>
        </w:tc>
        <w:tc>
          <w:tcPr>
            <w:tcW w:w="727" w:type="dxa"/>
            <w:tcBorders>
              <w:top w:val="single" w:sz="4" w:space="0" w:color="auto"/>
              <w:left w:val="nil"/>
              <w:bottom w:val="nil"/>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Decay rate Surface soil</w:t>
            </w:r>
          </w:p>
        </w:tc>
        <w:tc>
          <w:tcPr>
            <w:tcW w:w="636" w:type="dxa"/>
            <w:tcBorders>
              <w:top w:val="single" w:sz="4" w:space="0" w:color="auto"/>
              <w:left w:val="nil"/>
              <w:bottom w:val="nil"/>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Decay rate SOM1</w:t>
            </w:r>
          </w:p>
        </w:tc>
        <w:tc>
          <w:tcPr>
            <w:tcW w:w="636" w:type="dxa"/>
            <w:tcBorders>
              <w:top w:val="single" w:sz="4" w:space="0" w:color="auto"/>
              <w:left w:val="nil"/>
              <w:bottom w:val="nil"/>
              <w:right w:val="nil"/>
            </w:tcBorders>
            <w:shd w:val="clear" w:color="auto" w:fill="auto"/>
            <w:hideMark/>
          </w:tcPr>
          <w:p w:rsidR="00057C5C" w:rsidRPr="00243CC3" w:rsidRDefault="00057C5C" w:rsidP="009A197D">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Decay rate SOM2</w:t>
            </w:r>
          </w:p>
        </w:tc>
        <w:tc>
          <w:tcPr>
            <w:tcW w:w="727" w:type="dxa"/>
            <w:tcBorders>
              <w:top w:val="single" w:sz="4" w:space="0" w:color="auto"/>
              <w:left w:val="nil"/>
              <w:bottom w:val="nil"/>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Decay rate SOM3</w:t>
            </w:r>
          </w:p>
        </w:tc>
        <w:tc>
          <w:tcPr>
            <w:tcW w:w="1167" w:type="dxa"/>
            <w:tcBorders>
              <w:top w:val="single" w:sz="4" w:space="0" w:color="auto"/>
              <w:left w:val="nil"/>
              <w:bottom w:val="single" w:sz="4" w:space="0" w:color="auto"/>
              <w:right w:val="nil"/>
            </w:tcBorders>
            <w:shd w:val="clear" w:color="auto" w:fill="auto"/>
            <w:hideMark/>
          </w:tcPr>
          <w:p w:rsidR="00057C5C" w:rsidRPr="00243CC3" w:rsidRDefault="00057C5C" w:rsidP="00057C5C">
            <w:pPr>
              <w:spacing w:after="0" w:line="240" w:lineRule="auto"/>
              <w:rPr>
                <w:rFonts w:ascii="Times New Roman" w:eastAsia="Times New Roman" w:hAnsi="Times New Roman" w:cs="Times New Roman"/>
                <w:sz w:val="16"/>
                <w:szCs w:val="16"/>
              </w:rPr>
            </w:pPr>
            <w:proofErr w:type="spellStart"/>
            <w:r w:rsidRPr="00243CC3">
              <w:rPr>
                <w:rFonts w:ascii="Times New Roman" w:eastAsia="Times New Roman" w:hAnsi="Times New Roman" w:cs="Times New Roman"/>
                <w:sz w:val="16"/>
                <w:szCs w:val="16"/>
              </w:rPr>
              <w:t>Denitrification</w:t>
            </w:r>
            <w:proofErr w:type="spellEnd"/>
          </w:p>
        </w:tc>
      </w:tr>
      <w:tr w:rsidR="00057C5C" w:rsidRPr="00243CC3" w:rsidTr="00760D1A">
        <w:trPr>
          <w:trHeight w:val="305"/>
        </w:trPr>
        <w:tc>
          <w:tcPr>
            <w:tcW w:w="216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Eastside Forest &amp; Woodland</w:t>
            </w:r>
          </w:p>
        </w:tc>
        <w:tc>
          <w:tcPr>
            <w:tcW w:w="82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0.070</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0.714</w:t>
            </w:r>
          </w:p>
        </w:tc>
        <w:tc>
          <w:tcPr>
            <w:tcW w:w="75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0.109</w:t>
            </w:r>
          </w:p>
        </w:tc>
        <w:tc>
          <w:tcPr>
            <w:tcW w:w="68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0.055</w:t>
            </w:r>
          </w:p>
        </w:tc>
        <w:tc>
          <w:tcPr>
            <w:tcW w:w="86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80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0.691</w:t>
            </w:r>
          </w:p>
        </w:tc>
        <w:tc>
          <w:tcPr>
            <w:tcW w:w="1069" w:type="dxa"/>
            <w:tcBorders>
              <w:top w:val="single" w:sz="4" w:space="0" w:color="auto"/>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0.08</w:t>
            </w:r>
          </w:p>
        </w:tc>
        <w:tc>
          <w:tcPr>
            <w:tcW w:w="109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0.005</w:t>
            </w:r>
          </w:p>
        </w:tc>
        <w:tc>
          <w:tcPr>
            <w:tcW w:w="81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39.02</w:t>
            </w:r>
          </w:p>
        </w:tc>
        <w:tc>
          <w:tcPr>
            <w:tcW w:w="727" w:type="dxa"/>
            <w:tcBorders>
              <w:top w:val="single" w:sz="4" w:space="0" w:color="auto"/>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636" w:type="dxa"/>
            <w:tcBorders>
              <w:top w:val="single" w:sz="4" w:space="0" w:color="auto"/>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636" w:type="dxa"/>
            <w:tcBorders>
              <w:top w:val="single" w:sz="4" w:space="0" w:color="auto"/>
              <w:left w:val="nil"/>
              <w:bottom w:val="nil"/>
              <w:right w:val="nil"/>
            </w:tcBorders>
            <w:shd w:val="clear" w:color="auto" w:fill="auto"/>
            <w:noWrap/>
            <w:vAlign w:val="bottom"/>
            <w:hideMark/>
          </w:tcPr>
          <w:p w:rsidR="00057C5C" w:rsidRPr="00243CC3" w:rsidRDefault="00057C5C" w:rsidP="009A197D">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0.02</w:t>
            </w:r>
          </w:p>
        </w:tc>
        <w:tc>
          <w:tcPr>
            <w:tcW w:w="727" w:type="dxa"/>
            <w:tcBorders>
              <w:top w:val="single" w:sz="4" w:space="0" w:color="auto"/>
              <w:left w:val="nil"/>
              <w:bottom w:val="nil"/>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0.0002</w:t>
            </w:r>
          </w:p>
        </w:tc>
        <w:tc>
          <w:tcPr>
            <w:tcW w:w="116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0.5</w:t>
            </w:r>
          </w:p>
        </w:tc>
      </w:tr>
      <w:tr w:rsidR="00057C5C" w:rsidRPr="00243CC3" w:rsidTr="00760D1A">
        <w:trPr>
          <w:trHeight w:val="305"/>
        </w:trPr>
        <w:tc>
          <w:tcPr>
            <w:tcW w:w="216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 xml:space="preserve">Upper </w:t>
            </w:r>
            <w:proofErr w:type="spellStart"/>
            <w:r w:rsidRPr="00243CC3">
              <w:rPr>
                <w:rFonts w:ascii="Times New Roman" w:eastAsia="Times New Roman" w:hAnsi="Times New Roman" w:cs="Times New Roman"/>
                <w:sz w:val="16"/>
                <w:szCs w:val="16"/>
              </w:rPr>
              <w:t>Montane</w:t>
            </w:r>
            <w:proofErr w:type="spellEnd"/>
          </w:p>
        </w:tc>
        <w:tc>
          <w:tcPr>
            <w:tcW w:w="82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0.050</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0.786</w:t>
            </w:r>
          </w:p>
        </w:tc>
        <w:tc>
          <w:tcPr>
            <w:tcW w:w="75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0.090</w:t>
            </w:r>
          </w:p>
        </w:tc>
        <w:tc>
          <w:tcPr>
            <w:tcW w:w="68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0.046</w:t>
            </w:r>
          </w:p>
        </w:tc>
        <w:tc>
          <w:tcPr>
            <w:tcW w:w="86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80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0.815</w:t>
            </w:r>
          </w:p>
        </w:tc>
        <w:tc>
          <w:tcPr>
            <w:tcW w:w="106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0.08</w:t>
            </w:r>
          </w:p>
        </w:tc>
        <w:tc>
          <w:tcPr>
            <w:tcW w:w="109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0.005</w:t>
            </w:r>
          </w:p>
        </w:tc>
        <w:tc>
          <w:tcPr>
            <w:tcW w:w="81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39.02</w:t>
            </w:r>
          </w:p>
        </w:tc>
        <w:tc>
          <w:tcPr>
            <w:tcW w:w="72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63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636" w:type="dxa"/>
            <w:tcBorders>
              <w:top w:val="nil"/>
              <w:left w:val="nil"/>
              <w:bottom w:val="nil"/>
              <w:right w:val="nil"/>
            </w:tcBorders>
            <w:shd w:val="clear" w:color="auto" w:fill="auto"/>
            <w:noWrap/>
            <w:vAlign w:val="bottom"/>
            <w:hideMark/>
          </w:tcPr>
          <w:p w:rsidR="00057C5C" w:rsidRPr="00243CC3" w:rsidRDefault="00057C5C" w:rsidP="009A197D">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0.02</w:t>
            </w:r>
          </w:p>
        </w:tc>
        <w:tc>
          <w:tcPr>
            <w:tcW w:w="72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0.0002</w:t>
            </w:r>
          </w:p>
        </w:tc>
        <w:tc>
          <w:tcPr>
            <w:tcW w:w="116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0.5</w:t>
            </w:r>
          </w:p>
        </w:tc>
      </w:tr>
      <w:tr w:rsidR="00057C5C" w:rsidRPr="00243CC3" w:rsidTr="00760D1A">
        <w:trPr>
          <w:trHeight w:val="305"/>
        </w:trPr>
        <w:tc>
          <w:tcPr>
            <w:tcW w:w="216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Subalpine</w:t>
            </w:r>
          </w:p>
        </w:tc>
        <w:tc>
          <w:tcPr>
            <w:tcW w:w="82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0.061</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0.744</w:t>
            </w:r>
          </w:p>
        </w:tc>
        <w:tc>
          <w:tcPr>
            <w:tcW w:w="75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0.097</w:t>
            </w:r>
          </w:p>
        </w:tc>
        <w:tc>
          <w:tcPr>
            <w:tcW w:w="68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0.051</w:t>
            </w:r>
          </w:p>
        </w:tc>
        <w:tc>
          <w:tcPr>
            <w:tcW w:w="86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80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0.735</w:t>
            </w:r>
          </w:p>
        </w:tc>
        <w:tc>
          <w:tcPr>
            <w:tcW w:w="106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0.08</w:t>
            </w:r>
          </w:p>
        </w:tc>
        <w:tc>
          <w:tcPr>
            <w:tcW w:w="109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0.005</w:t>
            </w:r>
          </w:p>
        </w:tc>
        <w:tc>
          <w:tcPr>
            <w:tcW w:w="81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39.02</w:t>
            </w:r>
          </w:p>
        </w:tc>
        <w:tc>
          <w:tcPr>
            <w:tcW w:w="72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63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636" w:type="dxa"/>
            <w:tcBorders>
              <w:top w:val="nil"/>
              <w:left w:val="nil"/>
              <w:bottom w:val="nil"/>
              <w:right w:val="nil"/>
            </w:tcBorders>
            <w:shd w:val="clear" w:color="auto" w:fill="auto"/>
            <w:noWrap/>
            <w:vAlign w:val="bottom"/>
            <w:hideMark/>
          </w:tcPr>
          <w:p w:rsidR="00057C5C" w:rsidRPr="00243CC3" w:rsidRDefault="00057C5C" w:rsidP="009A197D">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0.02</w:t>
            </w:r>
          </w:p>
        </w:tc>
        <w:tc>
          <w:tcPr>
            <w:tcW w:w="72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0.0002</w:t>
            </w:r>
          </w:p>
        </w:tc>
        <w:tc>
          <w:tcPr>
            <w:tcW w:w="116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0.5</w:t>
            </w:r>
          </w:p>
        </w:tc>
      </w:tr>
      <w:tr w:rsidR="00057C5C" w:rsidRPr="00243CC3" w:rsidTr="00760D1A">
        <w:trPr>
          <w:trHeight w:val="305"/>
        </w:trPr>
        <w:tc>
          <w:tcPr>
            <w:tcW w:w="216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proofErr w:type="spellStart"/>
            <w:r w:rsidRPr="00243CC3">
              <w:rPr>
                <w:rFonts w:ascii="Times New Roman" w:eastAsia="Times New Roman" w:hAnsi="Times New Roman" w:cs="Times New Roman"/>
                <w:sz w:val="16"/>
                <w:szCs w:val="16"/>
              </w:rPr>
              <w:t>Montane</w:t>
            </w:r>
            <w:proofErr w:type="spellEnd"/>
            <w:r w:rsidRPr="00243CC3">
              <w:rPr>
                <w:rFonts w:ascii="Times New Roman" w:eastAsia="Times New Roman" w:hAnsi="Times New Roman" w:cs="Times New Roman"/>
                <w:sz w:val="16"/>
                <w:szCs w:val="16"/>
              </w:rPr>
              <w:t xml:space="preserve"> </w:t>
            </w:r>
            <w:proofErr w:type="spellStart"/>
            <w:r w:rsidRPr="00243CC3">
              <w:rPr>
                <w:rFonts w:ascii="Times New Roman" w:eastAsia="Times New Roman" w:hAnsi="Times New Roman" w:cs="Times New Roman"/>
                <w:sz w:val="16"/>
                <w:szCs w:val="16"/>
              </w:rPr>
              <w:t>shrubland</w:t>
            </w:r>
            <w:proofErr w:type="spellEnd"/>
          </w:p>
        </w:tc>
        <w:tc>
          <w:tcPr>
            <w:tcW w:w="82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0.078</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0.718</w:t>
            </w:r>
          </w:p>
        </w:tc>
        <w:tc>
          <w:tcPr>
            <w:tcW w:w="75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0.090</w:t>
            </w:r>
          </w:p>
        </w:tc>
        <w:tc>
          <w:tcPr>
            <w:tcW w:w="68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0.060</w:t>
            </w:r>
          </w:p>
        </w:tc>
        <w:tc>
          <w:tcPr>
            <w:tcW w:w="868"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731"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80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0.826</w:t>
            </w:r>
          </w:p>
        </w:tc>
        <w:tc>
          <w:tcPr>
            <w:tcW w:w="1069"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0.08</w:t>
            </w:r>
          </w:p>
        </w:tc>
        <w:tc>
          <w:tcPr>
            <w:tcW w:w="1090"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0.005</w:t>
            </w:r>
          </w:p>
        </w:tc>
        <w:tc>
          <w:tcPr>
            <w:tcW w:w="81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39.02</w:t>
            </w:r>
          </w:p>
        </w:tc>
        <w:tc>
          <w:tcPr>
            <w:tcW w:w="72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636"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636" w:type="dxa"/>
            <w:tcBorders>
              <w:top w:val="nil"/>
              <w:left w:val="nil"/>
              <w:bottom w:val="nil"/>
              <w:right w:val="nil"/>
            </w:tcBorders>
            <w:shd w:val="clear" w:color="auto" w:fill="auto"/>
            <w:noWrap/>
            <w:vAlign w:val="bottom"/>
            <w:hideMark/>
          </w:tcPr>
          <w:p w:rsidR="00057C5C" w:rsidRPr="00243CC3" w:rsidRDefault="00057C5C" w:rsidP="009A197D">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0.02</w:t>
            </w:r>
          </w:p>
        </w:tc>
        <w:tc>
          <w:tcPr>
            <w:tcW w:w="72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0.0002</w:t>
            </w:r>
          </w:p>
        </w:tc>
        <w:tc>
          <w:tcPr>
            <w:tcW w:w="1167" w:type="dxa"/>
            <w:tcBorders>
              <w:top w:val="nil"/>
              <w:left w:val="nil"/>
              <w:bottom w:val="nil"/>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0.5</w:t>
            </w:r>
          </w:p>
        </w:tc>
      </w:tr>
      <w:tr w:rsidR="00057C5C" w:rsidRPr="00243CC3" w:rsidTr="00760D1A">
        <w:trPr>
          <w:trHeight w:val="305"/>
        </w:trPr>
        <w:tc>
          <w:tcPr>
            <w:tcW w:w="216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Riparian areas</w:t>
            </w:r>
          </w:p>
        </w:tc>
        <w:tc>
          <w:tcPr>
            <w:tcW w:w="828"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100</w:t>
            </w:r>
          </w:p>
        </w:tc>
        <w:tc>
          <w:tcPr>
            <w:tcW w:w="73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0.068</w:t>
            </w:r>
          </w:p>
        </w:tc>
        <w:tc>
          <w:tcPr>
            <w:tcW w:w="73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0.704</w:t>
            </w:r>
          </w:p>
        </w:tc>
        <w:tc>
          <w:tcPr>
            <w:tcW w:w="759"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0.123</w:t>
            </w:r>
          </w:p>
        </w:tc>
        <w:tc>
          <w:tcPr>
            <w:tcW w:w="688"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0.053</w:t>
            </w:r>
          </w:p>
        </w:tc>
        <w:tc>
          <w:tcPr>
            <w:tcW w:w="868"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731"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807"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0.523</w:t>
            </w:r>
          </w:p>
        </w:tc>
        <w:tc>
          <w:tcPr>
            <w:tcW w:w="1069"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0.08</w:t>
            </w:r>
          </w:p>
        </w:tc>
        <w:tc>
          <w:tcPr>
            <w:tcW w:w="1090"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0.005</w:t>
            </w:r>
          </w:p>
        </w:tc>
        <w:tc>
          <w:tcPr>
            <w:tcW w:w="817"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39.02</w:t>
            </w:r>
          </w:p>
        </w:tc>
        <w:tc>
          <w:tcPr>
            <w:tcW w:w="727"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0.4</w:t>
            </w:r>
          </w:p>
        </w:tc>
        <w:tc>
          <w:tcPr>
            <w:tcW w:w="636"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1</w:t>
            </w:r>
          </w:p>
        </w:tc>
        <w:tc>
          <w:tcPr>
            <w:tcW w:w="636" w:type="dxa"/>
            <w:tcBorders>
              <w:top w:val="nil"/>
              <w:left w:val="nil"/>
              <w:bottom w:val="single" w:sz="4" w:space="0" w:color="auto"/>
              <w:right w:val="nil"/>
            </w:tcBorders>
            <w:shd w:val="clear" w:color="auto" w:fill="auto"/>
            <w:noWrap/>
            <w:vAlign w:val="bottom"/>
            <w:hideMark/>
          </w:tcPr>
          <w:p w:rsidR="00057C5C" w:rsidRPr="00243CC3" w:rsidRDefault="00057C5C" w:rsidP="009A197D">
            <w:pPr>
              <w:spacing w:after="0" w:line="240" w:lineRule="auto"/>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0.02</w:t>
            </w:r>
          </w:p>
        </w:tc>
        <w:tc>
          <w:tcPr>
            <w:tcW w:w="727"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0.0002</w:t>
            </w:r>
          </w:p>
        </w:tc>
        <w:tc>
          <w:tcPr>
            <w:tcW w:w="1167" w:type="dxa"/>
            <w:tcBorders>
              <w:top w:val="nil"/>
              <w:left w:val="nil"/>
              <w:bottom w:val="single" w:sz="4" w:space="0" w:color="auto"/>
              <w:right w:val="nil"/>
            </w:tcBorders>
            <w:shd w:val="clear" w:color="auto" w:fill="auto"/>
            <w:noWrap/>
            <w:vAlign w:val="bottom"/>
            <w:hideMark/>
          </w:tcPr>
          <w:p w:rsidR="00057C5C" w:rsidRPr="00243CC3" w:rsidRDefault="00057C5C" w:rsidP="00057C5C">
            <w:pPr>
              <w:spacing w:after="0" w:line="240" w:lineRule="auto"/>
              <w:jc w:val="right"/>
              <w:rPr>
                <w:rFonts w:ascii="Times New Roman" w:eastAsia="Times New Roman" w:hAnsi="Times New Roman" w:cs="Times New Roman"/>
                <w:sz w:val="16"/>
                <w:szCs w:val="16"/>
              </w:rPr>
            </w:pPr>
            <w:r w:rsidRPr="00243CC3">
              <w:rPr>
                <w:rFonts w:ascii="Times New Roman" w:eastAsia="Times New Roman" w:hAnsi="Times New Roman" w:cs="Times New Roman"/>
                <w:sz w:val="16"/>
                <w:szCs w:val="16"/>
              </w:rPr>
              <w:t>0.5</w:t>
            </w:r>
          </w:p>
        </w:tc>
      </w:tr>
    </w:tbl>
    <w:p w:rsidR="00057C5C" w:rsidRPr="00243CC3" w:rsidRDefault="00057C5C" w:rsidP="00952791">
      <w:pPr>
        <w:outlineLvl w:val="0"/>
        <w:rPr>
          <w:rFonts w:ascii="Times New Roman" w:hAnsi="Times New Roman" w:cs="Times New Roman"/>
          <w:b/>
        </w:rPr>
      </w:pPr>
    </w:p>
    <w:p w:rsidR="004078D0" w:rsidRPr="00243CC3" w:rsidRDefault="004078D0">
      <w:pPr>
        <w:rPr>
          <w:rFonts w:ascii="Times New Roman" w:hAnsi="Times New Roman" w:cs="Times New Roman"/>
          <w:b/>
        </w:rPr>
      </w:pPr>
      <w:r w:rsidRPr="00243CC3">
        <w:rPr>
          <w:rFonts w:ascii="Times New Roman" w:hAnsi="Times New Roman" w:cs="Times New Roman"/>
          <w:b/>
        </w:rPr>
        <w:br w:type="page"/>
      </w:r>
    </w:p>
    <w:p w:rsidR="0093341A" w:rsidRPr="00243CC3" w:rsidRDefault="0093341A" w:rsidP="0093341A">
      <w:pPr>
        <w:outlineLvl w:val="0"/>
        <w:rPr>
          <w:rFonts w:ascii="Times New Roman" w:hAnsi="Times New Roman" w:cs="Times New Roman"/>
          <w:b/>
        </w:rPr>
      </w:pPr>
      <w:r w:rsidRPr="00243CC3">
        <w:rPr>
          <w:rFonts w:ascii="Times New Roman" w:hAnsi="Times New Roman" w:cs="Times New Roman"/>
          <w:b/>
        </w:rPr>
        <w:lastRenderedPageBreak/>
        <w:t xml:space="preserve">Table S5 </w:t>
      </w:r>
    </w:p>
    <w:p w:rsidR="000E22D7" w:rsidRPr="00243CC3" w:rsidRDefault="000E22D7" w:rsidP="00F731EC">
      <w:pPr>
        <w:rPr>
          <w:rFonts w:ascii="Times New Roman" w:hAnsi="Times New Roman" w:cs="Times New Roman"/>
        </w:rPr>
      </w:pPr>
      <w:r w:rsidRPr="00243CC3">
        <w:rPr>
          <w:rFonts w:ascii="Times New Roman" w:hAnsi="Times New Roman" w:cs="Times New Roman"/>
        </w:rPr>
        <w:t>References for input parameters to the Century extension</w:t>
      </w:r>
      <w:r w:rsidR="00D83AEA" w:rsidRPr="00243CC3">
        <w:rPr>
          <w:rFonts w:ascii="Times New Roman" w:hAnsi="Times New Roman" w:cs="Times New Roman"/>
        </w:rPr>
        <w:t xml:space="preserve"> as well as species parameters</w:t>
      </w:r>
      <w:r w:rsidR="00A336CE" w:rsidRPr="00243CC3">
        <w:rPr>
          <w:rFonts w:ascii="Times New Roman" w:hAnsi="Times New Roman" w:cs="Times New Roman"/>
        </w:rPr>
        <w:t xml:space="preserve"> (for Table</w:t>
      </w:r>
      <w:r w:rsidR="004E10D6" w:rsidRPr="00243CC3">
        <w:rPr>
          <w:rFonts w:ascii="Times New Roman" w:hAnsi="Times New Roman" w:cs="Times New Roman"/>
        </w:rPr>
        <w:t>s</w:t>
      </w:r>
      <w:r w:rsidR="00A336CE" w:rsidRPr="00243CC3">
        <w:rPr>
          <w:rFonts w:ascii="Times New Roman" w:hAnsi="Times New Roman" w:cs="Times New Roman"/>
        </w:rPr>
        <w:t xml:space="preserve"> 1, S1-4</w:t>
      </w:r>
      <w:r w:rsidR="00AE3933" w:rsidRPr="00243CC3">
        <w:rPr>
          <w:rFonts w:ascii="Times New Roman" w:hAnsi="Times New Roman" w:cs="Times New Roman"/>
        </w:rPr>
        <w:t>)</w:t>
      </w:r>
      <w:r w:rsidRPr="00243CC3">
        <w:rPr>
          <w:rFonts w:ascii="Times New Roman" w:hAnsi="Times New Roman" w:cs="Times New Roman"/>
        </w:rPr>
        <w:t>:</w:t>
      </w:r>
    </w:p>
    <w:p w:rsidR="003C7D94" w:rsidRPr="00243CC3" w:rsidRDefault="003C7D94" w:rsidP="007F3D5D">
      <w:pPr>
        <w:spacing w:after="0" w:line="240" w:lineRule="auto"/>
        <w:ind w:left="720" w:hanging="720"/>
        <w:rPr>
          <w:rFonts w:ascii="Times New Roman" w:hAnsi="Times New Roman" w:cs="Times New Roman"/>
          <w:noProof/>
        </w:rPr>
      </w:pPr>
      <w:r w:rsidRPr="00243CC3">
        <w:rPr>
          <w:rFonts w:ascii="Times New Roman" w:hAnsi="Times New Roman" w:cs="Times New Roman"/>
          <w:noProof/>
        </w:rPr>
        <w:t>Brown JK, Smith JK (2000) Wildland fire in ecosystems: effect of fire on flora. General Technical Report RMRS-GTR-42-vol. 2. Ogden, UT, US Department of Agriculture, Rocky Mountain Research Station, 257 p.</w:t>
      </w:r>
    </w:p>
    <w:p w:rsidR="009F0D1F" w:rsidRPr="00243CC3" w:rsidRDefault="009F0D1F" w:rsidP="007F3D5D">
      <w:pPr>
        <w:spacing w:after="0" w:line="240" w:lineRule="auto"/>
        <w:ind w:left="720" w:hanging="720"/>
        <w:rPr>
          <w:rFonts w:ascii="Times New Roman" w:hAnsi="Times New Roman" w:cs="Times New Roman"/>
          <w:noProof/>
        </w:rPr>
      </w:pPr>
      <w:r w:rsidRPr="00243CC3">
        <w:rPr>
          <w:rFonts w:ascii="Times New Roman" w:hAnsi="Times New Roman" w:cs="Times New Roman"/>
          <w:noProof/>
        </w:rPr>
        <w:t>Busing RT (2007) A Spatial Landscape Model of Forest Patch Dynamics and Climate Change. US Geological Survey, Reston, Virginia, 50  pp.</w:t>
      </w:r>
    </w:p>
    <w:p w:rsidR="007F3D5D" w:rsidRPr="00243CC3" w:rsidRDefault="00B75E9B" w:rsidP="007F3D5D">
      <w:pPr>
        <w:spacing w:after="0" w:line="240" w:lineRule="auto"/>
        <w:ind w:left="720" w:hanging="720"/>
        <w:rPr>
          <w:rFonts w:ascii="Times New Roman" w:hAnsi="Times New Roman" w:cs="Times New Roman"/>
          <w:noProof/>
        </w:rPr>
      </w:pPr>
      <w:r w:rsidRPr="00243CC3">
        <w:rPr>
          <w:rFonts w:ascii="Times New Roman" w:hAnsi="Times New Roman" w:cs="Times New Roman"/>
        </w:rPr>
        <w:fldChar w:fldCharType="begin"/>
      </w:r>
      <w:r w:rsidR="007F3D5D" w:rsidRPr="00243CC3">
        <w:rPr>
          <w:rFonts w:ascii="Times New Roman" w:hAnsi="Times New Roman" w:cs="Times New Roman"/>
        </w:rPr>
        <w:instrText xml:space="preserve"> ADDIN EN.REFLIST </w:instrText>
      </w:r>
      <w:r w:rsidRPr="00243CC3">
        <w:rPr>
          <w:rFonts w:ascii="Times New Roman" w:hAnsi="Times New Roman" w:cs="Times New Roman"/>
        </w:rPr>
        <w:fldChar w:fldCharType="separate"/>
      </w:r>
      <w:bookmarkStart w:id="0" w:name="_ENREF_1"/>
      <w:r w:rsidR="007F3D5D" w:rsidRPr="00243CC3">
        <w:rPr>
          <w:rFonts w:ascii="Times New Roman" w:hAnsi="Times New Roman" w:cs="Times New Roman"/>
          <w:noProof/>
        </w:rPr>
        <w:t>Burns RM, Honkala BH (1990) Silvics of North America: 1. Conifers; 2. Hardwoods. Agricultural Handbook 654. Vol. 2, pp. 877. USDA Forest Service, Washington, DC.</w:t>
      </w:r>
      <w:bookmarkEnd w:id="0"/>
    </w:p>
    <w:p w:rsidR="007F3D5D" w:rsidRPr="00243CC3" w:rsidRDefault="007F3D5D" w:rsidP="007F3D5D">
      <w:pPr>
        <w:spacing w:after="0" w:line="240" w:lineRule="auto"/>
        <w:ind w:left="720" w:hanging="720"/>
        <w:rPr>
          <w:rFonts w:ascii="Times New Roman" w:hAnsi="Times New Roman" w:cs="Times New Roman"/>
          <w:noProof/>
        </w:rPr>
      </w:pPr>
      <w:bookmarkStart w:id="1" w:name="_ENREF_2"/>
      <w:r w:rsidRPr="00243CC3">
        <w:rPr>
          <w:rFonts w:ascii="Times New Roman" w:hAnsi="Times New Roman" w:cs="Times New Roman"/>
          <w:noProof/>
        </w:rPr>
        <w:t xml:space="preserve">Chen JM, Rich PM, Gower ST, Norman JM, Plummer S (1997) Leaf area index of boreal forests: Theory, techniques, and measurements. </w:t>
      </w:r>
      <w:r w:rsidRPr="00243CC3">
        <w:rPr>
          <w:rFonts w:ascii="Times New Roman" w:hAnsi="Times New Roman" w:cs="Times New Roman"/>
          <w:i/>
          <w:noProof/>
        </w:rPr>
        <w:t>J. Geophys. Res.,</w:t>
      </w:r>
      <w:r w:rsidRPr="00243CC3">
        <w:rPr>
          <w:rFonts w:ascii="Times New Roman" w:hAnsi="Times New Roman" w:cs="Times New Roman"/>
          <w:noProof/>
        </w:rPr>
        <w:t xml:space="preserve"> </w:t>
      </w:r>
      <w:r w:rsidRPr="00243CC3">
        <w:rPr>
          <w:rFonts w:ascii="Times New Roman" w:hAnsi="Times New Roman" w:cs="Times New Roman"/>
          <w:b/>
          <w:noProof/>
        </w:rPr>
        <w:t>102,</w:t>
      </w:r>
      <w:r w:rsidRPr="00243CC3">
        <w:rPr>
          <w:rFonts w:ascii="Times New Roman" w:hAnsi="Times New Roman" w:cs="Times New Roman"/>
          <w:noProof/>
        </w:rPr>
        <w:t xml:space="preserve"> 29429-29443.</w:t>
      </w:r>
      <w:bookmarkEnd w:id="1"/>
    </w:p>
    <w:p w:rsidR="003C7D94" w:rsidRPr="00243CC3" w:rsidRDefault="003C7D94" w:rsidP="007F3D5D">
      <w:pPr>
        <w:spacing w:after="0" w:line="240" w:lineRule="auto"/>
        <w:ind w:left="720" w:hanging="720"/>
        <w:rPr>
          <w:rFonts w:ascii="Times New Roman" w:hAnsi="Times New Roman" w:cs="Times New Roman"/>
          <w:noProof/>
        </w:rPr>
      </w:pPr>
      <w:bookmarkStart w:id="2" w:name="_ENREF_3"/>
      <w:r w:rsidRPr="00243CC3">
        <w:rPr>
          <w:rFonts w:ascii="Times New Roman" w:hAnsi="Times New Roman" w:cs="Times New Roman"/>
          <w:noProof/>
        </w:rPr>
        <w:t xml:space="preserve">Fowells HA (1941) The period of seasonal growth of ponderosa pine and associated species, </w:t>
      </w:r>
      <w:r w:rsidRPr="00243CC3">
        <w:rPr>
          <w:rFonts w:ascii="Times New Roman" w:hAnsi="Times New Roman" w:cs="Times New Roman"/>
          <w:i/>
          <w:noProof/>
        </w:rPr>
        <w:t>Journal of Forestry</w:t>
      </w:r>
      <w:r w:rsidRPr="00243CC3">
        <w:rPr>
          <w:rFonts w:ascii="Times New Roman" w:hAnsi="Times New Roman" w:cs="Times New Roman"/>
          <w:noProof/>
        </w:rPr>
        <w:t xml:space="preserve">, </w:t>
      </w:r>
      <w:r w:rsidRPr="00243CC3">
        <w:rPr>
          <w:rFonts w:ascii="Times New Roman" w:hAnsi="Times New Roman" w:cs="Times New Roman"/>
          <w:b/>
          <w:noProof/>
        </w:rPr>
        <w:t>39</w:t>
      </w:r>
      <w:r w:rsidRPr="00243CC3">
        <w:rPr>
          <w:rFonts w:ascii="Times New Roman" w:hAnsi="Times New Roman" w:cs="Times New Roman"/>
          <w:noProof/>
        </w:rPr>
        <w:t>, 601-608.</w:t>
      </w:r>
    </w:p>
    <w:p w:rsidR="007F3D5D" w:rsidRPr="00243CC3" w:rsidRDefault="007F3D5D" w:rsidP="007F3D5D">
      <w:pPr>
        <w:spacing w:after="0" w:line="240" w:lineRule="auto"/>
        <w:ind w:left="720" w:hanging="720"/>
        <w:rPr>
          <w:rFonts w:ascii="Times New Roman" w:hAnsi="Times New Roman" w:cs="Times New Roman"/>
          <w:noProof/>
        </w:rPr>
      </w:pPr>
      <w:r w:rsidRPr="00243CC3">
        <w:rPr>
          <w:rFonts w:ascii="Times New Roman" w:hAnsi="Times New Roman" w:cs="Times New Roman"/>
          <w:noProof/>
        </w:rPr>
        <w:t xml:space="preserve">Hughes T, Latt C, Tappeiner J, Newton M (1987) Biomass and Leaf-Area Estimates for Varnishleaf Ceanothus, Deerbrush, and Whiteleaf Manzanita. </w:t>
      </w:r>
      <w:r w:rsidRPr="00243CC3">
        <w:rPr>
          <w:rFonts w:ascii="Times New Roman" w:hAnsi="Times New Roman" w:cs="Times New Roman"/>
          <w:i/>
          <w:noProof/>
        </w:rPr>
        <w:t>Western Journal of Applied Forestry,</w:t>
      </w:r>
      <w:r w:rsidRPr="00243CC3">
        <w:rPr>
          <w:rFonts w:ascii="Times New Roman" w:hAnsi="Times New Roman" w:cs="Times New Roman"/>
          <w:noProof/>
        </w:rPr>
        <w:t xml:space="preserve"> </w:t>
      </w:r>
      <w:r w:rsidRPr="00243CC3">
        <w:rPr>
          <w:rFonts w:ascii="Times New Roman" w:hAnsi="Times New Roman" w:cs="Times New Roman"/>
          <w:b/>
          <w:noProof/>
        </w:rPr>
        <w:t>2,</w:t>
      </w:r>
      <w:r w:rsidRPr="00243CC3">
        <w:rPr>
          <w:rFonts w:ascii="Times New Roman" w:hAnsi="Times New Roman" w:cs="Times New Roman"/>
          <w:noProof/>
        </w:rPr>
        <w:t xml:space="preserve"> 124-128.</w:t>
      </w:r>
      <w:bookmarkEnd w:id="2"/>
    </w:p>
    <w:p w:rsidR="007F3D5D" w:rsidRPr="00243CC3" w:rsidRDefault="007F3D5D" w:rsidP="007F3D5D">
      <w:pPr>
        <w:spacing w:after="0" w:line="240" w:lineRule="auto"/>
        <w:ind w:left="720" w:hanging="720"/>
        <w:rPr>
          <w:rFonts w:ascii="Times New Roman" w:hAnsi="Times New Roman" w:cs="Times New Roman"/>
          <w:noProof/>
        </w:rPr>
      </w:pPr>
      <w:bookmarkStart w:id="3" w:name="_ENREF_4"/>
      <w:r w:rsidRPr="00243CC3">
        <w:rPr>
          <w:rFonts w:ascii="Times New Roman" w:hAnsi="Times New Roman" w:cs="Times New Roman"/>
          <w:noProof/>
        </w:rPr>
        <w:t xml:space="preserve">Kercher JR, Axelrod MC (1984) Process model of fire ecology and succession in a mixed-conifer forest. </w:t>
      </w:r>
      <w:r w:rsidRPr="00243CC3">
        <w:rPr>
          <w:rFonts w:ascii="Times New Roman" w:hAnsi="Times New Roman" w:cs="Times New Roman"/>
          <w:i/>
          <w:noProof/>
        </w:rPr>
        <w:t>Ecology,</w:t>
      </w:r>
      <w:r w:rsidRPr="00243CC3">
        <w:rPr>
          <w:rFonts w:ascii="Times New Roman" w:hAnsi="Times New Roman" w:cs="Times New Roman"/>
          <w:noProof/>
        </w:rPr>
        <w:t xml:space="preserve"> </w:t>
      </w:r>
      <w:r w:rsidRPr="00243CC3">
        <w:rPr>
          <w:rFonts w:ascii="Times New Roman" w:hAnsi="Times New Roman" w:cs="Times New Roman"/>
          <w:b/>
          <w:noProof/>
        </w:rPr>
        <w:t>65,</w:t>
      </w:r>
      <w:r w:rsidRPr="00243CC3">
        <w:rPr>
          <w:rFonts w:ascii="Times New Roman" w:hAnsi="Times New Roman" w:cs="Times New Roman"/>
          <w:noProof/>
        </w:rPr>
        <w:t xml:space="preserve"> 1725-1742.</w:t>
      </w:r>
      <w:bookmarkEnd w:id="3"/>
    </w:p>
    <w:p w:rsidR="007F3D5D" w:rsidRPr="00243CC3" w:rsidRDefault="007F3D5D" w:rsidP="007F3D5D">
      <w:pPr>
        <w:spacing w:after="0" w:line="240" w:lineRule="auto"/>
        <w:ind w:left="720" w:hanging="720"/>
        <w:rPr>
          <w:rFonts w:ascii="Times New Roman" w:hAnsi="Times New Roman" w:cs="Times New Roman"/>
          <w:noProof/>
        </w:rPr>
      </w:pPr>
      <w:bookmarkStart w:id="4" w:name="_ENREF_5"/>
      <w:r w:rsidRPr="00243CC3">
        <w:rPr>
          <w:rFonts w:ascii="Times New Roman" w:hAnsi="Times New Roman" w:cs="Times New Roman"/>
          <w:noProof/>
        </w:rPr>
        <w:t xml:space="preserve">Miller C, Urban DL (1999) Interactions between forest heterogeneity and surface fire regimes in the southern Sierra Nevada. </w:t>
      </w:r>
      <w:r w:rsidRPr="00243CC3">
        <w:rPr>
          <w:rFonts w:ascii="Times New Roman" w:hAnsi="Times New Roman" w:cs="Times New Roman"/>
          <w:i/>
          <w:noProof/>
        </w:rPr>
        <w:t>Canadian Journal of Forest Research,</w:t>
      </w:r>
      <w:r w:rsidRPr="00243CC3">
        <w:rPr>
          <w:rFonts w:ascii="Times New Roman" w:hAnsi="Times New Roman" w:cs="Times New Roman"/>
          <w:noProof/>
        </w:rPr>
        <w:t xml:space="preserve"> </w:t>
      </w:r>
      <w:r w:rsidRPr="00243CC3">
        <w:rPr>
          <w:rFonts w:ascii="Times New Roman" w:hAnsi="Times New Roman" w:cs="Times New Roman"/>
          <w:b/>
          <w:noProof/>
        </w:rPr>
        <w:t>29,</w:t>
      </w:r>
      <w:r w:rsidRPr="00243CC3">
        <w:rPr>
          <w:rFonts w:ascii="Times New Roman" w:hAnsi="Times New Roman" w:cs="Times New Roman"/>
          <w:noProof/>
        </w:rPr>
        <w:t xml:space="preserve"> 202-212.</w:t>
      </w:r>
      <w:bookmarkEnd w:id="4"/>
    </w:p>
    <w:p w:rsidR="003C7D94" w:rsidRPr="00243CC3" w:rsidRDefault="003C7D94" w:rsidP="007F3D5D">
      <w:pPr>
        <w:spacing w:after="0" w:line="240" w:lineRule="auto"/>
        <w:ind w:left="720" w:hanging="720"/>
        <w:rPr>
          <w:rFonts w:ascii="Times New Roman" w:hAnsi="Times New Roman" w:cs="Times New Roman"/>
          <w:noProof/>
        </w:rPr>
      </w:pPr>
      <w:r w:rsidRPr="00243CC3">
        <w:rPr>
          <w:rFonts w:ascii="Times New Roman" w:hAnsi="Times New Roman" w:cs="Times New Roman"/>
          <w:noProof/>
        </w:rPr>
        <w:t xml:space="preserve">Miller C, Urban DL (1999) A model of surface fire, climate and forest pattern in the Sierra Nevada, California, </w:t>
      </w:r>
      <w:r w:rsidRPr="00243CC3">
        <w:rPr>
          <w:rFonts w:ascii="Times New Roman" w:hAnsi="Times New Roman" w:cs="Times New Roman"/>
          <w:i/>
          <w:noProof/>
        </w:rPr>
        <w:t>Ecological Modelling</w:t>
      </w:r>
      <w:r w:rsidRPr="00243CC3">
        <w:rPr>
          <w:rFonts w:ascii="Times New Roman" w:hAnsi="Times New Roman" w:cs="Times New Roman"/>
          <w:noProof/>
        </w:rPr>
        <w:t xml:space="preserve">, </w:t>
      </w:r>
      <w:r w:rsidRPr="00243CC3">
        <w:rPr>
          <w:rFonts w:ascii="Times New Roman" w:hAnsi="Times New Roman" w:cs="Times New Roman"/>
          <w:b/>
          <w:noProof/>
        </w:rPr>
        <w:t>114</w:t>
      </w:r>
      <w:r w:rsidRPr="00243CC3">
        <w:rPr>
          <w:rFonts w:ascii="Times New Roman" w:hAnsi="Times New Roman" w:cs="Times New Roman"/>
          <w:noProof/>
        </w:rPr>
        <w:t>, 113-135.</w:t>
      </w:r>
    </w:p>
    <w:p w:rsidR="007F3D5D" w:rsidRPr="00243CC3" w:rsidRDefault="007F3D5D" w:rsidP="007F3D5D">
      <w:pPr>
        <w:spacing w:after="0" w:line="240" w:lineRule="auto"/>
        <w:ind w:left="720" w:hanging="720"/>
        <w:rPr>
          <w:rFonts w:ascii="Times New Roman" w:hAnsi="Times New Roman" w:cs="Times New Roman"/>
          <w:noProof/>
        </w:rPr>
      </w:pPr>
      <w:bookmarkStart w:id="5" w:name="_ENREF_6"/>
      <w:r w:rsidRPr="00243CC3">
        <w:rPr>
          <w:rFonts w:ascii="Times New Roman" w:hAnsi="Times New Roman" w:cs="Times New Roman"/>
          <w:noProof/>
        </w:rPr>
        <w:t>Miller WW, Johnson DW, Karam SL, Walker RF, Weisberg PJ (2010) A Synthesis of Sierran Forest Biomass Management Studies and Pote</w:t>
      </w:r>
      <w:r w:rsidR="003C7D94" w:rsidRPr="00243CC3">
        <w:rPr>
          <w:rFonts w:ascii="Times New Roman" w:hAnsi="Times New Roman" w:cs="Times New Roman"/>
          <w:noProof/>
        </w:rPr>
        <w:t xml:space="preserve">ntial Effects on Water Quality, </w:t>
      </w:r>
      <w:r w:rsidRPr="00243CC3">
        <w:rPr>
          <w:rFonts w:ascii="Times New Roman" w:hAnsi="Times New Roman" w:cs="Times New Roman"/>
          <w:i/>
          <w:noProof/>
        </w:rPr>
        <w:t>Forests,</w:t>
      </w:r>
      <w:r w:rsidRPr="00243CC3">
        <w:rPr>
          <w:rFonts w:ascii="Times New Roman" w:hAnsi="Times New Roman" w:cs="Times New Roman"/>
          <w:noProof/>
        </w:rPr>
        <w:t xml:space="preserve"> </w:t>
      </w:r>
      <w:r w:rsidRPr="00243CC3">
        <w:rPr>
          <w:rFonts w:ascii="Times New Roman" w:hAnsi="Times New Roman" w:cs="Times New Roman"/>
          <w:b/>
          <w:noProof/>
        </w:rPr>
        <w:t>1,</w:t>
      </w:r>
      <w:r w:rsidRPr="00243CC3">
        <w:rPr>
          <w:rFonts w:ascii="Times New Roman" w:hAnsi="Times New Roman" w:cs="Times New Roman"/>
          <w:noProof/>
        </w:rPr>
        <w:t xml:space="preserve"> 131-153.</w:t>
      </w:r>
      <w:bookmarkEnd w:id="5"/>
    </w:p>
    <w:p w:rsidR="003C7D94" w:rsidRPr="00243CC3" w:rsidRDefault="003C7D94" w:rsidP="007F3D5D">
      <w:pPr>
        <w:spacing w:after="0" w:line="240" w:lineRule="auto"/>
        <w:ind w:left="720" w:hanging="720"/>
        <w:rPr>
          <w:rFonts w:ascii="Times New Roman" w:hAnsi="Times New Roman" w:cs="Times New Roman"/>
          <w:noProof/>
        </w:rPr>
      </w:pPr>
      <w:bookmarkStart w:id="6" w:name="_ENREF_7"/>
      <w:r w:rsidRPr="00243CC3">
        <w:rPr>
          <w:rFonts w:ascii="Times New Roman" w:hAnsi="Times New Roman" w:cs="Times New Roman"/>
          <w:noProof/>
        </w:rPr>
        <w:t xml:space="preserve">Royce EB, Barbour MG (2001) Mediterranean climate effects. II. Conifer growth phenology across a Sierra Nevada ecotone, </w:t>
      </w:r>
      <w:r w:rsidRPr="00243CC3">
        <w:rPr>
          <w:rFonts w:ascii="Times New Roman" w:hAnsi="Times New Roman" w:cs="Times New Roman"/>
          <w:i/>
          <w:noProof/>
        </w:rPr>
        <w:t>American Journal of Botany,</w:t>
      </w:r>
      <w:r w:rsidRPr="00243CC3">
        <w:rPr>
          <w:rFonts w:ascii="Times New Roman" w:hAnsi="Times New Roman" w:cs="Times New Roman"/>
          <w:noProof/>
        </w:rPr>
        <w:t xml:space="preserve"> </w:t>
      </w:r>
      <w:r w:rsidRPr="00243CC3">
        <w:rPr>
          <w:rFonts w:ascii="Times New Roman" w:hAnsi="Times New Roman" w:cs="Times New Roman"/>
          <w:b/>
          <w:noProof/>
        </w:rPr>
        <w:t>88</w:t>
      </w:r>
      <w:r w:rsidRPr="00243CC3">
        <w:rPr>
          <w:rFonts w:ascii="Times New Roman" w:hAnsi="Times New Roman" w:cs="Times New Roman"/>
          <w:noProof/>
        </w:rPr>
        <w:t>, 919-932.</w:t>
      </w:r>
    </w:p>
    <w:p w:rsidR="003C7D94" w:rsidRPr="00243CC3" w:rsidRDefault="003C7D94" w:rsidP="007F3D5D">
      <w:pPr>
        <w:spacing w:after="0" w:line="240" w:lineRule="auto"/>
        <w:ind w:left="720" w:hanging="720"/>
        <w:rPr>
          <w:rFonts w:ascii="Times New Roman" w:hAnsi="Times New Roman" w:cs="Times New Roman"/>
          <w:noProof/>
        </w:rPr>
      </w:pPr>
      <w:r w:rsidRPr="00243CC3">
        <w:rPr>
          <w:rFonts w:ascii="Times New Roman" w:hAnsi="Times New Roman" w:cs="Times New Roman"/>
          <w:noProof/>
        </w:rPr>
        <w:t xml:space="preserve">Sakai A, Weiser CJ (1973) Freezing resistance of trees in North America with reference to tree regions, </w:t>
      </w:r>
      <w:r w:rsidRPr="00243CC3">
        <w:rPr>
          <w:rFonts w:ascii="Times New Roman" w:hAnsi="Times New Roman" w:cs="Times New Roman"/>
          <w:i/>
          <w:noProof/>
        </w:rPr>
        <w:t>Ecology</w:t>
      </w:r>
      <w:r w:rsidRPr="00243CC3">
        <w:rPr>
          <w:rFonts w:ascii="Times New Roman" w:hAnsi="Times New Roman" w:cs="Times New Roman"/>
          <w:noProof/>
        </w:rPr>
        <w:t xml:space="preserve">, </w:t>
      </w:r>
      <w:r w:rsidRPr="00243CC3">
        <w:rPr>
          <w:rFonts w:ascii="Times New Roman" w:hAnsi="Times New Roman" w:cs="Times New Roman"/>
          <w:b/>
          <w:noProof/>
        </w:rPr>
        <w:t>54</w:t>
      </w:r>
      <w:r w:rsidRPr="00243CC3">
        <w:rPr>
          <w:rFonts w:ascii="Times New Roman" w:hAnsi="Times New Roman" w:cs="Times New Roman"/>
          <w:noProof/>
        </w:rPr>
        <w:t>, 118-126.</w:t>
      </w:r>
    </w:p>
    <w:p w:rsidR="007F3D5D" w:rsidRPr="00243CC3" w:rsidRDefault="007F3D5D" w:rsidP="007F3D5D">
      <w:pPr>
        <w:spacing w:after="0" w:line="240" w:lineRule="auto"/>
        <w:ind w:left="720" w:hanging="720"/>
        <w:rPr>
          <w:rFonts w:ascii="Times New Roman" w:hAnsi="Times New Roman" w:cs="Times New Roman"/>
          <w:noProof/>
        </w:rPr>
      </w:pPr>
      <w:r w:rsidRPr="00243CC3">
        <w:rPr>
          <w:rFonts w:ascii="Times New Roman" w:hAnsi="Times New Roman" w:cs="Times New Roman"/>
          <w:noProof/>
        </w:rPr>
        <w:t xml:space="preserve">Scheller RM, Hua D, Bolstad PV, Birdsey RA, Mladenoff DJ (2011) The effects of forest harvest intensity in combination with wind disturbance on carbon dynamics in Lake States Mesic Forests. </w:t>
      </w:r>
      <w:r w:rsidRPr="00243CC3">
        <w:rPr>
          <w:rFonts w:ascii="Times New Roman" w:hAnsi="Times New Roman" w:cs="Times New Roman"/>
          <w:i/>
          <w:noProof/>
        </w:rPr>
        <w:t>Ecological Modelling,</w:t>
      </w:r>
      <w:r w:rsidRPr="00243CC3">
        <w:rPr>
          <w:rFonts w:ascii="Times New Roman" w:hAnsi="Times New Roman" w:cs="Times New Roman"/>
          <w:noProof/>
        </w:rPr>
        <w:t xml:space="preserve"> </w:t>
      </w:r>
      <w:r w:rsidRPr="00243CC3">
        <w:rPr>
          <w:rFonts w:ascii="Times New Roman" w:hAnsi="Times New Roman" w:cs="Times New Roman"/>
          <w:b/>
          <w:noProof/>
        </w:rPr>
        <w:t>222,</w:t>
      </w:r>
      <w:r w:rsidRPr="00243CC3">
        <w:rPr>
          <w:rFonts w:ascii="Times New Roman" w:hAnsi="Times New Roman" w:cs="Times New Roman"/>
          <w:noProof/>
        </w:rPr>
        <w:t xml:space="preserve"> 144-153.</w:t>
      </w:r>
      <w:bookmarkEnd w:id="6"/>
    </w:p>
    <w:p w:rsidR="007F3D5D" w:rsidRPr="00243CC3" w:rsidRDefault="007F3D5D" w:rsidP="007F3D5D">
      <w:pPr>
        <w:spacing w:after="0" w:line="240" w:lineRule="auto"/>
        <w:ind w:left="720" w:hanging="720"/>
        <w:rPr>
          <w:rFonts w:ascii="Times New Roman" w:hAnsi="Times New Roman" w:cs="Times New Roman"/>
          <w:noProof/>
        </w:rPr>
      </w:pPr>
      <w:bookmarkStart w:id="7" w:name="_ENREF_8"/>
      <w:r w:rsidRPr="00243CC3">
        <w:rPr>
          <w:rFonts w:ascii="Times New Roman" w:hAnsi="Times New Roman" w:cs="Times New Roman"/>
          <w:noProof/>
        </w:rPr>
        <w:t xml:space="preserve">Spanner MA, Pierce LL, Running SW, Peterson DL (1990) The seasonality of AVHRR data of temperate coniferous forests: Relationship with leaf area index. </w:t>
      </w:r>
      <w:r w:rsidRPr="00243CC3">
        <w:rPr>
          <w:rFonts w:ascii="Times New Roman" w:hAnsi="Times New Roman" w:cs="Times New Roman"/>
          <w:i/>
          <w:noProof/>
        </w:rPr>
        <w:t>Remote Sensing of Environment,</w:t>
      </w:r>
      <w:r w:rsidRPr="00243CC3">
        <w:rPr>
          <w:rFonts w:ascii="Times New Roman" w:hAnsi="Times New Roman" w:cs="Times New Roman"/>
          <w:noProof/>
        </w:rPr>
        <w:t xml:space="preserve"> </w:t>
      </w:r>
      <w:r w:rsidRPr="00243CC3">
        <w:rPr>
          <w:rFonts w:ascii="Times New Roman" w:hAnsi="Times New Roman" w:cs="Times New Roman"/>
          <w:b/>
          <w:noProof/>
        </w:rPr>
        <w:t>33,</w:t>
      </w:r>
      <w:r w:rsidRPr="00243CC3">
        <w:rPr>
          <w:rFonts w:ascii="Times New Roman" w:hAnsi="Times New Roman" w:cs="Times New Roman"/>
          <w:noProof/>
        </w:rPr>
        <w:t xml:space="preserve"> 97-112.</w:t>
      </w:r>
      <w:bookmarkEnd w:id="7"/>
    </w:p>
    <w:p w:rsidR="007F3D5D" w:rsidRPr="00243CC3" w:rsidRDefault="007F3D5D" w:rsidP="007F3D5D">
      <w:pPr>
        <w:spacing w:after="0" w:line="240" w:lineRule="auto"/>
        <w:ind w:left="720" w:hanging="720"/>
        <w:rPr>
          <w:rFonts w:ascii="Times New Roman" w:hAnsi="Times New Roman" w:cs="Times New Roman"/>
          <w:noProof/>
        </w:rPr>
      </w:pPr>
      <w:bookmarkStart w:id="8" w:name="_ENREF_9"/>
      <w:r w:rsidRPr="00243CC3">
        <w:rPr>
          <w:rFonts w:ascii="Times New Roman" w:hAnsi="Times New Roman" w:cs="Times New Roman"/>
          <w:noProof/>
        </w:rPr>
        <w:t xml:space="preserve">Tarnay L, Gertler AW, Blank RR, Taylor GE (2001) Preliminary measurements of summer nitric acid and ammonia concentrations in the Lake Tahoe Basin air-shed: implications for dry deposition of atmospheric nitrogen. </w:t>
      </w:r>
      <w:r w:rsidRPr="00243CC3">
        <w:rPr>
          <w:rFonts w:ascii="Times New Roman" w:hAnsi="Times New Roman" w:cs="Times New Roman"/>
          <w:i/>
          <w:noProof/>
        </w:rPr>
        <w:t>Environmental Pollution,</w:t>
      </w:r>
      <w:r w:rsidRPr="00243CC3">
        <w:rPr>
          <w:rFonts w:ascii="Times New Roman" w:hAnsi="Times New Roman" w:cs="Times New Roman"/>
          <w:noProof/>
        </w:rPr>
        <w:t xml:space="preserve"> </w:t>
      </w:r>
      <w:r w:rsidRPr="00243CC3">
        <w:rPr>
          <w:rFonts w:ascii="Times New Roman" w:hAnsi="Times New Roman" w:cs="Times New Roman"/>
          <w:b/>
          <w:noProof/>
        </w:rPr>
        <w:t>113,</w:t>
      </w:r>
      <w:r w:rsidRPr="00243CC3">
        <w:rPr>
          <w:rFonts w:ascii="Times New Roman" w:hAnsi="Times New Roman" w:cs="Times New Roman"/>
          <w:noProof/>
        </w:rPr>
        <w:t xml:space="preserve"> 145-153.</w:t>
      </w:r>
      <w:bookmarkEnd w:id="8"/>
    </w:p>
    <w:p w:rsidR="007F3D5D" w:rsidRPr="00243CC3" w:rsidRDefault="007F3D5D" w:rsidP="007F3D5D">
      <w:pPr>
        <w:spacing w:after="0" w:line="240" w:lineRule="auto"/>
        <w:ind w:left="720" w:hanging="720"/>
        <w:rPr>
          <w:rFonts w:ascii="Times New Roman" w:hAnsi="Times New Roman" w:cs="Times New Roman"/>
          <w:noProof/>
        </w:rPr>
      </w:pPr>
      <w:bookmarkStart w:id="9" w:name="_ENREF_10"/>
      <w:r w:rsidRPr="00243CC3">
        <w:rPr>
          <w:rFonts w:ascii="Times New Roman" w:hAnsi="Times New Roman" w:cs="Times New Roman"/>
          <w:noProof/>
        </w:rPr>
        <w:t xml:space="preserve">Weishampel JF, Urban DL, Shugart HH, Smith JB, Jr. (1992) Semivariograms from a forest transect gap model compared with remotely sensed data. </w:t>
      </w:r>
      <w:r w:rsidRPr="00243CC3">
        <w:rPr>
          <w:rFonts w:ascii="Times New Roman" w:hAnsi="Times New Roman" w:cs="Times New Roman"/>
          <w:i/>
          <w:noProof/>
        </w:rPr>
        <w:t>Journal of Vegetation Science,</w:t>
      </w:r>
      <w:r w:rsidRPr="00243CC3">
        <w:rPr>
          <w:rFonts w:ascii="Times New Roman" w:hAnsi="Times New Roman" w:cs="Times New Roman"/>
          <w:noProof/>
        </w:rPr>
        <w:t xml:space="preserve"> </w:t>
      </w:r>
      <w:r w:rsidRPr="00243CC3">
        <w:rPr>
          <w:rFonts w:ascii="Times New Roman" w:hAnsi="Times New Roman" w:cs="Times New Roman"/>
          <w:b/>
          <w:noProof/>
        </w:rPr>
        <w:t>3,</w:t>
      </w:r>
      <w:r w:rsidRPr="00243CC3">
        <w:rPr>
          <w:rFonts w:ascii="Times New Roman" w:hAnsi="Times New Roman" w:cs="Times New Roman"/>
          <w:noProof/>
        </w:rPr>
        <w:t xml:space="preserve"> 521-526.</w:t>
      </w:r>
      <w:bookmarkEnd w:id="9"/>
    </w:p>
    <w:p w:rsidR="007F3D5D" w:rsidRPr="00243CC3" w:rsidRDefault="007F3D5D" w:rsidP="007F3D5D">
      <w:pPr>
        <w:spacing w:after="0" w:line="240" w:lineRule="auto"/>
        <w:ind w:left="720" w:hanging="720"/>
        <w:rPr>
          <w:rFonts w:ascii="Times New Roman" w:hAnsi="Times New Roman" w:cs="Times New Roman"/>
          <w:noProof/>
        </w:rPr>
      </w:pPr>
      <w:bookmarkStart w:id="10" w:name="_ENREF_11"/>
      <w:r w:rsidRPr="00243CC3">
        <w:rPr>
          <w:rFonts w:ascii="Times New Roman" w:hAnsi="Times New Roman" w:cs="Times New Roman"/>
          <w:noProof/>
        </w:rPr>
        <w:t>Zinke PJ, Stangenberger AG, Post WM, Emanuel WR, Olson. JS (1998) Global Organic Soil Carbon and Nitrogen. Oak Ridge National Laboratory Distributed Active Archive Center, Oak Ridge, Tennessee.</w:t>
      </w:r>
      <w:bookmarkEnd w:id="10"/>
    </w:p>
    <w:p w:rsidR="003C7D94" w:rsidRPr="00243CC3" w:rsidRDefault="007F3D5D" w:rsidP="007F4E7F">
      <w:pPr>
        <w:spacing w:line="240" w:lineRule="auto"/>
        <w:ind w:left="720" w:hanging="720"/>
        <w:rPr>
          <w:rFonts w:ascii="Times New Roman" w:hAnsi="Times New Roman" w:cs="Times New Roman"/>
          <w:noProof/>
        </w:rPr>
      </w:pPr>
      <w:bookmarkStart w:id="11" w:name="_ENREF_12"/>
      <w:r w:rsidRPr="00243CC3">
        <w:rPr>
          <w:rFonts w:ascii="Times New Roman" w:hAnsi="Times New Roman" w:cs="Times New Roman"/>
          <w:noProof/>
        </w:rPr>
        <w:t xml:space="preserve">Zolbrod AN, Peterson DL (1999) Response of high-elevation forests in the Olympic Mountains to climatic change. </w:t>
      </w:r>
      <w:r w:rsidRPr="00243CC3">
        <w:rPr>
          <w:rFonts w:ascii="Times New Roman" w:hAnsi="Times New Roman" w:cs="Times New Roman"/>
          <w:i/>
          <w:noProof/>
        </w:rPr>
        <w:t>Canadian Journal of Forest Research,</w:t>
      </w:r>
      <w:r w:rsidRPr="00243CC3">
        <w:rPr>
          <w:rFonts w:ascii="Times New Roman" w:hAnsi="Times New Roman" w:cs="Times New Roman"/>
          <w:noProof/>
        </w:rPr>
        <w:t xml:space="preserve"> </w:t>
      </w:r>
      <w:r w:rsidRPr="00243CC3">
        <w:rPr>
          <w:rFonts w:ascii="Times New Roman" w:hAnsi="Times New Roman" w:cs="Times New Roman"/>
          <w:b/>
          <w:noProof/>
        </w:rPr>
        <w:t>29,</w:t>
      </w:r>
      <w:r w:rsidRPr="00243CC3">
        <w:rPr>
          <w:rFonts w:ascii="Times New Roman" w:hAnsi="Times New Roman" w:cs="Times New Roman"/>
          <w:noProof/>
        </w:rPr>
        <w:t xml:space="preserve"> 1966-1978.</w:t>
      </w:r>
      <w:bookmarkEnd w:id="11"/>
    </w:p>
    <w:p w:rsidR="00005EEB" w:rsidRPr="00243CC3" w:rsidRDefault="00B75E9B" w:rsidP="00FB1301">
      <w:pPr>
        <w:spacing w:line="240" w:lineRule="auto"/>
        <w:rPr>
          <w:rFonts w:ascii="Times New Roman" w:hAnsi="Times New Roman" w:cs="Times New Roman"/>
          <w:sz w:val="24"/>
          <w:szCs w:val="24"/>
        </w:rPr>
      </w:pPr>
      <w:r w:rsidRPr="00243CC3">
        <w:rPr>
          <w:rFonts w:ascii="Times New Roman" w:hAnsi="Times New Roman" w:cs="Times New Roman"/>
        </w:rPr>
        <w:fldChar w:fldCharType="end"/>
      </w:r>
    </w:p>
    <w:p w:rsidR="002C12DF" w:rsidRPr="00243CC3" w:rsidRDefault="002C12DF">
      <w:pPr>
        <w:rPr>
          <w:rFonts w:ascii="Times New Roman" w:hAnsi="Times New Roman" w:cs="Times New Roman"/>
          <w:b/>
        </w:rPr>
      </w:pPr>
      <w:r w:rsidRPr="00243CC3">
        <w:rPr>
          <w:rFonts w:ascii="Times New Roman" w:hAnsi="Times New Roman" w:cs="Times New Roman"/>
          <w:b/>
        </w:rPr>
        <w:br w:type="page"/>
      </w:r>
    </w:p>
    <w:p w:rsidR="00AE3933" w:rsidRPr="00243CC3" w:rsidRDefault="00AE3933" w:rsidP="00AE3933">
      <w:pPr>
        <w:outlineLvl w:val="0"/>
        <w:rPr>
          <w:rFonts w:ascii="Times New Roman" w:hAnsi="Times New Roman" w:cs="Times New Roman"/>
          <w:b/>
        </w:rPr>
      </w:pPr>
      <w:r w:rsidRPr="00243CC3">
        <w:rPr>
          <w:rFonts w:ascii="Times New Roman" w:hAnsi="Times New Roman" w:cs="Times New Roman"/>
          <w:b/>
        </w:rPr>
        <w:lastRenderedPageBreak/>
        <w:t>Table S</w:t>
      </w:r>
      <w:r w:rsidR="0093341A" w:rsidRPr="00243CC3">
        <w:rPr>
          <w:rFonts w:ascii="Times New Roman" w:hAnsi="Times New Roman" w:cs="Times New Roman"/>
          <w:b/>
        </w:rPr>
        <w:t>6</w:t>
      </w:r>
    </w:p>
    <w:p w:rsidR="004C3CC1" w:rsidRPr="00243CC3" w:rsidRDefault="004C3CC1" w:rsidP="004C3CC1">
      <w:pPr>
        <w:rPr>
          <w:rFonts w:ascii="Times New Roman" w:hAnsi="Times New Roman" w:cs="Times New Roman"/>
        </w:rPr>
      </w:pPr>
      <w:r w:rsidRPr="00243CC3">
        <w:rPr>
          <w:rFonts w:ascii="Times New Roman" w:hAnsi="Times New Roman" w:cs="Times New Roman"/>
        </w:rPr>
        <w:t xml:space="preserve">Fire regime parameter inputs for the Dynamic Fire extension used for the Lake Tahoe Basin, CA, NV.  Please refer to the extensions user's guide for detailed explanations of each parameter, found on the LANDIS-II website: </w:t>
      </w:r>
      <w:hyperlink r:id="rId10" w:history="1">
        <w:r w:rsidRPr="00243CC3">
          <w:rPr>
            <w:rStyle w:val="Hyperlink"/>
            <w:rFonts w:ascii="Times New Roman" w:hAnsi="Times New Roman" w:cs="Times New Roman"/>
          </w:rPr>
          <w:t>www.landis-ii.org</w:t>
        </w:r>
      </w:hyperlink>
      <w:r w:rsidRPr="00243CC3">
        <w:rPr>
          <w:rFonts w:ascii="Times New Roman" w:hAnsi="Times New Roman" w:cs="Times New Roman"/>
        </w:rPr>
        <w:t xml:space="preserve">.  Also refer to </w:t>
      </w:r>
      <w:proofErr w:type="spellStart"/>
      <w:r w:rsidRPr="00243CC3">
        <w:rPr>
          <w:rFonts w:ascii="Times New Roman" w:hAnsi="Times New Roman" w:cs="Times New Roman"/>
        </w:rPr>
        <w:t>Syphard</w:t>
      </w:r>
      <w:proofErr w:type="spellEnd"/>
      <w:r w:rsidRPr="00243CC3">
        <w:rPr>
          <w:rFonts w:ascii="Times New Roman" w:hAnsi="Times New Roman" w:cs="Times New Roman"/>
        </w:rPr>
        <w:t xml:space="preserve"> et al. 2011 for details on fire regime and fuel types for Sierra Nevada, similar to this study. FMC: Foliar moisture content.</w:t>
      </w:r>
    </w:p>
    <w:tbl>
      <w:tblPr>
        <w:tblW w:w="14640" w:type="dxa"/>
        <w:tblInd w:w="93" w:type="dxa"/>
        <w:tblLook w:val="04A0" w:firstRow="1" w:lastRow="0" w:firstColumn="1" w:lastColumn="0" w:noHBand="0" w:noVBand="1"/>
      </w:tblPr>
      <w:tblGrid>
        <w:gridCol w:w="1460"/>
        <w:gridCol w:w="780"/>
        <w:gridCol w:w="439"/>
        <w:gridCol w:w="616"/>
        <w:gridCol w:w="1200"/>
        <w:gridCol w:w="840"/>
        <w:gridCol w:w="920"/>
        <w:gridCol w:w="972"/>
        <w:gridCol w:w="840"/>
        <w:gridCol w:w="880"/>
        <w:gridCol w:w="980"/>
        <w:gridCol w:w="820"/>
        <w:gridCol w:w="820"/>
        <w:gridCol w:w="972"/>
        <w:gridCol w:w="980"/>
        <w:gridCol w:w="1260"/>
      </w:tblGrid>
      <w:tr w:rsidR="004C3CC1" w:rsidRPr="00243CC3" w:rsidTr="004C3CC1">
        <w:trPr>
          <w:trHeight w:val="900"/>
        </w:trPr>
        <w:tc>
          <w:tcPr>
            <w:tcW w:w="146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Fire Region</w:t>
            </w:r>
          </w:p>
        </w:tc>
        <w:tc>
          <w:tcPr>
            <w:tcW w:w="78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Region size (ha)</w:t>
            </w:r>
          </w:p>
        </w:tc>
        <w:tc>
          <w:tcPr>
            <w:tcW w:w="38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mu</w:t>
            </w:r>
          </w:p>
        </w:tc>
        <w:tc>
          <w:tcPr>
            <w:tcW w:w="58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sigma</w:t>
            </w:r>
          </w:p>
        </w:tc>
        <w:tc>
          <w:tcPr>
            <w:tcW w:w="120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Maximum Size/Duration</w:t>
            </w:r>
          </w:p>
        </w:tc>
        <w:tc>
          <w:tcPr>
            <w:tcW w:w="84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Spring FMC Low</w:t>
            </w:r>
          </w:p>
        </w:tc>
        <w:tc>
          <w:tcPr>
            <w:tcW w:w="92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Spring FMC High</w:t>
            </w:r>
          </w:p>
        </w:tc>
        <w:tc>
          <w:tcPr>
            <w:tcW w:w="96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Spring High Proportion</w:t>
            </w:r>
          </w:p>
        </w:tc>
        <w:tc>
          <w:tcPr>
            <w:tcW w:w="84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Summer FMC Low</w:t>
            </w:r>
          </w:p>
        </w:tc>
        <w:tc>
          <w:tcPr>
            <w:tcW w:w="88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Summer FMC High</w:t>
            </w:r>
          </w:p>
        </w:tc>
        <w:tc>
          <w:tcPr>
            <w:tcW w:w="98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Summer High Proportion</w:t>
            </w:r>
          </w:p>
        </w:tc>
        <w:tc>
          <w:tcPr>
            <w:tcW w:w="82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Fall FMC Low</w:t>
            </w:r>
          </w:p>
        </w:tc>
        <w:tc>
          <w:tcPr>
            <w:tcW w:w="82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Fall FMC High</w:t>
            </w:r>
          </w:p>
        </w:tc>
        <w:tc>
          <w:tcPr>
            <w:tcW w:w="94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Fall High Proportion</w:t>
            </w:r>
          </w:p>
        </w:tc>
        <w:tc>
          <w:tcPr>
            <w:tcW w:w="98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Default Open Fuel Type Index</w:t>
            </w:r>
          </w:p>
        </w:tc>
        <w:tc>
          <w:tcPr>
            <w:tcW w:w="1260" w:type="dxa"/>
            <w:tcBorders>
              <w:top w:val="nil"/>
              <w:left w:val="nil"/>
              <w:bottom w:val="single" w:sz="4" w:space="0" w:color="auto"/>
              <w:right w:val="nil"/>
            </w:tcBorders>
            <w:shd w:val="clear" w:color="auto" w:fill="auto"/>
            <w:vAlign w:val="bottom"/>
            <w:hideMark/>
          </w:tcPr>
          <w:p w:rsidR="004C3CC1" w:rsidRPr="00243CC3" w:rsidRDefault="004C3CC1" w:rsidP="004C3CC1">
            <w:pPr>
              <w:spacing w:after="0" w:line="240" w:lineRule="auto"/>
              <w:rPr>
                <w:rFonts w:ascii="Times New Roman" w:eastAsia="Times New Roman" w:hAnsi="Times New Roman" w:cs="Times New Roman"/>
                <w:b/>
                <w:bCs/>
                <w:color w:val="000000"/>
                <w:sz w:val="16"/>
                <w:szCs w:val="16"/>
              </w:rPr>
            </w:pPr>
            <w:r w:rsidRPr="00243CC3">
              <w:rPr>
                <w:rFonts w:ascii="Times New Roman" w:eastAsia="Times New Roman" w:hAnsi="Times New Roman" w:cs="Times New Roman"/>
                <w:b/>
                <w:bCs/>
                <w:color w:val="000000"/>
                <w:sz w:val="16"/>
                <w:szCs w:val="16"/>
              </w:rPr>
              <w:t>Number of Fires (ignitions) yr</w:t>
            </w:r>
            <w:r w:rsidRPr="00243CC3">
              <w:rPr>
                <w:rFonts w:ascii="Times New Roman" w:eastAsia="Times New Roman" w:hAnsi="Times New Roman" w:cs="Times New Roman"/>
                <w:b/>
                <w:bCs/>
                <w:color w:val="000000"/>
                <w:sz w:val="16"/>
                <w:szCs w:val="16"/>
                <w:vertAlign w:val="superscript"/>
              </w:rPr>
              <w:t>-1</w:t>
            </w:r>
          </w:p>
        </w:tc>
      </w:tr>
      <w:tr w:rsidR="004C3CC1" w:rsidRPr="00243CC3" w:rsidTr="004C3CC1">
        <w:trPr>
          <w:trHeight w:val="300"/>
        </w:trPr>
        <w:tc>
          <w:tcPr>
            <w:tcW w:w="146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Lower-elevation</w:t>
            </w:r>
          </w:p>
        </w:tc>
        <w:tc>
          <w:tcPr>
            <w:tcW w:w="7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9,603</w:t>
            </w:r>
          </w:p>
        </w:tc>
        <w:tc>
          <w:tcPr>
            <w:tcW w:w="3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5.2</w:t>
            </w:r>
          </w:p>
        </w:tc>
        <w:tc>
          <w:tcPr>
            <w:tcW w:w="5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0.32</w:t>
            </w:r>
          </w:p>
        </w:tc>
        <w:tc>
          <w:tcPr>
            <w:tcW w:w="120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4500</w:t>
            </w:r>
          </w:p>
        </w:tc>
        <w:tc>
          <w:tcPr>
            <w:tcW w:w="84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135</w:t>
            </w:r>
          </w:p>
        </w:tc>
        <w:tc>
          <w:tcPr>
            <w:tcW w:w="92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175</w:t>
            </w:r>
          </w:p>
        </w:tc>
        <w:tc>
          <w:tcPr>
            <w:tcW w:w="96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0.05</w:t>
            </w:r>
          </w:p>
        </w:tc>
        <w:tc>
          <w:tcPr>
            <w:tcW w:w="84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85</w:t>
            </w:r>
          </w:p>
        </w:tc>
        <w:tc>
          <w:tcPr>
            <w:tcW w:w="8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100</w:t>
            </w:r>
          </w:p>
        </w:tc>
        <w:tc>
          <w:tcPr>
            <w:tcW w:w="9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0.89</w:t>
            </w:r>
          </w:p>
        </w:tc>
        <w:tc>
          <w:tcPr>
            <w:tcW w:w="82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75</w:t>
            </w:r>
          </w:p>
        </w:tc>
        <w:tc>
          <w:tcPr>
            <w:tcW w:w="82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90</w:t>
            </w:r>
          </w:p>
        </w:tc>
        <w:tc>
          <w:tcPr>
            <w:tcW w:w="94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0.1</w:t>
            </w:r>
          </w:p>
        </w:tc>
        <w:tc>
          <w:tcPr>
            <w:tcW w:w="9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31</w:t>
            </w:r>
          </w:p>
        </w:tc>
        <w:tc>
          <w:tcPr>
            <w:tcW w:w="126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w:t>
            </w:r>
          </w:p>
        </w:tc>
      </w:tr>
      <w:tr w:rsidR="004C3CC1" w:rsidRPr="00243CC3" w:rsidTr="004C3CC1">
        <w:trPr>
          <w:trHeight w:val="300"/>
        </w:trPr>
        <w:tc>
          <w:tcPr>
            <w:tcW w:w="146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Mid-elevation</w:t>
            </w:r>
          </w:p>
        </w:tc>
        <w:tc>
          <w:tcPr>
            <w:tcW w:w="7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28,777</w:t>
            </w:r>
          </w:p>
        </w:tc>
        <w:tc>
          <w:tcPr>
            <w:tcW w:w="3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5.3</w:t>
            </w:r>
          </w:p>
        </w:tc>
        <w:tc>
          <w:tcPr>
            <w:tcW w:w="5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0.32</w:t>
            </w:r>
          </w:p>
        </w:tc>
        <w:tc>
          <w:tcPr>
            <w:tcW w:w="120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4500</w:t>
            </w:r>
          </w:p>
        </w:tc>
        <w:tc>
          <w:tcPr>
            <w:tcW w:w="84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135</w:t>
            </w:r>
          </w:p>
        </w:tc>
        <w:tc>
          <w:tcPr>
            <w:tcW w:w="92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175</w:t>
            </w:r>
          </w:p>
        </w:tc>
        <w:tc>
          <w:tcPr>
            <w:tcW w:w="96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0.05</w:t>
            </w:r>
          </w:p>
        </w:tc>
        <w:tc>
          <w:tcPr>
            <w:tcW w:w="84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85</w:t>
            </w:r>
          </w:p>
        </w:tc>
        <w:tc>
          <w:tcPr>
            <w:tcW w:w="8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100</w:t>
            </w:r>
          </w:p>
        </w:tc>
        <w:tc>
          <w:tcPr>
            <w:tcW w:w="9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0.89</w:t>
            </w:r>
          </w:p>
        </w:tc>
        <w:tc>
          <w:tcPr>
            <w:tcW w:w="82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75</w:t>
            </w:r>
          </w:p>
        </w:tc>
        <w:tc>
          <w:tcPr>
            <w:tcW w:w="82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90</w:t>
            </w:r>
          </w:p>
        </w:tc>
        <w:tc>
          <w:tcPr>
            <w:tcW w:w="94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0.1</w:t>
            </w:r>
          </w:p>
        </w:tc>
        <w:tc>
          <w:tcPr>
            <w:tcW w:w="98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31</w:t>
            </w:r>
          </w:p>
        </w:tc>
        <w:tc>
          <w:tcPr>
            <w:tcW w:w="1260" w:type="dxa"/>
            <w:tcBorders>
              <w:top w:val="nil"/>
              <w:left w:val="nil"/>
              <w:bottom w:val="nil"/>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w:t>
            </w:r>
          </w:p>
        </w:tc>
      </w:tr>
      <w:tr w:rsidR="004C3CC1" w:rsidRPr="00243CC3" w:rsidTr="004C3CC1">
        <w:trPr>
          <w:trHeight w:val="300"/>
        </w:trPr>
        <w:tc>
          <w:tcPr>
            <w:tcW w:w="146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Higher-elevation</w:t>
            </w:r>
          </w:p>
        </w:tc>
        <w:tc>
          <w:tcPr>
            <w:tcW w:w="78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31,194</w:t>
            </w:r>
          </w:p>
        </w:tc>
        <w:tc>
          <w:tcPr>
            <w:tcW w:w="38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5.2</w:t>
            </w:r>
          </w:p>
        </w:tc>
        <w:tc>
          <w:tcPr>
            <w:tcW w:w="58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0.32</w:t>
            </w:r>
          </w:p>
        </w:tc>
        <w:tc>
          <w:tcPr>
            <w:tcW w:w="120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4500</w:t>
            </w:r>
          </w:p>
        </w:tc>
        <w:tc>
          <w:tcPr>
            <w:tcW w:w="84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135</w:t>
            </w:r>
          </w:p>
        </w:tc>
        <w:tc>
          <w:tcPr>
            <w:tcW w:w="92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175</w:t>
            </w:r>
          </w:p>
        </w:tc>
        <w:tc>
          <w:tcPr>
            <w:tcW w:w="96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0.05</w:t>
            </w:r>
          </w:p>
        </w:tc>
        <w:tc>
          <w:tcPr>
            <w:tcW w:w="84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85</w:t>
            </w:r>
          </w:p>
        </w:tc>
        <w:tc>
          <w:tcPr>
            <w:tcW w:w="88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100</w:t>
            </w:r>
          </w:p>
        </w:tc>
        <w:tc>
          <w:tcPr>
            <w:tcW w:w="98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0.89</w:t>
            </w:r>
          </w:p>
        </w:tc>
        <w:tc>
          <w:tcPr>
            <w:tcW w:w="82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75</w:t>
            </w:r>
          </w:p>
        </w:tc>
        <w:tc>
          <w:tcPr>
            <w:tcW w:w="82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90</w:t>
            </w:r>
          </w:p>
        </w:tc>
        <w:tc>
          <w:tcPr>
            <w:tcW w:w="94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0.1</w:t>
            </w:r>
          </w:p>
        </w:tc>
        <w:tc>
          <w:tcPr>
            <w:tcW w:w="98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31</w:t>
            </w:r>
          </w:p>
        </w:tc>
        <w:tc>
          <w:tcPr>
            <w:tcW w:w="1260" w:type="dxa"/>
            <w:tcBorders>
              <w:top w:val="nil"/>
              <w:left w:val="nil"/>
              <w:bottom w:val="single" w:sz="4" w:space="0" w:color="auto"/>
              <w:right w:val="nil"/>
            </w:tcBorders>
            <w:shd w:val="clear" w:color="auto" w:fill="auto"/>
            <w:noWrap/>
            <w:vAlign w:val="bottom"/>
            <w:hideMark/>
          </w:tcPr>
          <w:p w:rsidR="004C3CC1" w:rsidRPr="00243CC3" w:rsidRDefault="004C3CC1" w:rsidP="004C3CC1">
            <w:pPr>
              <w:spacing w:after="0" w:line="240" w:lineRule="auto"/>
              <w:rPr>
                <w:rFonts w:ascii="Times New Roman" w:eastAsia="Times New Roman" w:hAnsi="Times New Roman" w:cs="Times New Roman"/>
                <w:color w:val="000000"/>
                <w:sz w:val="16"/>
                <w:szCs w:val="16"/>
              </w:rPr>
            </w:pPr>
            <w:r w:rsidRPr="00243CC3">
              <w:rPr>
                <w:rFonts w:ascii="Times New Roman" w:eastAsia="Times New Roman" w:hAnsi="Times New Roman" w:cs="Times New Roman"/>
                <w:color w:val="000000"/>
                <w:sz w:val="16"/>
                <w:szCs w:val="16"/>
              </w:rPr>
              <w:t>1</w:t>
            </w:r>
          </w:p>
        </w:tc>
      </w:tr>
    </w:tbl>
    <w:p w:rsidR="004C3CC1" w:rsidRPr="00243CC3" w:rsidRDefault="004C3CC1" w:rsidP="00BB094C">
      <w:pPr>
        <w:rPr>
          <w:rFonts w:ascii="Times New Roman" w:hAnsi="Times New Roman" w:cs="Times New Roman"/>
          <w:b/>
        </w:rPr>
      </w:pPr>
    </w:p>
    <w:p w:rsidR="00252A7B" w:rsidRPr="00243CC3" w:rsidRDefault="00252A7B" w:rsidP="00BB094C">
      <w:pPr>
        <w:rPr>
          <w:rFonts w:ascii="Times New Roman" w:hAnsi="Times New Roman" w:cs="Times New Roman"/>
          <w:lang w:eastAsia="zh-CN"/>
        </w:rPr>
      </w:pPr>
      <w:r w:rsidRPr="00243CC3">
        <w:rPr>
          <w:rFonts w:ascii="Times New Roman" w:hAnsi="Times New Roman" w:cs="Times New Roman"/>
          <w:lang w:eastAsia="zh-CN"/>
        </w:rPr>
        <w:t xml:space="preserve">Notes on fire region delineation: </w:t>
      </w:r>
      <w:r w:rsidRPr="00243CC3">
        <w:rPr>
          <w:rFonts w:ascii="Times New Roman" w:hAnsi="Times New Roman" w:cs="Times New Roman"/>
        </w:rPr>
        <w:t>Fire region map was reclassified from a continuous fire ignition density image that was estimated using a spatial point pattern modeling approach (</w:t>
      </w:r>
      <w:proofErr w:type="spellStart"/>
      <w:r w:rsidRPr="00243CC3">
        <w:rPr>
          <w:rFonts w:ascii="Times New Roman" w:hAnsi="Times New Roman" w:cs="Times New Roman"/>
        </w:rPr>
        <w:t>Loudermilk</w:t>
      </w:r>
      <w:proofErr w:type="spellEnd"/>
      <w:r w:rsidRPr="00243CC3">
        <w:rPr>
          <w:rFonts w:ascii="Times New Roman" w:hAnsi="Times New Roman" w:cs="Times New Roman"/>
        </w:rPr>
        <w:t xml:space="preserve"> </w:t>
      </w:r>
      <w:r w:rsidRPr="00243CC3">
        <w:rPr>
          <w:rFonts w:ascii="Times New Roman" w:hAnsi="Times New Roman" w:cs="Times New Roman"/>
          <w:i/>
        </w:rPr>
        <w:t>et al.</w:t>
      </w:r>
      <w:r w:rsidRPr="00243CC3">
        <w:rPr>
          <w:rFonts w:ascii="Times New Roman" w:hAnsi="Times New Roman" w:cs="Times New Roman"/>
        </w:rPr>
        <w:t xml:space="preserve"> 2012, Yang </w:t>
      </w:r>
      <w:r w:rsidRPr="00243CC3">
        <w:rPr>
          <w:rFonts w:ascii="Times New Roman" w:hAnsi="Times New Roman" w:cs="Times New Roman"/>
          <w:i/>
        </w:rPr>
        <w:t>et al.</w:t>
      </w:r>
      <w:r w:rsidRPr="00243CC3">
        <w:rPr>
          <w:rFonts w:ascii="Times New Roman" w:hAnsi="Times New Roman" w:cs="Times New Roman"/>
        </w:rPr>
        <w:t xml:space="preserve"> 2007) from historical fire occurrence database (</w:t>
      </w:r>
      <w:hyperlink r:id="rId11" w:history="1">
        <w:r w:rsidRPr="00243CC3">
          <w:rPr>
            <w:rStyle w:val="Hyperlink"/>
            <w:rFonts w:ascii="Times New Roman" w:hAnsi="Times New Roman" w:cs="Times New Roman"/>
          </w:rPr>
          <w:t>http://www.fs.usda.gov/detail/r5/landmanagement/gis/?cid=STELPRDB5327833</w:t>
        </w:r>
      </w:hyperlink>
      <w:r w:rsidRPr="00243CC3">
        <w:rPr>
          <w:rFonts w:ascii="Times New Roman" w:hAnsi="Times New Roman" w:cs="Times New Roman"/>
        </w:rPr>
        <w:t>, accessed 19 June 2012)</w:t>
      </w:r>
    </w:p>
    <w:p w:rsidR="00057E50" w:rsidRPr="00243CC3" w:rsidRDefault="00057E50" w:rsidP="00BB094C">
      <w:pPr>
        <w:rPr>
          <w:rFonts w:ascii="Times New Roman" w:hAnsi="Times New Roman" w:cs="Times New Roman"/>
          <w:lang w:eastAsia="zh-CN"/>
        </w:rPr>
      </w:pPr>
      <w:r w:rsidRPr="00243CC3">
        <w:rPr>
          <w:rFonts w:ascii="Times New Roman" w:hAnsi="Times New Roman" w:cs="Times New Roman"/>
          <w:lang w:eastAsia="zh-CN"/>
        </w:rPr>
        <w:t>Notes on fire ignitions: Although different fire regions possess different fire ignition densities, their number of f</w:t>
      </w:r>
      <w:r w:rsidRPr="00243CC3">
        <w:rPr>
          <w:rFonts w:ascii="Times New Roman" w:hAnsi="Times New Roman" w:cs="Times New Roman"/>
        </w:rPr>
        <w:t xml:space="preserve">ire ignitions </w:t>
      </w:r>
      <w:r w:rsidRPr="00243CC3">
        <w:rPr>
          <w:rFonts w:ascii="Times New Roman" w:hAnsi="Times New Roman" w:cs="Times New Roman"/>
          <w:lang w:eastAsia="zh-CN"/>
        </w:rPr>
        <w:t xml:space="preserve">per year was all </w:t>
      </w:r>
      <w:r w:rsidRPr="00243CC3">
        <w:rPr>
          <w:rFonts w:ascii="Times New Roman" w:hAnsi="Times New Roman" w:cs="Times New Roman"/>
        </w:rPr>
        <w:t xml:space="preserve"> set to one </w:t>
      </w:r>
      <w:r w:rsidRPr="00243CC3">
        <w:rPr>
          <w:rFonts w:ascii="Times New Roman" w:hAnsi="Times New Roman" w:cs="Times New Roman"/>
          <w:lang w:eastAsia="zh-CN"/>
        </w:rPr>
        <w:t xml:space="preserve">(the lowest non-zero integer) after </w:t>
      </w:r>
      <w:r w:rsidR="00483F99" w:rsidRPr="00243CC3">
        <w:rPr>
          <w:rFonts w:ascii="Times New Roman" w:hAnsi="Times New Roman" w:cs="Times New Roman"/>
          <w:lang w:eastAsia="zh-CN"/>
        </w:rPr>
        <w:t>multiplying</w:t>
      </w:r>
      <w:r w:rsidRPr="00243CC3">
        <w:rPr>
          <w:rFonts w:ascii="Times New Roman" w:hAnsi="Times New Roman" w:cs="Times New Roman"/>
          <w:lang w:eastAsia="zh-CN"/>
        </w:rPr>
        <w:t xml:space="preserve"> fire region size. This parameter was set </w:t>
      </w:r>
      <w:r w:rsidR="00483F99" w:rsidRPr="00243CC3">
        <w:rPr>
          <w:rFonts w:ascii="Times New Roman" w:hAnsi="Times New Roman" w:cs="Times New Roman"/>
          <w:lang w:eastAsia="zh-CN"/>
        </w:rPr>
        <w:t>to this</w:t>
      </w:r>
      <w:r w:rsidRPr="00243CC3">
        <w:rPr>
          <w:rFonts w:ascii="Times New Roman" w:hAnsi="Times New Roman" w:cs="Times New Roman"/>
          <w:lang w:eastAsia="zh-CN"/>
        </w:rPr>
        <w:t xml:space="preserve"> low value because we only simulate</w:t>
      </w:r>
      <w:r w:rsidR="00483F99" w:rsidRPr="00243CC3">
        <w:rPr>
          <w:rFonts w:ascii="Times New Roman" w:hAnsi="Times New Roman" w:cs="Times New Roman"/>
          <w:lang w:eastAsia="zh-CN"/>
        </w:rPr>
        <w:t>d</w:t>
      </w:r>
      <w:r w:rsidRPr="00243CC3">
        <w:rPr>
          <w:rFonts w:ascii="Times New Roman" w:hAnsi="Times New Roman" w:cs="Times New Roman"/>
          <w:lang w:eastAsia="zh-CN"/>
        </w:rPr>
        <w:t xml:space="preserve"> fires &gt; 0.1 ha, a threshold often used to remove extremely small fires in the analysis that otherwise contribute little in total area burne</w:t>
      </w:r>
      <w:r w:rsidR="00C30B41" w:rsidRPr="00243CC3">
        <w:rPr>
          <w:rFonts w:ascii="Times New Roman" w:hAnsi="Times New Roman" w:cs="Times New Roman"/>
          <w:lang w:eastAsia="zh-CN"/>
        </w:rPr>
        <w:t>d and fire risk assessment (Mir</w:t>
      </w:r>
      <w:r w:rsidRPr="00243CC3">
        <w:rPr>
          <w:rFonts w:ascii="Times New Roman" w:hAnsi="Times New Roman" w:cs="Times New Roman"/>
          <w:lang w:eastAsia="zh-CN"/>
        </w:rPr>
        <w:t>anda et al. 201</w:t>
      </w:r>
      <w:r w:rsidR="00C30B41" w:rsidRPr="00243CC3">
        <w:rPr>
          <w:rFonts w:ascii="Times New Roman" w:hAnsi="Times New Roman" w:cs="Times New Roman"/>
          <w:lang w:eastAsia="zh-CN"/>
        </w:rPr>
        <w:t>2</w:t>
      </w:r>
      <w:r w:rsidRPr="00243CC3">
        <w:rPr>
          <w:rFonts w:ascii="Times New Roman" w:hAnsi="Times New Roman" w:cs="Times New Roman"/>
          <w:lang w:eastAsia="zh-CN"/>
        </w:rPr>
        <w:t>).</w:t>
      </w:r>
    </w:p>
    <w:p w:rsidR="004078D0" w:rsidRPr="00243CC3" w:rsidRDefault="004078D0" w:rsidP="004078D0">
      <w:pPr>
        <w:ind w:left="720" w:hanging="720"/>
        <w:rPr>
          <w:rFonts w:ascii="Times New Roman" w:hAnsi="Times New Roman" w:cs="Times New Roman"/>
        </w:rPr>
      </w:pPr>
      <w:proofErr w:type="spellStart"/>
      <w:r w:rsidRPr="00243CC3">
        <w:rPr>
          <w:rFonts w:ascii="Times New Roman" w:hAnsi="Times New Roman" w:cs="Times New Roman"/>
        </w:rPr>
        <w:t>Loudermilk</w:t>
      </w:r>
      <w:proofErr w:type="spellEnd"/>
      <w:r w:rsidRPr="00243CC3">
        <w:rPr>
          <w:rFonts w:ascii="Times New Roman" w:hAnsi="Times New Roman" w:cs="Times New Roman"/>
        </w:rPr>
        <w:t xml:space="preserve"> EL, Stanton, Alison E., </w:t>
      </w:r>
      <w:proofErr w:type="spellStart"/>
      <w:r w:rsidRPr="00243CC3">
        <w:rPr>
          <w:rFonts w:ascii="Times New Roman" w:hAnsi="Times New Roman" w:cs="Times New Roman"/>
        </w:rPr>
        <w:t>Scheller</w:t>
      </w:r>
      <w:proofErr w:type="spellEnd"/>
      <w:r w:rsidRPr="00243CC3">
        <w:rPr>
          <w:rFonts w:ascii="Times New Roman" w:hAnsi="Times New Roman" w:cs="Times New Roman"/>
        </w:rPr>
        <w:t xml:space="preserve">, Robert M., Weisberg, Peter J., Yang, </w:t>
      </w:r>
      <w:proofErr w:type="spellStart"/>
      <w:r w:rsidRPr="00243CC3">
        <w:rPr>
          <w:rFonts w:ascii="Times New Roman" w:hAnsi="Times New Roman" w:cs="Times New Roman"/>
        </w:rPr>
        <w:t>Jian</w:t>
      </w:r>
      <w:proofErr w:type="spellEnd"/>
      <w:r w:rsidRPr="00243CC3">
        <w:rPr>
          <w:rFonts w:ascii="Times New Roman" w:hAnsi="Times New Roman" w:cs="Times New Roman"/>
        </w:rPr>
        <w:t xml:space="preserve">, </w:t>
      </w:r>
      <w:proofErr w:type="spellStart"/>
      <w:r w:rsidRPr="00243CC3">
        <w:rPr>
          <w:rFonts w:ascii="Times New Roman" w:hAnsi="Times New Roman" w:cs="Times New Roman"/>
        </w:rPr>
        <w:t>Dilts</w:t>
      </w:r>
      <w:proofErr w:type="spellEnd"/>
      <w:r w:rsidRPr="00243CC3">
        <w:rPr>
          <w:rFonts w:ascii="Times New Roman" w:hAnsi="Times New Roman" w:cs="Times New Roman"/>
        </w:rPr>
        <w:t xml:space="preserve">, Thomas E., Skinner, Carl (2012) Final Report: Management Options for Reducing Wildfire Risk and Maximizing Carbon Storage under Future Climate Changes, Ignition Patterns, and Forest Treatments In: Southern Nevada Public Lands Management Act. </w:t>
      </w:r>
      <w:proofErr w:type="spellStart"/>
      <w:proofErr w:type="gramStart"/>
      <w:r w:rsidRPr="00243CC3">
        <w:rPr>
          <w:rFonts w:ascii="Times New Roman" w:hAnsi="Times New Roman" w:cs="Times New Roman"/>
        </w:rPr>
        <w:t>pp</w:t>
      </w:r>
      <w:proofErr w:type="spellEnd"/>
      <w:r w:rsidRPr="00243CC3">
        <w:rPr>
          <w:rFonts w:ascii="Times New Roman" w:hAnsi="Times New Roman" w:cs="Times New Roman"/>
        </w:rPr>
        <w:t xml:space="preserve"> 100.</w:t>
      </w:r>
      <w:proofErr w:type="gramEnd"/>
      <w:r w:rsidRPr="00243CC3">
        <w:rPr>
          <w:rFonts w:ascii="Times New Roman" w:hAnsi="Times New Roman" w:cs="Times New Roman"/>
        </w:rPr>
        <w:t xml:space="preserve"> </w:t>
      </w:r>
      <w:proofErr w:type="gramStart"/>
      <w:r w:rsidRPr="00243CC3">
        <w:rPr>
          <w:rFonts w:ascii="Times New Roman" w:hAnsi="Times New Roman" w:cs="Times New Roman"/>
        </w:rPr>
        <w:t>Pacific Southwest Research Station, Tahoe Center for Environmental Studies, Incline Village, NV.</w:t>
      </w:r>
      <w:proofErr w:type="gramEnd"/>
    </w:p>
    <w:p w:rsidR="00057E50" w:rsidRPr="00243CC3" w:rsidRDefault="00C30B41" w:rsidP="00C30B41">
      <w:pPr>
        <w:ind w:left="720" w:hanging="720"/>
        <w:rPr>
          <w:rFonts w:ascii="Times New Roman" w:hAnsi="Times New Roman" w:cs="Times New Roman"/>
        </w:rPr>
      </w:pPr>
      <w:r w:rsidRPr="00243CC3">
        <w:rPr>
          <w:rFonts w:ascii="Times New Roman" w:hAnsi="Times New Roman" w:cs="Times New Roman"/>
        </w:rPr>
        <w:t xml:space="preserve">Miranda BR, Sturtevant BR, Stewart SI, Hammer RB (2012)  Spatial and temporal drivers of wildfire occurrence in the context of rural development in northern Wisconsin, USA.   </w:t>
      </w:r>
      <w:r w:rsidRPr="00243CC3">
        <w:rPr>
          <w:rFonts w:ascii="Times New Roman" w:hAnsi="Times New Roman" w:cs="Times New Roman"/>
          <w:i/>
        </w:rPr>
        <w:t xml:space="preserve">International Journal of </w:t>
      </w:r>
      <w:proofErr w:type="spellStart"/>
      <w:r w:rsidRPr="00243CC3">
        <w:rPr>
          <w:rFonts w:ascii="Times New Roman" w:hAnsi="Times New Roman" w:cs="Times New Roman"/>
          <w:i/>
        </w:rPr>
        <w:t>Wildland</w:t>
      </w:r>
      <w:proofErr w:type="spellEnd"/>
      <w:r w:rsidRPr="00243CC3">
        <w:rPr>
          <w:rFonts w:ascii="Times New Roman" w:hAnsi="Times New Roman" w:cs="Times New Roman"/>
          <w:i/>
        </w:rPr>
        <w:t xml:space="preserve"> Fire</w:t>
      </w:r>
      <w:r w:rsidRPr="00243CC3">
        <w:rPr>
          <w:rFonts w:ascii="Times New Roman" w:hAnsi="Times New Roman" w:cs="Times New Roman"/>
        </w:rPr>
        <w:t xml:space="preserve">, </w:t>
      </w:r>
      <w:r w:rsidRPr="00243CC3">
        <w:rPr>
          <w:rFonts w:ascii="Times New Roman" w:hAnsi="Times New Roman" w:cs="Times New Roman"/>
          <w:b/>
        </w:rPr>
        <w:t>21</w:t>
      </w:r>
      <w:r w:rsidRPr="00243CC3">
        <w:rPr>
          <w:rFonts w:ascii="Times New Roman" w:hAnsi="Times New Roman" w:cs="Times New Roman"/>
        </w:rPr>
        <w:t>, 141-154.</w:t>
      </w:r>
    </w:p>
    <w:p w:rsidR="00252A7B" w:rsidRPr="00243CC3" w:rsidRDefault="00252A7B" w:rsidP="00C30B41">
      <w:pPr>
        <w:ind w:left="720" w:hanging="720"/>
        <w:rPr>
          <w:rFonts w:ascii="Times New Roman" w:hAnsi="Times New Roman" w:cs="Times New Roman"/>
        </w:rPr>
      </w:pPr>
      <w:proofErr w:type="gramStart"/>
      <w:r w:rsidRPr="00243CC3">
        <w:rPr>
          <w:rFonts w:ascii="Times New Roman" w:hAnsi="Times New Roman" w:cs="Times New Roman"/>
        </w:rPr>
        <w:t xml:space="preserve">Yang J, He HS, </w:t>
      </w:r>
      <w:proofErr w:type="spellStart"/>
      <w:r w:rsidRPr="00243CC3">
        <w:rPr>
          <w:rFonts w:ascii="Times New Roman" w:hAnsi="Times New Roman" w:cs="Times New Roman"/>
        </w:rPr>
        <w:t>Shifley</w:t>
      </w:r>
      <w:proofErr w:type="spellEnd"/>
      <w:r w:rsidRPr="00243CC3">
        <w:rPr>
          <w:rFonts w:ascii="Times New Roman" w:hAnsi="Times New Roman" w:cs="Times New Roman"/>
        </w:rPr>
        <w:t xml:space="preserve"> SR, Gustafson EJ (2007) Spatial Patterns of Modern Period Human-Caused Fire Occurrence in the Missouri Ozark Highlands.</w:t>
      </w:r>
      <w:proofErr w:type="gramEnd"/>
      <w:r w:rsidRPr="00243CC3">
        <w:rPr>
          <w:rFonts w:ascii="Times New Roman" w:hAnsi="Times New Roman" w:cs="Times New Roman"/>
        </w:rPr>
        <w:t xml:space="preserve"> </w:t>
      </w:r>
      <w:r w:rsidRPr="00243CC3">
        <w:rPr>
          <w:rFonts w:ascii="Times New Roman" w:hAnsi="Times New Roman" w:cs="Times New Roman"/>
          <w:i/>
        </w:rPr>
        <w:t>Forest Science</w:t>
      </w:r>
      <w:r w:rsidRPr="00243CC3">
        <w:rPr>
          <w:rFonts w:ascii="Times New Roman" w:hAnsi="Times New Roman" w:cs="Times New Roman"/>
        </w:rPr>
        <w:t>, 53, 1-15.</w:t>
      </w:r>
    </w:p>
    <w:p w:rsidR="006C7855" w:rsidRPr="00243CC3" w:rsidRDefault="006C7855">
      <w:pPr>
        <w:rPr>
          <w:rFonts w:ascii="Times New Roman" w:hAnsi="Times New Roman" w:cs="Times New Roman"/>
          <w:b/>
        </w:rPr>
      </w:pPr>
      <w:r w:rsidRPr="00243CC3">
        <w:rPr>
          <w:rFonts w:ascii="Times New Roman" w:hAnsi="Times New Roman" w:cs="Times New Roman"/>
          <w:b/>
        </w:rPr>
        <w:br w:type="page"/>
      </w:r>
    </w:p>
    <w:p w:rsidR="00976166" w:rsidRPr="00243CC3" w:rsidRDefault="00976166" w:rsidP="00976166">
      <w:pPr>
        <w:outlineLvl w:val="0"/>
        <w:rPr>
          <w:rFonts w:ascii="Times New Roman" w:hAnsi="Times New Roman" w:cs="Times New Roman"/>
          <w:b/>
        </w:rPr>
      </w:pPr>
      <w:r w:rsidRPr="00243CC3">
        <w:rPr>
          <w:rFonts w:ascii="Times New Roman" w:hAnsi="Times New Roman" w:cs="Times New Roman"/>
          <w:b/>
        </w:rPr>
        <w:lastRenderedPageBreak/>
        <w:t>Table S7</w:t>
      </w:r>
    </w:p>
    <w:p w:rsidR="00976166" w:rsidRPr="00243CC3" w:rsidRDefault="00976166" w:rsidP="00976166">
      <w:pPr>
        <w:rPr>
          <w:rFonts w:ascii="Times New Roman" w:hAnsi="Times New Roman" w:cs="Times New Roman"/>
        </w:rPr>
      </w:pPr>
      <w:r w:rsidRPr="00243CC3">
        <w:rPr>
          <w:rFonts w:ascii="Times New Roman" w:hAnsi="Times New Roman" w:cs="Times New Roman"/>
        </w:rPr>
        <w:t>Response of C dynam</w:t>
      </w:r>
      <w:bookmarkStart w:id="12" w:name="_GoBack"/>
      <w:bookmarkEnd w:id="12"/>
      <w:r w:rsidRPr="00243CC3">
        <w:rPr>
          <w:rFonts w:ascii="Times New Roman" w:hAnsi="Times New Roman" w:cs="Times New Roman"/>
        </w:rPr>
        <w:t>ics to c</w:t>
      </w:r>
      <w:r w:rsidR="004078D0" w:rsidRPr="00243CC3">
        <w:rPr>
          <w:rFonts w:ascii="Times New Roman" w:hAnsi="Times New Roman" w:cs="Times New Roman"/>
        </w:rPr>
        <w:t>limate change;</w:t>
      </w:r>
      <w:r w:rsidR="00720D2C" w:rsidRPr="00243CC3">
        <w:rPr>
          <w:rFonts w:ascii="Times New Roman" w:hAnsi="Times New Roman" w:cs="Times New Roman"/>
        </w:rPr>
        <w:t xml:space="preserve"> represented by % difference </w:t>
      </w:r>
      <w:r w:rsidR="004078D0" w:rsidRPr="00243CC3">
        <w:rPr>
          <w:rFonts w:ascii="Times New Roman" w:hAnsi="Times New Roman" w:cs="Times New Roman"/>
        </w:rPr>
        <w:t xml:space="preserve">in mean landscape C </w:t>
      </w:r>
      <w:r w:rsidR="00720D2C" w:rsidRPr="00243CC3">
        <w:rPr>
          <w:rFonts w:ascii="Times New Roman" w:hAnsi="Times New Roman" w:cs="Times New Roman"/>
        </w:rPr>
        <w:t>between the A2 and base climate scenarios at simulation year 2110</w:t>
      </w:r>
      <w:r w:rsidR="004078D0" w:rsidRPr="00243CC3">
        <w:rPr>
          <w:rFonts w:ascii="Times New Roman" w:hAnsi="Times New Roman" w:cs="Times New Roman"/>
        </w:rPr>
        <w:t xml:space="preserve"> (100 year simulations)</w:t>
      </w:r>
      <w:r w:rsidR="00720D2C" w:rsidRPr="00243CC3">
        <w:rPr>
          <w:rFonts w:ascii="Times New Roman" w:hAnsi="Times New Roman" w:cs="Times New Roman"/>
        </w:rPr>
        <w:t xml:space="preserve">.  Negative values </w:t>
      </w:r>
      <w:r w:rsidR="004E10D6" w:rsidRPr="00243CC3">
        <w:rPr>
          <w:rFonts w:ascii="Times New Roman" w:hAnsi="Times New Roman" w:cs="Times New Roman"/>
        </w:rPr>
        <w:t>refer to a reduction in, e.g., t</w:t>
      </w:r>
      <w:r w:rsidR="00720D2C" w:rsidRPr="00243CC3">
        <w:rPr>
          <w:rFonts w:ascii="Times New Roman" w:hAnsi="Times New Roman" w:cs="Times New Roman"/>
        </w:rPr>
        <w:t>otal C from base climate to A2 climate at year 2110. Refer to Fig. 5 and 6 of original text for graphical representation.</w:t>
      </w:r>
    </w:p>
    <w:tbl>
      <w:tblPr>
        <w:tblW w:w="4195" w:type="dxa"/>
        <w:tblInd w:w="93" w:type="dxa"/>
        <w:tblLook w:val="04A0" w:firstRow="1" w:lastRow="0" w:firstColumn="1" w:lastColumn="0" w:noHBand="0" w:noVBand="1"/>
      </w:tblPr>
      <w:tblGrid>
        <w:gridCol w:w="1190"/>
        <w:gridCol w:w="3005"/>
      </w:tblGrid>
      <w:tr w:rsidR="00976166" w:rsidRPr="00243CC3" w:rsidTr="00720D2C">
        <w:trPr>
          <w:trHeight w:val="337"/>
        </w:trPr>
        <w:tc>
          <w:tcPr>
            <w:tcW w:w="1190" w:type="dxa"/>
            <w:tcBorders>
              <w:top w:val="nil"/>
              <w:left w:val="nil"/>
              <w:bottom w:val="single" w:sz="4" w:space="0" w:color="auto"/>
              <w:right w:val="nil"/>
            </w:tcBorders>
            <w:shd w:val="clear" w:color="auto" w:fill="auto"/>
            <w:noWrap/>
            <w:vAlign w:val="bottom"/>
            <w:hideMark/>
          </w:tcPr>
          <w:p w:rsidR="00976166" w:rsidRPr="00243CC3" w:rsidRDefault="00976166" w:rsidP="0097616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C variable</w:t>
            </w:r>
          </w:p>
        </w:tc>
        <w:tc>
          <w:tcPr>
            <w:tcW w:w="3005" w:type="dxa"/>
            <w:tcBorders>
              <w:top w:val="nil"/>
              <w:left w:val="nil"/>
              <w:bottom w:val="single" w:sz="4" w:space="0" w:color="auto"/>
              <w:right w:val="nil"/>
            </w:tcBorders>
            <w:shd w:val="clear" w:color="auto" w:fill="auto"/>
            <w:noWrap/>
            <w:vAlign w:val="bottom"/>
            <w:hideMark/>
          </w:tcPr>
          <w:p w:rsidR="00976166" w:rsidRPr="00243CC3" w:rsidRDefault="00720D2C" w:rsidP="0097616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 Difference at year 2110</w:t>
            </w:r>
          </w:p>
        </w:tc>
      </w:tr>
      <w:tr w:rsidR="00976166" w:rsidRPr="00243CC3" w:rsidTr="00720D2C">
        <w:trPr>
          <w:trHeight w:val="337"/>
        </w:trPr>
        <w:tc>
          <w:tcPr>
            <w:tcW w:w="1190" w:type="dxa"/>
            <w:tcBorders>
              <w:top w:val="nil"/>
              <w:left w:val="nil"/>
              <w:bottom w:val="nil"/>
              <w:right w:val="nil"/>
            </w:tcBorders>
            <w:shd w:val="clear" w:color="auto" w:fill="auto"/>
            <w:noWrap/>
            <w:vAlign w:val="bottom"/>
            <w:hideMark/>
          </w:tcPr>
          <w:p w:rsidR="00976166" w:rsidRPr="00243CC3" w:rsidRDefault="00976166" w:rsidP="0097616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Total C</w:t>
            </w:r>
          </w:p>
        </w:tc>
        <w:tc>
          <w:tcPr>
            <w:tcW w:w="3005" w:type="dxa"/>
            <w:tcBorders>
              <w:top w:val="nil"/>
              <w:left w:val="nil"/>
              <w:bottom w:val="nil"/>
              <w:right w:val="nil"/>
            </w:tcBorders>
            <w:shd w:val="clear" w:color="auto" w:fill="auto"/>
            <w:noWrap/>
            <w:vAlign w:val="bottom"/>
            <w:hideMark/>
          </w:tcPr>
          <w:p w:rsidR="00976166" w:rsidRPr="00243CC3" w:rsidRDefault="00976166" w:rsidP="00720D2C">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-15%</w:t>
            </w:r>
          </w:p>
        </w:tc>
      </w:tr>
      <w:tr w:rsidR="00976166" w:rsidRPr="00243CC3" w:rsidTr="00720D2C">
        <w:trPr>
          <w:trHeight w:val="337"/>
        </w:trPr>
        <w:tc>
          <w:tcPr>
            <w:tcW w:w="1190" w:type="dxa"/>
            <w:tcBorders>
              <w:top w:val="nil"/>
              <w:left w:val="nil"/>
              <w:bottom w:val="nil"/>
              <w:right w:val="nil"/>
            </w:tcBorders>
            <w:shd w:val="clear" w:color="auto" w:fill="auto"/>
            <w:noWrap/>
            <w:vAlign w:val="bottom"/>
            <w:hideMark/>
          </w:tcPr>
          <w:p w:rsidR="00976166" w:rsidRPr="00243CC3" w:rsidRDefault="00976166" w:rsidP="0097616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ANPP</w:t>
            </w:r>
          </w:p>
        </w:tc>
        <w:tc>
          <w:tcPr>
            <w:tcW w:w="3005" w:type="dxa"/>
            <w:tcBorders>
              <w:top w:val="nil"/>
              <w:left w:val="nil"/>
              <w:bottom w:val="nil"/>
              <w:right w:val="nil"/>
            </w:tcBorders>
            <w:shd w:val="clear" w:color="auto" w:fill="auto"/>
            <w:noWrap/>
            <w:vAlign w:val="bottom"/>
            <w:hideMark/>
          </w:tcPr>
          <w:p w:rsidR="00976166" w:rsidRPr="00243CC3" w:rsidRDefault="00976166" w:rsidP="00720D2C">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-20%</w:t>
            </w:r>
          </w:p>
        </w:tc>
      </w:tr>
      <w:tr w:rsidR="00976166" w:rsidRPr="00243CC3" w:rsidTr="00720D2C">
        <w:trPr>
          <w:trHeight w:val="337"/>
        </w:trPr>
        <w:tc>
          <w:tcPr>
            <w:tcW w:w="1190" w:type="dxa"/>
            <w:tcBorders>
              <w:top w:val="nil"/>
              <w:left w:val="nil"/>
              <w:bottom w:val="nil"/>
              <w:right w:val="nil"/>
            </w:tcBorders>
            <w:shd w:val="clear" w:color="auto" w:fill="auto"/>
            <w:noWrap/>
            <w:vAlign w:val="bottom"/>
            <w:hideMark/>
          </w:tcPr>
          <w:p w:rsidR="00976166" w:rsidRPr="00243CC3" w:rsidRDefault="00976166" w:rsidP="0097616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Live C</w:t>
            </w:r>
          </w:p>
        </w:tc>
        <w:tc>
          <w:tcPr>
            <w:tcW w:w="3005" w:type="dxa"/>
            <w:tcBorders>
              <w:top w:val="nil"/>
              <w:left w:val="nil"/>
              <w:bottom w:val="nil"/>
              <w:right w:val="nil"/>
            </w:tcBorders>
            <w:shd w:val="clear" w:color="auto" w:fill="auto"/>
            <w:noWrap/>
            <w:vAlign w:val="bottom"/>
            <w:hideMark/>
          </w:tcPr>
          <w:p w:rsidR="00976166" w:rsidRPr="00243CC3" w:rsidRDefault="00976166" w:rsidP="00720D2C">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-17%</w:t>
            </w:r>
          </w:p>
        </w:tc>
      </w:tr>
      <w:tr w:rsidR="00976166" w:rsidRPr="00243CC3" w:rsidTr="00720D2C">
        <w:trPr>
          <w:trHeight w:val="337"/>
        </w:trPr>
        <w:tc>
          <w:tcPr>
            <w:tcW w:w="1190" w:type="dxa"/>
            <w:tcBorders>
              <w:top w:val="nil"/>
              <w:left w:val="nil"/>
              <w:bottom w:val="nil"/>
              <w:right w:val="nil"/>
            </w:tcBorders>
            <w:shd w:val="clear" w:color="auto" w:fill="auto"/>
            <w:noWrap/>
            <w:vAlign w:val="bottom"/>
            <w:hideMark/>
          </w:tcPr>
          <w:p w:rsidR="00976166" w:rsidRPr="00243CC3" w:rsidRDefault="00976166" w:rsidP="0097616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Detrital C</w:t>
            </w:r>
          </w:p>
        </w:tc>
        <w:tc>
          <w:tcPr>
            <w:tcW w:w="3005" w:type="dxa"/>
            <w:tcBorders>
              <w:top w:val="nil"/>
              <w:left w:val="nil"/>
              <w:bottom w:val="nil"/>
              <w:right w:val="nil"/>
            </w:tcBorders>
            <w:shd w:val="clear" w:color="auto" w:fill="auto"/>
            <w:noWrap/>
            <w:vAlign w:val="bottom"/>
            <w:hideMark/>
          </w:tcPr>
          <w:p w:rsidR="00976166" w:rsidRPr="00243CC3" w:rsidRDefault="00976166" w:rsidP="00720D2C">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-14%</w:t>
            </w:r>
          </w:p>
        </w:tc>
      </w:tr>
      <w:tr w:rsidR="00976166" w:rsidRPr="00243CC3" w:rsidTr="00720D2C">
        <w:trPr>
          <w:trHeight w:val="337"/>
        </w:trPr>
        <w:tc>
          <w:tcPr>
            <w:tcW w:w="1190" w:type="dxa"/>
            <w:tcBorders>
              <w:top w:val="nil"/>
              <w:left w:val="nil"/>
              <w:bottom w:val="single" w:sz="4" w:space="0" w:color="auto"/>
              <w:right w:val="nil"/>
            </w:tcBorders>
            <w:shd w:val="clear" w:color="auto" w:fill="auto"/>
            <w:noWrap/>
            <w:vAlign w:val="bottom"/>
            <w:hideMark/>
          </w:tcPr>
          <w:p w:rsidR="00976166" w:rsidRPr="00243CC3" w:rsidRDefault="00976166" w:rsidP="0097616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 xml:space="preserve">SOC </w:t>
            </w:r>
          </w:p>
        </w:tc>
        <w:tc>
          <w:tcPr>
            <w:tcW w:w="3005" w:type="dxa"/>
            <w:tcBorders>
              <w:top w:val="nil"/>
              <w:left w:val="nil"/>
              <w:bottom w:val="single" w:sz="4" w:space="0" w:color="auto"/>
              <w:right w:val="nil"/>
            </w:tcBorders>
            <w:shd w:val="clear" w:color="auto" w:fill="auto"/>
            <w:noWrap/>
            <w:vAlign w:val="bottom"/>
            <w:hideMark/>
          </w:tcPr>
          <w:p w:rsidR="00976166" w:rsidRPr="00243CC3" w:rsidRDefault="00976166" w:rsidP="00720D2C">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-6%</w:t>
            </w:r>
          </w:p>
        </w:tc>
      </w:tr>
    </w:tbl>
    <w:p w:rsidR="00976166" w:rsidRPr="00243CC3" w:rsidRDefault="00976166" w:rsidP="00976166">
      <w:pPr>
        <w:rPr>
          <w:rFonts w:ascii="Times New Roman" w:hAnsi="Times New Roman" w:cs="Times New Roman"/>
        </w:rPr>
      </w:pPr>
    </w:p>
    <w:p w:rsidR="004078D0" w:rsidRPr="00243CC3" w:rsidRDefault="004078D0">
      <w:pPr>
        <w:rPr>
          <w:rFonts w:ascii="Times New Roman" w:hAnsi="Times New Roman" w:cs="Times New Roman"/>
          <w:b/>
        </w:rPr>
      </w:pPr>
      <w:r w:rsidRPr="00243CC3">
        <w:rPr>
          <w:rFonts w:ascii="Times New Roman" w:hAnsi="Times New Roman" w:cs="Times New Roman"/>
          <w:b/>
        </w:rPr>
        <w:br w:type="page"/>
      </w:r>
    </w:p>
    <w:p w:rsidR="00D10CAE" w:rsidRPr="00243CC3" w:rsidRDefault="00AE3933" w:rsidP="00D10CAE">
      <w:pPr>
        <w:outlineLvl w:val="0"/>
        <w:rPr>
          <w:rFonts w:ascii="Times New Roman" w:hAnsi="Times New Roman" w:cs="Times New Roman"/>
          <w:b/>
        </w:rPr>
      </w:pPr>
      <w:r w:rsidRPr="00243CC3">
        <w:rPr>
          <w:rFonts w:ascii="Times New Roman" w:hAnsi="Times New Roman" w:cs="Times New Roman"/>
          <w:b/>
        </w:rPr>
        <w:lastRenderedPageBreak/>
        <w:t>Table S</w:t>
      </w:r>
      <w:r w:rsidR="00976166" w:rsidRPr="00243CC3">
        <w:rPr>
          <w:rFonts w:ascii="Times New Roman" w:hAnsi="Times New Roman" w:cs="Times New Roman"/>
          <w:b/>
        </w:rPr>
        <w:t>8</w:t>
      </w:r>
    </w:p>
    <w:p w:rsidR="00FC7A6D" w:rsidRPr="00243CC3" w:rsidRDefault="00AC3926" w:rsidP="00D10CAE">
      <w:pPr>
        <w:rPr>
          <w:rFonts w:ascii="Times New Roman" w:hAnsi="Times New Roman" w:cs="Times New Roman"/>
        </w:rPr>
      </w:pPr>
      <w:r w:rsidRPr="00243CC3">
        <w:rPr>
          <w:rFonts w:ascii="Times New Roman" w:hAnsi="Times New Roman" w:cs="Times New Roman"/>
        </w:rPr>
        <w:t xml:space="preserve">Individual species response to climate change, represented here as an approximate positive or negative % difference (to nearest 5%) of mean aboveground live biomass between </w:t>
      </w:r>
      <w:r w:rsidR="0084199F" w:rsidRPr="00243CC3">
        <w:rPr>
          <w:rFonts w:ascii="Times New Roman" w:hAnsi="Times New Roman" w:cs="Times New Roman"/>
        </w:rPr>
        <w:t>both A2 or B1 climate and</w:t>
      </w:r>
      <w:r w:rsidRPr="00243CC3">
        <w:rPr>
          <w:rFonts w:ascii="Times New Roman" w:hAnsi="Times New Roman" w:cs="Times New Roman"/>
        </w:rPr>
        <w:t xml:space="preserve"> base climate at year 2110.  Note that there </w:t>
      </w:r>
      <w:r w:rsidR="004D71FA" w:rsidRPr="00243CC3">
        <w:rPr>
          <w:rFonts w:ascii="Times New Roman" w:hAnsi="Times New Roman" w:cs="Times New Roman"/>
        </w:rPr>
        <w:t>were some</w:t>
      </w:r>
      <w:r w:rsidRPr="00243CC3">
        <w:rPr>
          <w:rFonts w:ascii="Times New Roman" w:hAnsi="Times New Roman" w:cs="Times New Roman"/>
        </w:rPr>
        <w:t xml:space="preserve"> instances were species responded to climate change for a brief period, but illustrated little to no difference in biomass by year 2110.   These species are noted by * and see narrative below for details.</w:t>
      </w:r>
    </w:p>
    <w:tbl>
      <w:tblPr>
        <w:tblW w:w="12700" w:type="dxa"/>
        <w:tblInd w:w="93" w:type="dxa"/>
        <w:tblLook w:val="04A0" w:firstRow="1" w:lastRow="0" w:firstColumn="1" w:lastColumn="0" w:noHBand="0" w:noVBand="1"/>
      </w:tblPr>
      <w:tblGrid>
        <w:gridCol w:w="5320"/>
        <w:gridCol w:w="1043"/>
        <w:gridCol w:w="1956"/>
        <w:gridCol w:w="1561"/>
        <w:gridCol w:w="2820"/>
      </w:tblGrid>
      <w:tr w:rsidR="00AC3926" w:rsidRPr="00243CC3" w:rsidTr="00AC3926">
        <w:trPr>
          <w:trHeight w:val="300"/>
        </w:trPr>
        <w:tc>
          <w:tcPr>
            <w:tcW w:w="5320" w:type="dxa"/>
            <w:tcBorders>
              <w:top w:val="nil"/>
              <w:left w:val="nil"/>
              <w:bottom w:val="nil"/>
              <w:right w:val="nil"/>
            </w:tcBorders>
            <w:shd w:val="clear" w:color="auto" w:fill="auto"/>
            <w:hideMark/>
          </w:tcPr>
          <w:p w:rsidR="00AC3926" w:rsidRPr="00243CC3" w:rsidRDefault="00AC3926" w:rsidP="00AC3926">
            <w:pPr>
              <w:spacing w:after="0" w:line="240" w:lineRule="auto"/>
              <w:rPr>
                <w:rFonts w:ascii="Times New Roman" w:eastAsia="Times New Roman" w:hAnsi="Times New Roman" w:cs="Times New Roman"/>
                <w:b/>
                <w:bCs/>
                <w:color w:val="000000"/>
              </w:rPr>
            </w:pPr>
          </w:p>
        </w:tc>
        <w:tc>
          <w:tcPr>
            <w:tcW w:w="4560" w:type="dxa"/>
            <w:gridSpan w:val="3"/>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Response to Climate Change</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b/>
                <w:bCs/>
                <w:color w:val="000000"/>
              </w:rPr>
            </w:pPr>
          </w:p>
        </w:tc>
      </w:tr>
      <w:tr w:rsidR="00AC3926" w:rsidRPr="00243CC3" w:rsidTr="00AC3926">
        <w:trPr>
          <w:trHeight w:val="300"/>
        </w:trPr>
        <w:tc>
          <w:tcPr>
            <w:tcW w:w="5320" w:type="dxa"/>
            <w:tcBorders>
              <w:top w:val="nil"/>
              <w:left w:val="nil"/>
              <w:bottom w:val="single" w:sz="4" w:space="0" w:color="auto"/>
              <w:right w:val="nil"/>
            </w:tcBorders>
            <w:shd w:val="clear" w:color="auto" w:fill="auto"/>
            <w:hideMark/>
          </w:tcPr>
          <w:p w:rsidR="00AC3926" w:rsidRPr="00243CC3" w:rsidRDefault="00AC3926" w:rsidP="00AC3926">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Species or functional group</w:t>
            </w:r>
          </w:p>
        </w:tc>
        <w:tc>
          <w:tcPr>
            <w:tcW w:w="1043" w:type="dxa"/>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w:t>
            </w:r>
          </w:p>
        </w:tc>
        <w:tc>
          <w:tcPr>
            <w:tcW w:w="1956" w:type="dxa"/>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A2</w:t>
            </w:r>
          </w:p>
        </w:tc>
        <w:tc>
          <w:tcPr>
            <w:tcW w:w="1561" w:type="dxa"/>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B1</w:t>
            </w:r>
          </w:p>
        </w:tc>
        <w:tc>
          <w:tcPr>
            <w:tcW w:w="2820" w:type="dxa"/>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Response type</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Pinus</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jeffreyi</w:t>
            </w:r>
            <w:proofErr w:type="spellEnd"/>
            <w:r w:rsidR="004D71FA" w:rsidRPr="00243CC3">
              <w:rPr>
                <w:rFonts w:ascii="Times New Roman" w:eastAsia="Times New Roman" w:hAnsi="Times New Roman" w:cs="Times New Roman"/>
                <w:i/>
                <w:iCs/>
                <w:color w:val="000000"/>
              </w:rPr>
              <w:t>*</w:t>
            </w:r>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10%</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0%</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growth, regeneration</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Pinus</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lambertiana</w:t>
            </w:r>
            <w:proofErr w:type="spellEnd"/>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25%</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25%</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growth, regeneration</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Calocedrus</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decurrens</w:t>
            </w:r>
            <w:proofErr w:type="spellEnd"/>
            <w:r w:rsidR="004D71FA" w:rsidRPr="00243CC3">
              <w:rPr>
                <w:rFonts w:ascii="Times New Roman" w:eastAsia="Times New Roman" w:hAnsi="Times New Roman" w:cs="Times New Roman"/>
                <w:i/>
                <w:iCs/>
                <w:color w:val="000000"/>
              </w:rPr>
              <w:t>*</w:t>
            </w:r>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0%</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0%</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growth, regeneration</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Abies</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concolor</w:t>
            </w:r>
            <w:proofErr w:type="spellEnd"/>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5%</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10%</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growth, regeneration</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Abies</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magnifica</w:t>
            </w:r>
            <w:proofErr w:type="spellEnd"/>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50%</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25%</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regeneration</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Pinus</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contorta</w:t>
            </w:r>
            <w:proofErr w:type="spellEnd"/>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60%</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40%</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regeneration</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Pinus</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monticola</w:t>
            </w:r>
            <w:proofErr w:type="spellEnd"/>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55%</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40%</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regeneration</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Tsuga</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mertensiana</w:t>
            </w:r>
            <w:proofErr w:type="spellEnd"/>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40%</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40%</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regeneration</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Pinus</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albicaulis</w:t>
            </w:r>
            <w:proofErr w:type="spellEnd"/>
            <w:r w:rsidR="004D71FA" w:rsidRPr="00243CC3">
              <w:rPr>
                <w:rFonts w:ascii="Times New Roman" w:eastAsia="Times New Roman" w:hAnsi="Times New Roman" w:cs="Times New Roman"/>
                <w:i/>
                <w:iCs/>
                <w:color w:val="000000"/>
              </w:rPr>
              <w:t>*</w:t>
            </w:r>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5%*</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0%</w:t>
            </w:r>
          </w:p>
        </w:tc>
        <w:tc>
          <w:tcPr>
            <w:tcW w:w="2820" w:type="dxa"/>
            <w:tcBorders>
              <w:top w:val="nil"/>
              <w:left w:val="nil"/>
              <w:bottom w:val="nil"/>
              <w:right w:val="nil"/>
            </w:tcBorders>
            <w:shd w:val="clear" w:color="auto" w:fill="auto"/>
            <w:noWrap/>
            <w:vAlign w:val="bottom"/>
            <w:hideMark/>
          </w:tcPr>
          <w:p w:rsidR="00AC3926" w:rsidRPr="00243CC3" w:rsidRDefault="00682A2A"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g</w:t>
            </w:r>
            <w:r w:rsidR="0084199F" w:rsidRPr="00243CC3">
              <w:rPr>
                <w:rFonts w:ascii="Times New Roman" w:eastAsia="Times New Roman" w:hAnsi="Times New Roman" w:cs="Times New Roman"/>
                <w:color w:val="000000"/>
              </w:rPr>
              <w:t>rowth, regeneration (-)</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i/>
                <w:iCs/>
                <w:color w:val="000000"/>
              </w:rPr>
            </w:pPr>
            <w:proofErr w:type="spellStart"/>
            <w:r w:rsidRPr="00243CC3">
              <w:rPr>
                <w:rFonts w:ascii="Times New Roman" w:eastAsia="Times New Roman" w:hAnsi="Times New Roman" w:cs="Times New Roman"/>
                <w:i/>
                <w:iCs/>
                <w:color w:val="000000"/>
              </w:rPr>
              <w:t>Populus</w:t>
            </w:r>
            <w:proofErr w:type="spellEnd"/>
            <w:r w:rsidRPr="00243CC3">
              <w:rPr>
                <w:rFonts w:ascii="Times New Roman" w:eastAsia="Times New Roman" w:hAnsi="Times New Roman" w:cs="Times New Roman"/>
                <w:i/>
                <w:iCs/>
                <w:color w:val="000000"/>
              </w:rPr>
              <w:t xml:space="preserve"> </w:t>
            </w:r>
            <w:proofErr w:type="spellStart"/>
            <w:r w:rsidRPr="00243CC3">
              <w:rPr>
                <w:rFonts w:ascii="Times New Roman" w:eastAsia="Times New Roman" w:hAnsi="Times New Roman" w:cs="Times New Roman"/>
                <w:i/>
                <w:iCs/>
                <w:color w:val="000000"/>
              </w:rPr>
              <w:t>tremuloides</w:t>
            </w:r>
            <w:proofErr w:type="spellEnd"/>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100%</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50%</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re-sprout after fire</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 xml:space="preserve">Non N-fixing </w:t>
            </w:r>
            <w:proofErr w:type="spellStart"/>
            <w:r w:rsidRPr="00243CC3">
              <w:rPr>
                <w:rFonts w:ascii="Times New Roman" w:eastAsia="Times New Roman" w:hAnsi="Times New Roman" w:cs="Times New Roman"/>
                <w:color w:val="000000"/>
              </w:rPr>
              <w:t>resprouting</w:t>
            </w:r>
            <w:proofErr w:type="spellEnd"/>
            <w:r w:rsidRPr="00243CC3">
              <w:rPr>
                <w:rFonts w:ascii="Times New Roman" w:eastAsia="Times New Roman" w:hAnsi="Times New Roman" w:cs="Times New Roman"/>
                <w:color w:val="000000"/>
              </w:rPr>
              <w:t xml:space="preserve"> shrubs</w:t>
            </w:r>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95%</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40%</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re-sprout after fire</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Non N-fixing obligate seeding shrubs</w:t>
            </w:r>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25%</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25%</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 xml:space="preserve">growth  </w:t>
            </w:r>
          </w:p>
        </w:tc>
      </w:tr>
      <w:tr w:rsidR="00AC3926" w:rsidRPr="00243CC3" w:rsidTr="00AC3926">
        <w:trPr>
          <w:trHeight w:val="300"/>
        </w:trPr>
        <w:tc>
          <w:tcPr>
            <w:tcW w:w="53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 xml:space="preserve">N-fixing </w:t>
            </w:r>
            <w:proofErr w:type="spellStart"/>
            <w:r w:rsidRPr="00243CC3">
              <w:rPr>
                <w:rFonts w:ascii="Times New Roman" w:eastAsia="Times New Roman" w:hAnsi="Times New Roman" w:cs="Times New Roman"/>
                <w:color w:val="000000"/>
              </w:rPr>
              <w:t>resprouting</w:t>
            </w:r>
            <w:proofErr w:type="spellEnd"/>
            <w:r w:rsidRPr="00243CC3">
              <w:rPr>
                <w:rFonts w:ascii="Times New Roman" w:eastAsia="Times New Roman" w:hAnsi="Times New Roman" w:cs="Times New Roman"/>
                <w:color w:val="000000"/>
              </w:rPr>
              <w:t xml:space="preserve"> shrubs</w:t>
            </w:r>
          </w:p>
        </w:tc>
        <w:tc>
          <w:tcPr>
            <w:tcW w:w="1043"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100%</w:t>
            </w:r>
          </w:p>
        </w:tc>
        <w:tc>
          <w:tcPr>
            <w:tcW w:w="1561"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60%</w:t>
            </w:r>
          </w:p>
        </w:tc>
        <w:tc>
          <w:tcPr>
            <w:tcW w:w="2820" w:type="dxa"/>
            <w:tcBorders>
              <w:top w:val="nil"/>
              <w:left w:val="nil"/>
              <w:bottom w:val="nil"/>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re-sprout after fire</w:t>
            </w:r>
          </w:p>
        </w:tc>
      </w:tr>
      <w:tr w:rsidR="00AC3926" w:rsidRPr="00243CC3" w:rsidTr="00AC3926">
        <w:trPr>
          <w:trHeight w:val="300"/>
        </w:trPr>
        <w:tc>
          <w:tcPr>
            <w:tcW w:w="5320" w:type="dxa"/>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N-fixing obligate seeding shrubs</w:t>
            </w:r>
          </w:p>
        </w:tc>
        <w:tc>
          <w:tcPr>
            <w:tcW w:w="1043" w:type="dxa"/>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w:t>
            </w:r>
          </w:p>
        </w:tc>
        <w:tc>
          <w:tcPr>
            <w:tcW w:w="1956" w:type="dxa"/>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5%</w:t>
            </w:r>
          </w:p>
        </w:tc>
        <w:tc>
          <w:tcPr>
            <w:tcW w:w="1561" w:type="dxa"/>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jc w:val="center"/>
              <w:rPr>
                <w:rFonts w:ascii="Times New Roman" w:eastAsia="Times New Roman" w:hAnsi="Times New Roman" w:cs="Times New Roman"/>
                <w:color w:val="000000"/>
              </w:rPr>
            </w:pPr>
            <w:r w:rsidRPr="00243CC3">
              <w:rPr>
                <w:rFonts w:ascii="Times New Roman" w:eastAsia="Times New Roman" w:hAnsi="Times New Roman" w:cs="Times New Roman"/>
                <w:color w:val="000000"/>
              </w:rPr>
              <w:t>5%</w:t>
            </w:r>
          </w:p>
        </w:tc>
        <w:tc>
          <w:tcPr>
            <w:tcW w:w="2820" w:type="dxa"/>
            <w:tcBorders>
              <w:top w:val="nil"/>
              <w:left w:val="nil"/>
              <w:bottom w:val="single" w:sz="4" w:space="0" w:color="auto"/>
              <w:right w:val="nil"/>
            </w:tcBorders>
            <w:shd w:val="clear" w:color="auto" w:fill="auto"/>
            <w:noWrap/>
            <w:vAlign w:val="bottom"/>
            <w:hideMark/>
          </w:tcPr>
          <w:p w:rsidR="00AC3926" w:rsidRPr="00243CC3" w:rsidRDefault="00AC3926" w:rsidP="00AC3926">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growth</w:t>
            </w:r>
          </w:p>
        </w:tc>
      </w:tr>
    </w:tbl>
    <w:p w:rsidR="00D01746" w:rsidRPr="00243CC3" w:rsidRDefault="00FC7A6D" w:rsidP="00D01746">
      <w:pPr>
        <w:rPr>
          <w:rFonts w:ascii="Times New Roman" w:hAnsi="Times New Roman" w:cs="Times New Roman"/>
        </w:rPr>
      </w:pPr>
      <w:r w:rsidRPr="00243CC3">
        <w:rPr>
          <w:rFonts w:ascii="Times New Roman" w:hAnsi="Times New Roman" w:cs="Times New Roman"/>
          <w:i/>
        </w:rPr>
        <w:t>Narrative on species response</w:t>
      </w:r>
      <w:r w:rsidRPr="00243CC3">
        <w:rPr>
          <w:rFonts w:ascii="Times New Roman" w:hAnsi="Times New Roman" w:cs="Times New Roman"/>
        </w:rPr>
        <w:t>:  Simulation results indicated that individual species behaved uniquely in response to changes in climate.  Species-dependent effects included both reduced or stimulated establishment ability and positive growth response.  This was seen for both A2 and B1 climate.  Increased fire activity (from climate change) increased tree mortality and altered dynamics between various shade and fire tolerant species.  Positive responses to climate change were found (in decreasing order of magnitude) for sugar pine</w:t>
      </w:r>
      <w:r w:rsidR="00F576D1" w:rsidRPr="00243CC3">
        <w:rPr>
          <w:rFonts w:ascii="Times New Roman" w:hAnsi="Times New Roman" w:cs="Times New Roman"/>
        </w:rPr>
        <w:t xml:space="preserve"> (</w:t>
      </w:r>
      <w:proofErr w:type="spellStart"/>
      <w:r w:rsidR="00F576D1" w:rsidRPr="00243CC3">
        <w:rPr>
          <w:rFonts w:ascii="Times New Roman" w:eastAsia="Times New Roman" w:hAnsi="Times New Roman" w:cs="Times New Roman"/>
          <w:i/>
          <w:iCs/>
          <w:color w:val="000000"/>
        </w:rPr>
        <w:t>Pinus</w:t>
      </w:r>
      <w:proofErr w:type="spellEnd"/>
      <w:r w:rsidR="00F576D1" w:rsidRPr="00243CC3">
        <w:rPr>
          <w:rFonts w:ascii="Times New Roman" w:eastAsia="Times New Roman" w:hAnsi="Times New Roman" w:cs="Times New Roman"/>
          <w:i/>
          <w:iCs/>
          <w:color w:val="000000"/>
        </w:rPr>
        <w:t xml:space="preserve"> </w:t>
      </w:r>
      <w:proofErr w:type="spellStart"/>
      <w:r w:rsidR="00F576D1" w:rsidRPr="00243CC3">
        <w:rPr>
          <w:rFonts w:ascii="Times New Roman" w:eastAsia="Times New Roman" w:hAnsi="Times New Roman" w:cs="Times New Roman"/>
          <w:i/>
          <w:iCs/>
          <w:color w:val="000000"/>
        </w:rPr>
        <w:t>lambertiana</w:t>
      </w:r>
      <w:proofErr w:type="spellEnd"/>
      <w:r w:rsidR="00F576D1" w:rsidRPr="00243CC3">
        <w:rPr>
          <w:rFonts w:ascii="Times New Roman" w:hAnsi="Times New Roman" w:cs="Times New Roman"/>
        </w:rPr>
        <w:t>)</w:t>
      </w:r>
      <w:r w:rsidRPr="00243CC3">
        <w:rPr>
          <w:rFonts w:ascii="Times New Roman" w:hAnsi="Times New Roman" w:cs="Times New Roman"/>
        </w:rPr>
        <w:t>, white fir</w:t>
      </w:r>
      <w:r w:rsidR="00F576D1" w:rsidRPr="00243CC3">
        <w:rPr>
          <w:rFonts w:ascii="Times New Roman" w:hAnsi="Times New Roman" w:cs="Times New Roman"/>
        </w:rPr>
        <w:t xml:space="preserve"> (</w:t>
      </w:r>
      <w:proofErr w:type="spellStart"/>
      <w:r w:rsidR="00F576D1" w:rsidRPr="00243CC3">
        <w:rPr>
          <w:rFonts w:ascii="Times New Roman" w:eastAsia="Times New Roman" w:hAnsi="Times New Roman" w:cs="Times New Roman"/>
          <w:i/>
          <w:iCs/>
          <w:color w:val="000000"/>
        </w:rPr>
        <w:t>Abies</w:t>
      </w:r>
      <w:proofErr w:type="spellEnd"/>
      <w:r w:rsidR="00F576D1" w:rsidRPr="00243CC3">
        <w:rPr>
          <w:rFonts w:ascii="Times New Roman" w:eastAsia="Times New Roman" w:hAnsi="Times New Roman" w:cs="Times New Roman"/>
          <w:i/>
          <w:iCs/>
          <w:color w:val="000000"/>
        </w:rPr>
        <w:t xml:space="preserve"> </w:t>
      </w:r>
      <w:proofErr w:type="spellStart"/>
      <w:r w:rsidR="00F576D1" w:rsidRPr="00243CC3">
        <w:rPr>
          <w:rFonts w:ascii="Times New Roman" w:eastAsia="Times New Roman" w:hAnsi="Times New Roman" w:cs="Times New Roman"/>
          <w:i/>
          <w:iCs/>
          <w:color w:val="000000"/>
        </w:rPr>
        <w:t>concolor</w:t>
      </w:r>
      <w:proofErr w:type="spellEnd"/>
      <w:r w:rsidR="00F576D1" w:rsidRPr="00243CC3">
        <w:rPr>
          <w:rFonts w:ascii="Times New Roman" w:hAnsi="Times New Roman" w:cs="Times New Roman"/>
        </w:rPr>
        <w:t>)</w:t>
      </w:r>
      <w:r w:rsidRPr="00243CC3">
        <w:rPr>
          <w:rFonts w:ascii="Times New Roman" w:hAnsi="Times New Roman" w:cs="Times New Roman"/>
        </w:rPr>
        <w:t>, incense cedar</w:t>
      </w:r>
      <w:r w:rsidR="00F576D1" w:rsidRPr="00243CC3">
        <w:rPr>
          <w:rFonts w:ascii="Times New Roman" w:hAnsi="Times New Roman" w:cs="Times New Roman"/>
        </w:rPr>
        <w:t xml:space="preserve"> (</w:t>
      </w:r>
      <w:proofErr w:type="spellStart"/>
      <w:r w:rsidR="00F576D1" w:rsidRPr="00243CC3">
        <w:rPr>
          <w:rFonts w:ascii="Times New Roman" w:eastAsia="Times New Roman" w:hAnsi="Times New Roman" w:cs="Times New Roman"/>
          <w:i/>
          <w:iCs/>
          <w:color w:val="000000"/>
        </w:rPr>
        <w:t>Calocedrus</w:t>
      </w:r>
      <w:proofErr w:type="spellEnd"/>
      <w:r w:rsidR="00F576D1" w:rsidRPr="00243CC3">
        <w:rPr>
          <w:rFonts w:ascii="Times New Roman" w:eastAsia="Times New Roman" w:hAnsi="Times New Roman" w:cs="Times New Roman"/>
          <w:i/>
          <w:iCs/>
          <w:color w:val="000000"/>
        </w:rPr>
        <w:t xml:space="preserve"> </w:t>
      </w:r>
      <w:proofErr w:type="spellStart"/>
      <w:r w:rsidR="00F576D1" w:rsidRPr="00243CC3">
        <w:rPr>
          <w:rFonts w:ascii="Times New Roman" w:eastAsia="Times New Roman" w:hAnsi="Times New Roman" w:cs="Times New Roman"/>
          <w:i/>
          <w:iCs/>
          <w:color w:val="000000"/>
        </w:rPr>
        <w:t>decurrens</w:t>
      </w:r>
      <w:proofErr w:type="spellEnd"/>
      <w:r w:rsidR="00F576D1" w:rsidRPr="00243CC3">
        <w:rPr>
          <w:rFonts w:ascii="Times New Roman" w:hAnsi="Times New Roman" w:cs="Times New Roman"/>
        </w:rPr>
        <w:t>)</w:t>
      </w:r>
      <w:r w:rsidRPr="00243CC3">
        <w:rPr>
          <w:rFonts w:ascii="Times New Roman" w:hAnsi="Times New Roman" w:cs="Times New Roman"/>
        </w:rPr>
        <w:t>, and Jeffrey pine</w:t>
      </w:r>
      <w:r w:rsidR="00F576D1" w:rsidRPr="00243CC3">
        <w:rPr>
          <w:rFonts w:ascii="Times New Roman" w:hAnsi="Times New Roman" w:cs="Times New Roman"/>
        </w:rPr>
        <w:t xml:space="preserve"> (</w:t>
      </w:r>
      <w:proofErr w:type="spellStart"/>
      <w:r w:rsidR="00F576D1" w:rsidRPr="00243CC3">
        <w:rPr>
          <w:rFonts w:ascii="Times New Roman" w:eastAsia="Times New Roman" w:hAnsi="Times New Roman" w:cs="Times New Roman"/>
          <w:i/>
          <w:iCs/>
          <w:color w:val="000000"/>
        </w:rPr>
        <w:t>Pinus</w:t>
      </w:r>
      <w:proofErr w:type="spellEnd"/>
      <w:r w:rsidR="00F576D1" w:rsidRPr="00243CC3">
        <w:rPr>
          <w:rFonts w:ascii="Times New Roman" w:eastAsia="Times New Roman" w:hAnsi="Times New Roman" w:cs="Times New Roman"/>
          <w:i/>
          <w:iCs/>
          <w:color w:val="000000"/>
        </w:rPr>
        <w:t xml:space="preserve"> </w:t>
      </w:r>
      <w:proofErr w:type="spellStart"/>
      <w:r w:rsidR="00F576D1" w:rsidRPr="00243CC3">
        <w:rPr>
          <w:rFonts w:ascii="Times New Roman" w:eastAsia="Times New Roman" w:hAnsi="Times New Roman" w:cs="Times New Roman"/>
          <w:i/>
          <w:iCs/>
          <w:color w:val="000000"/>
        </w:rPr>
        <w:t>jeffreyi</w:t>
      </w:r>
      <w:proofErr w:type="spellEnd"/>
      <w:r w:rsidR="00F576D1" w:rsidRPr="00243CC3">
        <w:rPr>
          <w:rFonts w:ascii="Times New Roman" w:hAnsi="Times New Roman" w:cs="Times New Roman"/>
        </w:rPr>
        <w:t>)</w:t>
      </w:r>
      <w:r w:rsidRPr="00243CC3">
        <w:rPr>
          <w:rFonts w:ascii="Times New Roman" w:hAnsi="Times New Roman" w:cs="Times New Roman"/>
        </w:rPr>
        <w:t>.  Sugar pine, white fir, and incense cedar illustrated positive growth, and to a lesser degree, enhance regeneration (establishment ability), in response to climate change.  Of the four species, Jeffrey pine was least stimulated by changes in climate.  For all climate scenarios, Jeffrey pine steadily increased in biomass for about 50 years (2060) then leveled off.  Growth was only stimulated during the 1</w:t>
      </w:r>
      <w:r w:rsidRPr="00243CC3">
        <w:rPr>
          <w:rFonts w:ascii="Times New Roman" w:hAnsi="Times New Roman" w:cs="Times New Roman"/>
          <w:vertAlign w:val="superscript"/>
        </w:rPr>
        <w:t>st</w:t>
      </w:r>
      <w:r w:rsidRPr="00243CC3">
        <w:rPr>
          <w:rFonts w:ascii="Times New Roman" w:hAnsi="Times New Roman" w:cs="Times New Roman"/>
        </w:rPr>
        <w:t xml:space="preserve"> half of the century (e.g., ~10% more biomass in B1 climate).  After 2050, warmer conditions slowed growth and reduced establishment ability.   Despite this, enhanced fire activity in the B1 climate allowed enough regeneration to stabilize landscape biomass of Jeffrey pine near base climate values.   </w:t>
      </w:r>
      <w:r w:rsidR="00D01746" w:rsidRPr="00243CC3">
        <w:rPr>
          <w:rFonts w:ascii="Times New Roman" w:hAnsi="Times New Roman" w:cs="Times New Roman"/>
        </w:rPr>
        <w:t>Incense cedar also illus</w:t>
      </w:r>
      <w:r w:rsidR="004D71FA" w:rsidRPr="00243CC3">
        <w:rPr>
          <w:rFonts w:ascii="Times New Roman" w:hAnsi="Times New Roman" w:cs="Times New Roman"/>
        </w:rPr>
        <w:t>trated this temporary stimulation</w:t>
      </w:r>
      <w:r w:rsidR="00D01746" w:rsidRPr="00243CC3">
        <w:rPr>
          <w:rFonts w:ascii="Times New Roman" w:hAnsi="Times New Roman" w:cs="Times New Roman"/>
        </w:rPr>
        <w:t xml:space="preserve"> from climate change, with 5% more biomass during the 1</w:t>
      </w:r>
      <w:r w:rsidR="00D01746" w:rsidRPr="00243CC3">
        <w:rPr>
          <w:rFonts w:ascii="Times New Roman" w:hAnsi="Times New Roman" w:cs="Times New Roman"/>
          <w:vertAlign w:val="superscript"/>
        </w:rPr>
        <w:t>st</w:t>
      </w:r>
      <w:r w:rsidR="00D01746" w:rsidRPr="00243CC3">
        <w:rPr>
          <w:rFonts w:ascii="Times New Roman" w:hAnsi="Times New Roman" w:cs="Times New Roman"/>
        </w:rPr>
        <w:t xml:space="preserve"> half of the century (A2 and B1 climate), but converged the latter half.  Aspen </w:t>
      </w:r>
      <w:r w:rsidR="00F576D1" w:rsidRPr="00243CC3">
        <w:rPr>
          <w:rFonts w:ascii="Times New Roman" w:hAnsi="Times New Roman" w:cs="Times New Roman"/>
        </w:rPr>
        <w:t>(</w:t>
      </w:r>
      <w:proofErr w:type="spellStart"/>
      <w:r w:rsidR="00F576D1" w:rsidRPr="00243CC3">
        <w:rPr>
          <w:rFonts w:ascii="Times New Roman" w:eastAsia="Times New Roman" w:hAnsi="Times New Roman" w:cs="Times New Roman"/>
          <w:i/>
          <w:iCs/>
          <w:color w:val="000000"/>
        </w:rPr>
        <w:t>Populus</w:t>
      </w:r>
      <w:proofErr w:type="spellEnd"/>
      <w:r w:rsidR="00F576D1" w:rsidRPr="00243CC3">
        <w:rPr>
          <w:rFonts w:ascii="Times New Roman" w:eastAsia="Times New Roman" w:hAnsi="Times New Roman" w:cs="Times New Roman"/>
          <w:i/>
          <w:iCs/>
          <w:color w:val="000000"/>
        </w:rPr>
        <w:t xml:space="preserve"> </w:t>
      </w:r>
      <w:proofErr w:type="spellStart"/>
      <w:r w:rsidR="00F576D1" w:rsidRPr="00243CC3">
        <w:rPr>
          <w:rFonts w:ascii="Times New Roman" w:eastAsia="Times New Roman" w:hAnsi="Times New Roman" w:cs="Times New Roman"/>
          <w:i/>
          <w:iCs/>
          <w:color w:val="000000"/>
        </w:rPr>
        <w:t>tremuloides</w:t>
      </w:r>
      <w:proofErr w:type="spellEnd"/>
      <w:r w:rsidR="00F576D1" w:rsidRPr="00243CC3">
        <w:rPr>
          <w:rFonts w:ascii="Times New Roman" w:hAnsi="Times New Roman" w:cs="Times New Roman"/>
        </w:rPr>
        <w:t xml:space="preserve">) </w:t>
      </w:r>
      <w:r w:rsidR="00D01746" w:rsidRPr="00243CC3">
        <w:rPr>
          <w:rFonts w:ascii="Times New Roman" w:hAnsi="Times New Roman" w:cs="Times New Roman"/>
        </w:rPr>
        <w:t xml:space="preserve">and the re-sprouting shrubs responded positively to the increase in fire activity (e.g., A2 climate) due to their innate ability to re-sprout vigorously after fire. </w:t>
      </w:r>
      <w:r w:rsidR="004D71FA" w:rsidRPr="00243CC3">
        <w:rPr>
          <w:rFonts w:ascii="Times New Roman" w:hAnsi="Times New Roman" w:cs="Times New Roman"/>
        </w:rPr>
        <w:t xml:space="preserve">  Although a</w:t>
      </w:r>
      <w:r w:rsidR="00AC3926" w:rsidRPr="00243CC3">
        <w:rPr>
          <w:rFonts w:ascii="Times New Roman" w:hAnsi="Times New Roman" w:cs="Times New Roman"/>
        </w:rPr>
        <w:t xml:space="preserve">spen responded positively to more wildfire activity, </w:t>
      </w:r>
      <w:r w:rsidR="00F576D1" w:rsidRPr="00243CC3">
        <w:rPr>
          <w:rFonts w:ascii="Times New Roman" w:hAnsi="Times New Roman" w:cs="Times New Roman"/>
        </w:rPr>
        <w:t xml:space="preserve">it was proportionately still a small component of the landscape.  </w:t>
      </w:r>
      <w:r w:rsidR="00AC3926" w:rsidRPr="00243CC3">
        <w:rPr>
          <w:rFonts w:ascii="Times New Roman" w:hAnsi="Times New Roman" w:cs="Times New Roman"/>
        </w:rPr>
        <w:t>A</w:t>
      </w:r>
      <w:r w:rsidR="004D71FA" w:rsidRPr="00243CC3">
        <w:rPr>
          <w:rFonts w:ascii="Times New Roman" w:hAnsi="Times New Roman" w:cs="Times New Roman"/>
        </w:rPr>
        <w:t xml:space="preserve">lso, note there is very little </w:t>
      </w:r>
      <w:proofErr w:type="spellStart"/>
      <w:r w:rsidR="004D71FA" w:rsidRPr="00243CC3">
        <w:rPr>
          <w:rFonts w:ascii="Times New Roman" w:hAnsi="Times New Roman" w:cs="Times New Roman"/>
        </w:rPr>
        <w:t>w</w:t>
      </w:r>
      <w:r w:rsidR="00AC3926" w:rsidRPr="00243CC3">
        <w:rPr>
          <w:rFonts w:ascii="Times New Roman" w:hAnsi="Times New Roman" w:cs="Times New Roman"/>
        </w:rPr>
        <w:t>hitebark</w:t>
      </w:r>
      <w:proofErr w:type="spellEnd"/>
      <w:r w:rsidR="00AC3926" w:rsidRPr="00243CC3">
        <w:rPr>
          <w:rFonts w:ascii="Times New Roman" w:hAnsi="Times New Roman" w:cs="Times New Roman"/>
        </w:rPr>
        <w:t xml:space="preserve"> pine (</w:t>
      </w:r>
      <w:proofErr w:type="spellStart"/>
      <w:r w:rsidR="00AC3926" w:rsidRPr="00243CC3">
        <w:rPr>
          <w:rFonts w:ascii="Times New Roman" w:hAnsi="Times New Roman" w:cs="Times New Roman"/>
          <w:i/>
        </w:rPr>
        <w:t>Pinus</w:t>
      </w:r>
      <w:proofErr w:type="spellEnd"/>
      <w:r w:rsidR="00AC3926" w:rsidRPr="00243CC3">
        <w:rPr>
          <w:rFonts w:ascii="Times New Roman" w:hAnsi="Times New Roman" w:cs="Times New Roman"/>
          <w:i/>
        </w:rPr>
        <w:t xml:space="preserve"> </w:t>
      </w:r>
      <w:proofErr w:type="spellStart"/>
      <w:r w:rsidR="00AC3926" w:rsidRPr="00243CC3">
        <w:rPr>
          <w:rFonts w:ascii="Times New Roman" w:hAnsi="Times New Roman" w:cs="Times New Roman"/>
          <w:i/>
        </w:rPr>
        <w:t>albicaulis</w:t>
      </w:r>
      <w:proofErr w:type="spellEnd"/>
      <w:r w:rsidR="00AC3926" w:rsidRPr="00243CC3">
        <w:rPr>
          <w:rFonts w:ascii="Times New Roman" w:hAnsi="Times New Roman" w:cs="Times New Roman"/>
        </w:rPr>
        <w:t>) within the study area and there was very little noticeable response to climate change, but recorded a slight positive growth response with the A2 climate.</w:t>
      </w:r>
      <w:r w:rsidR="0084199F" w:rsidRPr="00243CC3">
        <w:rPr>
          <w:rFonts w:ascii="Times New Roman" w:hAnsi="Times New Roman" w:cs="Times New Roman"/>
        </w:rPr>
        <w:t xml:space="preserve">  Regenerati</w:t>
      </w:r>
      <w:r w:rsidR="004D71FA" w:rsidRPr="00243CC3">
        <w:rPr>
          <w:rFonts w:ascii="Times New Roman" w:hAnsi="Times New Roman" w:cs="Times New Roman"/>
        </w:rPr>
        <w:t xml:space="preserve">on (establishment ability) for </w:t>
      </w:r>
      <w:proofErr w:type="spellStart"/>
      <w:r w:rsidR="004D71FA" w:rsidRPr="00243CC3">
        <w:rPr>
          <w:rFonts w:ascii="Times New Roman" w:hAnsi="Times New Roman" w:cs="Times New Roman"/>
        </w:rPr>
        <w:t>w</w:t>
      </w:r>
      <w:r w:rsidR="0084199F" w:rsidRPr="00243CC3">
        <w:rPr>
          <w:rFonts w:ascii="Times New Roman" w:hAnsi="Times New Roman" w:cs="Times New Roman"/>
        </w:rPr>
        <w:t>hitebark</w:t>
      </w:r>
      <w:proofErr w:type="spellEnd"/>
      <w:r w:rsidR="0084199F" w:rsidRPr="00243CC3">
        <w:rPr>
          <w:rFonts w:ascii="Times New Roman" w:hAnsi="Times New Roman" w:cs="Times New Roman"/>
        </w:rPr>
        <w:t xml:space="preserve"> pine was still negatively impacted by climate change, as noted in the manuscript text. </w:t>
      </w:r>
    </w:p>
    <w:p w:rsidR="00D10CAE" w:rsidRPr="00243CC3" w:rsidRDefault="00D10CAE" w:rsidP="00BB094C">
      <w:pPr>
        <w:rPr>
          <w:rFonts w:ascii="Times New Roman" w:hAnsi="Times New Roman" w:cs="Times New Roman"/>
          <w:b/>
        </w:rPr>
      </w:pPr>
    </w:p>
    <w:p w:rsidR="00AE3933" w:rsidRPr="00243CC3" w:rsidRDefault="0093341A" w:rsidP="00BB094C">
      <w:pPr>
        <w:rPr>
          <w:rFonts w:ascii="Times New Roman" w:hAnsi="Times New Roman" w:cs="Times New Roman"/>
        </w:rPr>
      </w:pPr>
      <w:r w:rsidRPr="00243CC3">
        <w:rPr>
          <w:rFonts w:ascii="Times New Roman" w:hAnsi="Times New Roman" w:cs="Times New Roman"/>
          <w:b/>
        </w:rPr>
        <w:t>Table S</w:t>
      </w:r>
      <w:r w:rsidR="004E10D6" w:rsidRPr="00243CC3">
        <w:rPr>
          <w:rFonts w:ascii="Times New Roman" w:hAnsi="Times New Roman" w:cs="Times New Roman"/>
          <w:b/>
        </w:rPr>
        <w:t>9</w:t>
      </w:r>
    </w:p>
    <w:p w:rsidR="00BB094C" w:rsidRPr="00243CC3" w:rsidRDefault="00BB094C" w:rsidP="00BB094C">
      <w:pPr>
        <w:rPr>
          <w:rFonts w:ascii="Times New Roman" w:hAnsi="Times New Roman" w:cs="Times New Roman"/>
        </w:rPr>
      </w:pPr>
      <w:r w:rsidRPr="00243CC3">
        <w:rPr>
          <w:rFonts w:ascii="Times New Roman" w:hAnsi="Times New Roman" w:cs="Times New Roman"/>
        </w:rPr>
        <w:t xml:space="preserve">More details on precipitation effects on </w:t>
      </w:r>
      <w:r w:rsidR="0093341A" w:rsidRPr="00243CC3">
        <w:rPr>
          <w:rFonts w:ascii="Times New Roman" w:hAnsi="Times New Roman" w:cs="Times New Roman"/>
        </w:rPr>
        <w:t>Build-Up Index (</w:t>
      </w:r>
      <w:r w:rsidRPr="00243CC3">
        <w:rPr>
          <w:rFonts w:ascii="Times New Roman" w:hAnsi="Times New Roman" w:cs="Times New Roman"/>
        </w:rPr>
        <w:t>BUI</w:t>
      </w:r>
      <w:proofErr w:type="gramStart"/>
      <w:r w:rsidR="0093341A" w:rsidRPr="00243CC3">
        <w:rPr>
          <w:rFonts w:ascii="Times New Roman" w:hAnsi="Times New Roman" w:cs="Times New Roman"/>
        </w:rPr>
        <w:t>)</w:t>
      </w:r>
      <w:r w:rsidR="00E25D76" w:rsidRPr="00243CC3">
        <w:rPr>
          <w:rFonts w:ascii="Times New Roman" w:hAnsi="Times New Roman" w:cs="Times New Roman"/>
        </w:rPr>
        <w:t>,</w:t>
      </w:r>
      <w:proofErr w:type="gramEnd"/>
      <w:r w:rsidR="00E25D76" w:rsidRPr="00243CC3">
        <w:rPr>
          <w:rFonts w:ascii="Times New Roman" w:hAnsi="Times New Roman" w:cs="Times New Roman"/>
        </w:rPr>
        <w:t xml:space="preserve"> continued from the text.</w:t>
      </w:r>
    </w:p>
    <w:p w:rsidR="00114802" w:rsidRPr="00243CC3" w:rsidRDefault="00BB094C">
      <w:pPr>
        <w:rPr>
          <w:rFonts w:ascii="Times New Roman" w:hAnsi="Times New Roman" w:cs="Times New Roman"/>
        </w:rPr>
      </w:pPr>
      <w:r w:rsidRPr="00243CC3">
        <w:rPr>
          <w:rFonts w:ascii="Times New Roman" w:hAnsi="Times New Roman" w:cs="Times New Roman"/>
        </w:rPr>
        <w:t xml:space="preserve">Precipitation effects on BUI were more evident when temperature was lower.  This was observed when we applied our second experimental approach (examining temperature and precipitation independently), specifically for the A2 precipitation-only scenario. The A2 precipitation-only scenario simulated the lowest temperature and precipitation of all scenarios.  The variability of precipitation associated with the A2 climate reset the BUI throughout the season (more so than the base precipitation), with intermittent ‘bursts’ of rainfall.  Therefore, despite the lower annual precipitation of the A2 precipitation-only scenario, the increased seasonal variability in precipitation lowered the overall availability of combustible fuels (lower average BUI).  These interacting effects of low ignition potential (FFMC) and low available combustible fuel (BUI) over the season resulted in the lowest overall area burned and fire severity of all scenarios.  The effect of rising temperatures dampened the effect of variable precipitation on BUI, where no differences in average BUI were found for either A2 climate or A2 temperature-only.  In other words, the increased flammability of fine fuels ultimately outweighed fuel availability.  Furthermore, as more area burned throughout the A2 climate, fewer fuels were available simply because more were consumed by fire (as compared to base climate).  This effect of precipitation on BUI was ultimately minimal compared to the temperature effects on fine fuel moisture and the overarching impact of rising temperatures driving changes in the system as a whole.  </w:t>
      </w:r>
      <w:r w:rsidR="00275A6B" w:rsidRPr="00243CC3">
        <w:rPr>
          <w:rFonts w:ascii="Times New Roman" w:hAnsi="Times New Roman" w:cs="Times New Roman"/>
        </w:rPr>
        <w:t>In addition, changes in precipitation (increase or decrease) will most likely not have a significant effect on fire weather because most of the rainfall at the LTB either occurs outside the summer season or as snowfall.  Essentially, the summers (fire season) are already dry.  Changes in temperature that may cause earlier snowmelt may have more impact (extending dry season) than changes in precipitation throughout the year.</w:t>
      </w:r>
    </w:p>
    <w:p w:rsidR="00774C97" w:rsidRPr="00243CC3" w:rsidRDefault="00774C97">
      <w:pPr>
        <w:rPr>
          <w:rFonts w:ascii="Times New Roman" w:hAnsi="Times New Roman" w:cs="Times New Roman"/>
          <w:b/>
        </w:rPr>
      </w:pPr>
      <w:r w:rsidRPr="00243CC3">
        <w:rPr>
          <w:rFonts w:ascii="Times New Roman" w:hAnsi="Times New Roman" w:cs="Times New Roman"/>
          <w:b/>
        </w:rPr>
        <w:br w:type="page"/>
      </w:r>
    </w:p>
    <w:p w:rsidR="00774C97" w:rsidRPr="00243CC3" w:rsidRDefault="00774C97" w:rsidP="00774C97">
      <w:pPr>
        <w:outlineLvl w:val="0"/>
        <w:rPr>
          <w:rFonts w:ascii="Times New Roman" w:hAnsi="Times New Roman" w:cs="Times New Roman"/>
          <w:b/>
        </w:rPr>
      </w:pPr>
      <w:proofErr w:type="gramStart"/>
      <w:r w:rsidRPr="00243CC3">
        <w:rPr>
          <w:rFonts w:ascii="Times New Roman" w:hAnsi="Times New Roman" w:cs="Times New Roman"/>
          <w:b/>
        </w:rPr>
        <w:lastRenderedPageBreak/>
        <w:t>Fig.</w:t>
      </w:r>
      <w:proofErr w:type="gramEnd"/>
      <w:r w:rsidRPr="00243CC3">
        <w:rPr>
          <w:rFonts w:ascii="Times New Roman" w:hAnsi="Times New Roman" w:cs="Times New Roman"/>
          <w:b/>
        </w:rPr>
        <w:t xml:space="preserve"> S1</w:t>
      </w:r>
    </w:p>
    <w:p w:rsidR="00774C97" w:rsidRPr="00243CC3" w:rsidRDefault="00774C97" w:rsidP="00774C97">
      <w:pPr>
        <w:rPr>
          <w:rFonts w:ascii="Times New Roman" w:hAnsi="Times New Roman" w:cs="Times New Roman"/>
        </w:rPr>
      </w:pPr>
      <w:r w:rsidRPr="00243CC3">
        <w:rPr>
          <w:rFonts w:ascii="Times New Roman" w:hAnsi="Times New Roman" w:cs="Times New Roman"/>
        </w:rPr>
        <w:t>An example of growth response to temperature for the “conifer” functional group developed from the 4 PPDF parameters from Table S2.</w:t>
      </w:r>
    </w:p>
    <w:p w:rsidR="00774C97" w:rsidRPr="00243CC3" w:rsidRDefault="00774C97" w:rsidP="00774C97">
      <w:pPr>
        <w:outlineLvl w:val="0"/>
        <w:rPr>
          <w:rFonts w:ascii="Times New Roman" w:hAnsi="Times New Roman" w:cs="Times New Roman"/>
          <w:b/>
        </w:rPr>
      </w:pPr>
      <w:r w:rsidRPr="00243CC3">
        <w:rPr>
          <w:rFonts w:ascii="Times New Roman" w:hAnsi="Times New Roman" w:cs="Times New Roman"/>
          <w:noProof/>
        </w:rPr>
        <w:drawing>
          <wp:inline distT="0" distB="0" distL="0" distR="0" wp14:anchorId="2B3FC205" wp14:editId="480315FA">
            <wp:extent cx="4815840" cy="3466012"/>
            <wp:effectExtent l="0" t="0" r="3810"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E10D6" w:rsidRPr="00243CC3" w:rsidRDefault="004E10D6">
      <w:pPr>
        <w:rPr>
          <w:rFonts w:ascii="Times New Roman" w:hAnsi="Times New Roman" w:cs="Times New Roman"/>
          <w:b/>
        </w:rPr>
      </w:pPr>
      <w:r w:rsidRPr="00243CC3">
        <w:rPr>
          <w:rFonts w:ascii="Times New Roman" w:hAnsi="Times New Roman" w:cs="Times New Roman"/>
          <w:b/>
        </w:rPr>
        <w:br w:type="page"/>
      </w:r>
    </w:p>
    <w:p w:rsidR="00774C97" w:rsidRPr="00243CC3" w:rsidRDefault="00774C97" w:rsidP="00774C97">
      <w:pPr>
        <w:outlineLvl w:val="0"/>
        <w:rPr>
          <w:rFonts w:ascii="Times New Roman" w:hAnsi="Times New Roman" w:cs="Times New Roman"/>
          <w:b/>
        </w:rPr>
      </w:pPr>
      <w:proofErr w:type="gramStart"/>
      <w:r w:rsidRPr="00243CC3">
        <w:rPr>
          <w:rFonts w:ascii="Times New Roman" w:hAnsi="Times New Roman" w:cs="Times New Roman"/>
          <w:b/>
        </w:rPr>
        <w:lastRenderedPageBreak/>
        <w:t>Fig.</w:t>
      </w:r>
      <w:proofErr w:type="gramEnd"/>
      <w:r w:rsidRPr="00243CC3">
        <w:rPr>
          <w:rFonts w:ascii="Times New Roman" w:hAnsi="Times New Roman" w:cs="Times New Roman"/>
          <w:b/>
        </w:rPr>
        <w:t xml:space="preserve"> S2</w:t>
      </w:r>
    </w:p>
    <w:p w:rsidR="00774C97" w:rsidRPr="00243CC3" w:rsidRDefault="00774C97" w:rsidP="00774C97">
      <w:pPr>
        <w:rPr>
          <w:rFonts w:ascii="Times New Roman" w:hAnsi="Times New Roman" w:cs="Times New Roman"/>
        </w:rPr>
      </w:pPr>
      <w:r w:rsidRPr="00243CC3">
        <w:rPr>
          <w:rFonts w:ascii="Times New Roman" w:hAnsi="Times New Roman" w:cs="Times New Roman"/>
        </w:rPr>
        <w:t>Range of soil organic matter (SOM) decay rates explored when calibrating initial soil organic carbon initial conditions and accumulation rates.  SOM2 represented the slow soil pool (SOM2) in the Century extension in LANDIS-II.  See Table S3.  Decay rate of 0.02 was chosen for this study.</w:t>
      </w:r>
    </w:p>
    <w:p w:rsidR="00774C97" w:rsidRPr="00243CC3" w:rsidRDefault="00774C97" w:rsidP="00774C97">
      <w:pPr>
        <w:rPr>
          <w:rFonts w:ascii="Times New Roman" w:hAnsi="Times New Roman" w:cs="Times New Roman"/>
        </w:rPr>
      </w:pPr>
      <w:r w:rsidRPr="00243CC3">
        <w:rPr>
          <w:rFonts w:ascii="Times New Roman" w:hAnsi="Times New Roman" w:cs="Times New Roman"/>
          <w:noProof/>
        </w:rPr>
        <w:drawing>
          <wp:inline distT="0" distB="0" distL="0" distR="0" wp14:anchorId="396F01B2" wp14:editId="72A0D663">
            <wp:extent cx="3596609" cy="2780071"/>
            <wp:effectExtent l="19050" t="0" r="3841" b="0"/>
            <wp:docPr id="1" name="Picture 1" descr="K:\SNPLMA\LANDIS_output\Trial8\DecayGraphs\ScenarioCarbon_Time_Series_Decay_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NPLMA\LANDIS_output\Trial8\DecayGraphs\ScenarioCarbon_Time_Series_Decay_SOC.jpg"/>
                    <pic:cNvPicPr>
                      <a:picLocks noChangeAspect="1" noChangeArrowheads="1"/>
                    </pic:cNvPicPr>
                  </pic:nvPicPr>
                  <pic:blipFill>
                    <a:blip r:embed="rId13" cstate="print"/>
                    <a:srcRect/>
                    <a:stretch>
                      <a:fillRect/>
                    </a:stretch>
                  </pic:blipFill>
                  <pic:spPr bwMode="auto">
                    <a:xfrm>
                      <a:off x="0" y="0"/>
                      <a:ext cx="3596690" cy="2780133"/>
                    </a:xfrm>
                    <a:prstGeom prst="rect">
                      <a:avLst/>
                    </a:prstGeom>
                    <a:noFill/>
                    <a:ln w="9525">
                      <a:noFill/>
                      <a:miter lim="800000"/>
                      <a:headEnd/>
                      <a:tailEnd/>
                    </a:ln>
                  </pic:spPr>
                </pic:pic>
              </a:graphicData>
            </a:graphic>
          </wp:inline>
        </w:drawing>
      </w:r>
    </w:p>
    <w:p w:rsidR="00774C97" w:rsidRPr="00243CC3" w:rsidRDefault="00774C97" w:rsidP="00774C97">
      <w:pPr>
        <w:rPr>
          <w:rFonts w:ascii="Times New Roman" w:hAnsi="Times New Roman" w:cs="Times New Roman"/>
          <w:b/>
        </w:rPr>
      </w:pPr>
      <w:r w:rsidRPr="00243CC3">
        <w:rPr>
          <w:rFonts w:ascii="Times New Roman" w:hAnsi="Times New Roman" w:cs="Times New Roman"/>
          <w:b/>
        </w:rPr>
        <w:br w:type="page"/>
      </w:r>
    </w:p>
    <w:p w:rsidR="004E2FA3" w:rsidRPr="00243CC3" w:rsidRDefault="004E2FA3" w:rsidP="004E2FA3">
      <w:pPr>
        <w:outlineLvl w:val="0"/>
        <w:rPr>
          <w:rFonts w:ascii="Times New Roman" w:hAnsi="Times New Roman" w:cs="Times New Roman"/>
          <w:b/>
        </w:rPr>
      </w:pPr>
      <w:proofErr w:type="gramStart"/>
      <w:r w:rsidRPr="00243CC3">
        <w:rPr>
          <w:rFonts w:ascii="Times New Roman" w:hAnsi="Times New Roman" w:cs="Times New Roman"/>
          <w:b/>
        </w:rPr>
        <w:lastRenderedPageBreak/>
        <w:t>Fig.</w:t>
      </w:r>
      <w:proofErr w:type="gramEnd"/>
      <w:r w:rsidRPr="00243CC3">
        <w:rPr>
          <w:rFonts w:ascii="Times New Roman" w:hAnsi="Times New Roman" w:cs="Times New Roman"/>
          <w:b/>
        </w:rPr>
        <w:t xml:space="preserve"> S3</w:t>
      </w:r>
    </w:p>
    <w:p w:rsidR="004E2FA3" w:rsidRPr="00243CC3" w:rsidRDefault="004E2FA3" w:rsidP="004E2FA3">
      <w:pPr>
        <w:rPr>
          <w:rFonts w:ascii="Times New Roman" w:hAnsi="Times New Roman" w:cs="Times New Roman"/>
        </w:rPr>
      </w:pPr>
      <w:r w:rsidRPr="00243CC3">
        <w:rPr>
          <w:rFonts w:ascii="Times New Roman" w:hAnsi="Times New Roman" w:cs="Times New Roman"/>
        </w:rPr>
        <w:t xml:space="preserve">Area burned (ha) per year comparison </w:t>
      </w:r>
      <w:r w:rsidR="004E10D6" w:rsidRPr="00243CC3">
        <w:rPr>
          <w:rFonts w:ascii="Times New Roman" w:hAnsi="Times New Roman" w:cs="Times New Roman"/>
        </w:rPr>
        <w:t>between</w:t>
      </w:r>
      <w:r w:rsidRPr="00243CC3">
        <w:rPr>
          <w:rFonts w:ascii="Times New Roman" w:hAnsi="Times New Roman" w:cs="Times New Roman"/>
        </w:rPr>
        <w:t xml:space="preserve"> base and A2 climate scenario</w:t>
      </w:r>
      <w:r w:rsidR="00991DC3" w:rsidRPr="00243CC3">
        <w:rPr>
          <w:rFonts w:ascii="Times New Roman" w:hAnsi="Times New Roman" w:cs="Times New Roman"/>
        </w:rPr>
        <w:t xml:space="preserve"> simulations.</w:t>
      </w:r>
      <w:r w:rsidR="00A810BC" w:rsidRPr="00243CC3">
        <w:rPr>
          <w:rFonts w:ascii="Times New Roman" w:hAnsi="Times New Roman" w:cs="Times New Roman"/>
        </w:rPr>
        <w:t xml:space="preserve">  </w:t>
      </w:r>
    </w:p>
    <w:p w:rsidR="00991DC3" w:rsidRPr="00243CC3" w:rsidRDefault="00991DC3" w:rsidP="004E2FA3">
      <w:pPr>
        <w:rPr>
          <w:rFonts w:ascii="Times New Roman" w:hAnsi="Times New Roman" w:cs="Times New Roman"/>
        </w:rPr>
      </w:pPr>
      <w:r w:rsidRPr="00243CC3">
        <w:rPr>
          <w:rFonts w:ascii="Times New Roman" w:hAnsi="Times New Roman" w:cs="Times New Roman"/>
          <w:noProof/>
        </w:rPr>
        <w:drawing>
          <wp:inline distT="0" distB="0" distL="0" distR="0" wp14:anchorId="1F4D942B" wp14:editId="7E3A075D">
            <wp:extent cx="4205963" cy="3248297"/>
            <wp:effectExtent l="0" t="0" r="4445" b="0"/>
            <wp:docPr id="3" name="Picture 3" descr="F:\Loudermilk\LTB_Outputs\Trial9\ScenarioArea_Burned_All L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udermilk\LTB_Outputs\Trial9\ScenarioArea_Burned_All LT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6006" cy="3248330"/>
                    </a:xfrm>
                    <a:prstGeom prst="rect">
                      <a:avLst/>
                    </a:prstGeom>
                    <a:noFill/>
                    <a:ln>
                      <a:noFill/>
                    </a:ln>
                  </pic:spPr>
                </pic:pic>
              </a:graphicData>
            </a:graphic>
          </wp:inline>
        </w:drawing>
      </w:r>
    </w:p>
    <w:p w:rsidR="004E2FA3" w:rsidRPr="00243CC3" w:rsidRDefault="004E2FA3" w:rsidP="00774C97">
      <w:pPr>
        <w:rPr>
          <w:rFonts w:ascii="Times New Roman" w:hAnsi="Times New Roman" w:cs="Times New Roman"/>
          <w:b/>
        </w:rPr>
      </w:pPr>
    </w:p>
    <w:p w:rsidR="00A810BC" w:rsidRPr="00243CC3" w:rsidRDefault="00A810BC" w:rsidP="00A810BC">
      <w:pPr>
        <w:rPr>
          <w:rFonts w:ascii="Times New Roman" w:hAnsi="Times New Roman" w:cs="Times New Roman"/>
          <w:lang w:eastAsia="zh-CN"/>
        </w:rPr>
      </w:pPr>
      <w:r w:rsidRPr="00243CC3">
        <w:rPr>
          <w:rFonts w:ascii="Times New Roman" w:hAnsi="Times New Roman" w:cs="Times New Roman"/>
          <w:lang w:eastAsia="zh-CN"/>
        </w:rPr>
        <w:t xml:space="preserve">Output </w:t>
      </w:r>
      <w:r w:rsidR="00020B8B" w:rsidRPr="00243CC3">
        <w:rPr>
          <w:rFonts w:ascii="Times New Roman" w:hAnsi="Times New Roman" w:cs="Times New Roman"/>
          <w:lang w:eastAsia="zh-CN"/>
        </w:rPr>
        <w:t xml:space="preserve">fire summary </w:t>
      </w:r>
      <w:r w:rsidRPr="00243CC3">
        <w:rPr>
          <w:rFonts w:ascii="Times New Roman" w:hAnsi="Times New Roman" w:cs="Times New Roman"/>
          <w:lang w:eastAsia="zh-CN"/>
        </w:rPr>
        <w:t xml:space="preserve">statistics, mean (standard deviation) across </w:t>
      </w:r>
      <w:r w:rsidR="004F0202" w:rsidRPr="00243CC3">
        <w:rPr>
          <w:rFonts w:ascii="Times New Roman" w:hAnsi="Times New Roman" w:cs="Times New Roman"/>
          <w:lang w:eastAsia="zh-CN"/>
        </w:rPr>
        <w:t>100 year simulations and five replicate runs</w:t>
      </w:r>
      <w:r w:rsidRPr="00243CC3">
        <w:rPr>
          <w:rFonts w:ascii="Times New Roman" w:hAnsi="Times New Roman" w:cs="Times New Roman"/>
          <w:lang w:eastAsia="zh-CN"/>
        </w:rPr>
        <w:t>.</w:t>
      </w:r>
    </w:p>
    <w:tbl>
      <w:tblPr>
        <w:tblW w:w="8940" w:type="dxa"/>
        <w:tblInd w:w="93" w:type="dxa"/>
        <w:tblLook w:val="04A0" w:firstRow="1" w:lastRow="0" w:firstColumn="1" w:lastColumn="0" w:noHBand="0" w:noVBand="1"/>
      </w:tblPr>
      <w:tblGrid>
        <w:gridCol w:w="1796"/>
        <w:gridCol w:w="1886"/>
        <w:gridCol w:w="1500"/>
        <w:gridCol w:w="1500"/>
        <w:gridCol w:w="2258"/>
      </w:tblGrid>
      <w:tr w:rsidR="00A810BC" w:rsidRPr="00243CC3" w:rsidTr="00020B8B">
        <w:trPr>
          <w:trHeight w:val="280"/>
        </w:trPr>
        <w:tc>
          <w:tcPr>
            <w:tcW w:w="1796" w:type="dxa"/>
            <w:tcBorders>
              <w:top w:val="single" w:sz="4" w:space="0" w:color="auto"/>
              <w:bottom w:val="single" w:sz="4" w:space="0" w:color="auto"/>
            </w:tcBorders>
            <w:shd w:val="clear" w:color="auto" w:fill="auto"/>
            <w:noWrap/>
            <w:vAlign w:val="bottom"/>
            <w:hideMark/>
          </w:tcPr>
          <w:p w:rsidR="00A810BC" w:rsidRPr="00243CC3" w:rsidRDefault="00A810BC" w:rsidP="00020B8B">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Climate Scenario</w:t>
            </w:r>
          </w:p>
        </w:tc>
        <w:tc>
          <w:tcPr>
            <w:tcW w:w="1886" w:type="dxa"/>
            <w:tcBorders>
              <w:top w:val="single" w:sz="4" w:space="0" w:color="auto"/>
              <w:bottom w:val="single" w:sz="4" w:space="0" w:color="auto"/>
            </w:tcBorders>
            <w:shd w:val="clear" w:color="auto" w:fill="auto"/>
            <w:noWrap/>
            <w:vAlign w:val="bottom"/>
            <w:hideMark/>
          </w:tcPr>
          <w:p w:rsidR="00A810BC" w:rsidRPr="00243CC3" w:rsidRDefault="00A810BC" w:rsidP="00020B8B">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Fire Rotation Period (yrs.)</w:t>
            </w:r>
          </w:p>
        </w:tc>
        <w:tc>
          <w:tcPr>
            <w:tcW w:w="1500" w:type="dxa"/>
            <w:tcBorders>
              <w:top w:val="single" w:sz="4" w:space="0" w:color="auto"/>
              <w:bottom w:val="single" w:sz="4" w:space="0" w:color="auto"/>
            </w:tcBorders>
            <w:shd w:val="clear" w:color="auto" w:fill="auto"/>
            <w:noWrap/>
            <w:vAlign w:val="bottom"/>
            <w:hideMark/>
          </w:tcPr>
          <w:p w:rsidR="00A810BC" w:rsidRPr="00243CC3" w:rsidRDefault="00A810BC" w:rsidP="00020B8B">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 xml:space="preserve">Mean </w:t>
            </w:r>
          </w:p>
          <w:p w:rsidR="00A810BC" w:rsidRPr="00243CC3" w:rsidRDefault="00A810BC" w:rsidP="00020B8B">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Fire Size (ha)</w:t>
            </w:r>
          </w:p>
        </w:tc>
        <w:tc>
          <w:tcPr>
            <w:tcW w:w="1500" w:type="dxa"/>
            <w:tcBorders>
              <w:top w:val="single" w:sz="4" w:space="0" w:color="auto"/>
              <w:bottom w:val="single" w:sz="4" w:space="0" w:color="auto"/>
            </w:tcBorders>
            <w:shd w:val="clear" w:color="auto" w:fill="auto"/>
            <w:noWrap/>
            <w:vAlign w:val="bottom"/>
            <w:hideMark/>
          </w:tcPr>
          <w:p w:rsidR="00A810BC" w:rsidRPr="00243CC3" w:rsidRDefault="00A810BC" w:rsidP="00020B8B">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 xml:space="preserve">Max </w:t>
            </w:r>
          </w:p>
          <w:p w:rsidR="00A810BC" w:rsidRPr="00243CC3" w:rsidRDefault="00A810BC" w:rsidP="00020B8B">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Fire Size (ha)</w:t>
            </w:r>
          </w:p>
        </w:tc>
        <w:tc>
          <w:tcPr>
            <w:tcW w:w="2258" w:type="dxa"/>
            <w:tcBorders>
              <w:top w:val="single" w:sz="4" w:space="0" w:color="auto"/>
              <w:bottom w:val="single" w:sz="4" w:space="0" w:color="auto"/>
            </w:tcBorders>
            <w:shd w:val="clear" w:color="auto" w:fill="auto"/>
            <w:noWrap/>
            <w:vAlign w:val="bottom"/>
            <w:hideMark/>
          </w:tcPr>
          <w:p w:rsidR="00A810BC" w:rsidRPr="00243CC3" w:rsidRDefault="00A810BC" w:rsidP="00020B8B">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 xml:space="preserve">Mean Annual </w:t>
            </w:r>
          </w:p>
          <w:p w:rsidR="00A810BC" w:rsidRPr="00243CC3" w:rsidRDefault="00A810BC" w:rsidP="00020B8B">
            <w:pPr>
              <w:spacing w:after="0" w:line="240" w:lineRule="auto"/>
              <w:rPr>
                <w:rFonts w:ascii="Times New Roman" w:eastAsia="Times New Roman" w:hAnsi="Times New Roman" w:cs="Times New Roman"/>
                <w:b/>
                <w:bCs/>
                <w:color w:val="000000"/>
              </w:rPr>
            </w:pPr>
            <w:r w:rsidRPr="00243CC3">
              <w:rPr>
                <w:rFonts w:ascii="Times New Roman" w:eastAsia="Times New Roman" w:hAnsi="Times New Roman" w:cs="Times New Roman"/>
                <w:b/>
                <w:bCs/>
                <w:color w:val="000000"/>
              </w:rPr>
              <w:t>Area Burned (ha)</w:t>
            </w:r>
          </w:p>
        </w:tc>
      </w:tr>
      <w:tr w:rsidR="00A810BC" w:rsidRPr="00243CC3" w:rsidTr="00020B8B">
        <w:trPr>
          <w:trHeight w:val="280"/>
        </w:trPr>
        <w:tc>
          <w:tcPr>
            <w:tcW w:w="1796" w:type="dxa"/>
            <w:tcBorders>
              <w:top w:val="single" w:sz="4" w:space="0" w:color="auto"/>
            </w:tcBorders>
            <w:shd w:val="clear" w:color="auto" w:fill="auto"/>
            <w:noWrap/>
            <w:vAlign w:val="bottom"/>
            <w:hideMark/>
          </w:tcPr>
          <w:p w:rsidR="00A810BC" w:rsidRPr="00243CC3" w:rsidRDefault="00A810BC" w:rsidP="00020B8B">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Base Climate</w:t>
            </w:r>
          </w:p>
        </w:tc>
        <w:tc>
          <w:tcPr>
            <w:tcW w:w="1886" w:type="dxa"/>
            <w:tcBorders>
              <w:top w:val="single" w:sz="4" w:space="0" w:color="auto"/>
            </w:tcBorders>
            <w:shd w:val="clear" w:color="auto" w:fill="auto"/>
            <w:noWrap/>
            <w:vAlign w:val="bottom"/>
            <w:hideMark/>
          </w:tcPr>
          <w:p w:rsidR="00A810BC" w:rsidRPr="00243CC3" w:rsidRDefault="00A810BC" w:rsidP="00020B8B">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360</w:t>
            </w:r>
            <w:r w:rsidR="00020B8B" w:rsidRPr="00243CC3">
              <w:rPr>
                <w:rFonts w:ascii="Times New Roman" w:eastAsia="Times New Roman" w:hAnsi="Times New Roman" w:cs="Times New Roman"/>
                <w:color w:val="000000"/>
              </w:rPr>
              <w:t xml:space="preserve"> (12)</w:t>
            </w:r>
          </w:p>
        </w:tc>
        <w:tc>
          <w:tcPr>
            <w:tcW w:w="1500" w:type="dxa"/>
            <w:tcBorders>
              <w:top w:val="single" w:sz="4" w:space="0" w:color="auto"/>
            </w:tcBorders>
            <w:shd w:val="clear" w:color="auto" w:fill="auto"/>
            <w:noWrap/>
            <w:vAlign w:val="bottom"/>
            <w:hideMark/>
          </w:tcPr>
          <w:p w:rsidR="00A810BC" w:rsidRPr="00243CC3" w:rsidRDefault="00020B8B" w:rsidP="006342E4">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6</w:t>
            </w:r>
            <w:r w:rsidR="006342E4" w:rsidRPr="00243CC3">
              <w:rPr>
                <w:rFonts w:ascii="Times New Roman" w:eastAsia="Times New Roman" w:hAnsi="Times New Roman" w:cs="Times New Roman"/>
                <w:color w:val="000000"/>
              </w:rPr>
              <w:t>2</w:t>
            </w:r>
            <w:r w:rsidRPr="00243CC3">
              <w:rPr>
                <w:rFonts w:ascii="Times New Roman" w:eastAsia="Times New Roman" w:hAnsi="Times New Roman" w:cs="Times New Roman"/>
                <w:color w:val="000000"/>
              </w:rPr>
              <w:t xml:space="preserve"> (1</w:t>
            </w:r>
            <w:r w:rsidR="006342E4" w:rsidRPr="00243CC3">
              <w:rPr>
                <w:rFonts w:ascii="Times New Roman" w:eastAsia="Times New Roman" w:hAnsi="Times New Roman" w:cs="Times New Roman"/>
                <w:color w:val="000000"/>
              </w:rPr>
              <w:t>1</w:t>
            </w:r>
            <w:r w:rsidRPr="00243CC3">
              <w:rPr>
                <w:rFonts w:ascii="Times New Roman" w:eastAsia="Times New Roman" w:hAnsi="Times New Roman" w:cs="Times New Roman"/>
                <w:color w:val="000000"/>
              </w:rPr>
              <w:t>0)</w:t>
            </w:r>
          </w:p>
        </w:tc>
        <w:tc>
          <w:tcPr>
            <w:tcW w:w="1500" w:type="dxa"/>
            <w:tcBorders>
              <w:top w:val="single" w:sz="4" w:space="0" w:color="auto"/>
            </w:tcBorders>
            <w:shd w:val="clear" w:color="auto" w:fill="auto"/>
            <w:noWrap/>
            <w:vAlign w:val="bottom"/>
            <w:hideMark/>
          </w:tcPr>
          <w:p w:rsidR="00A810BC" w:rsidRPr="00243CC3" w:rsidRDefault="006342E4" w:rsidP="006342E4">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848</w:t>
            </w:r>
            <w:r w:rsidR="00020B8B" w:rsidRPr="00243CC3">
              <w:rPr>
                <w:rFonts w:ascii="Times New Roman" w:eastAsia="Times New Roman" w:hAnsi="Times New Roman" w:cs="Times New Roman"/>
                <w:color w:val="000000"/>
              </w:rPr>
              <w:t xml:space="preserve"> (</w:t>
            </w:r>
            <w:r w:rsidRPr="00243CC3">
              <w:rPr>
                <w:rFonts w:ascii="Times New Roman" w:eastAsia="Times New Roman" w:hAnsi="Times New Roman" w:cs="Times New Roman"/>
                <w:color w:val="000000"/>
              </w:rPr>
              <w:t>212</w:t>
            </w:r>
            <w:r w:rsidR="00020B8B" w:rsidRPr="00243CC3">
              <w:rPr>
                <w:rFonts w:ascii="Times New Roman" w:eastAsia="Times New Roman" w:hAnsi="Times New Roman" w:cs="Times New Roman"/>
                <w:color w:val="000000"/>
              </w:rPr>
              <w:t>)</w:t>
            </w:r>
          </w:p>
        </w:tc>
        <w:tc>
          <w:tcPr>
            <w:tcW w:w="2258" w:type="dxa"/>
            <w:tcBorders>
              <w:top w:val="single" w:sz="4" w:space="0" w:color="auto"/>
            </w:tcBorders>
            <w:shd w:val="clear" w:color="auto" w:fill="auto"/>
            <w:noWrap/>
            <w:vAlign w:val="bottom"/>
            <w:hideMark/>
          </w:tcPr>
          <w:p w:rsidR="00A810BC" w:rsidRPr="00243CC3" w:rsidRDefault="00A810BC" w:rsidP="00020B8B">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192 (91)</w:t>
            </w:r>
          </w:p>
        </w:tc>
      </w:tr>
      <w:tr w:rsidR="00A810BC" w:rsidRPr="00243CC3" w:rsidTr="00020B8B">
        <w:trPr>
          <w:trHeight w:val="280"/>
        </w:trPr>
        <w:tc>
          <w:tcPr>
            <w:tcW w:w="1796" w:type="dxa"/>
            <w:shd w:val="clear" w:color="auto" w:fill="auto"/>
            <w:noWrap/>
            <w:vAlign w:val="bottom"/>
          </w:tcPr>
          <w:p w:rsidR="00A810BC" w:rsidRPr="00243CC3" w:rsidRDefault="00A810BC" w:rsidP="00020B8B">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B1 Climate</w:t>
            </w:r>
          </w:p>
        </w:tc>
        <w:tc>
          <w:tcPr>
            <w:tcW w:w="1886" w:type="dxa"/>
            <w:shd w:val="clear" w:color="auto" w:fill="auto"/>
            <w:noWrap/>
            <w:vAlign w:val="bottom"/>
          </w:tcPr>
          <w:p w:rsidR="00A810BC" w:rsidRPr="00243CC3" w:rsidRDefault="00020B8B" w:rsidP="00020B8B">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338 (30)</w:t>
            </w:r>
          </w:p>
        </w:tc>
        <w:tc>
          <w:tcPr>
            <w:tcW w:w="1500" w:type="dxa"/>
            <w:shd w:val="clear" w:color="auto" w:fill="auto"/>
            <w:noWrap/>
            <w:vAlign w:val="bottom"/>
          </w:tcPr>
          <w:p w:rsidR="00A810BC" w:rsidRPr="00243CC3" w:rsidRDefault="006342E4" w:rsidP="006342E4">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70</w:t>
            </w:r>
            <w:r w:rsidR="00020B8B" w:rsidRPr="00243CC3">
              <w:rPr>
                <w:rFonts w:ascii="Times New Roman" w:eastAsia="Times New Roman" w:hAnsi="Times New Roman" w:cs="Times New Roman"/>
                <w:color w:val="000000"/>
              </w:rPr>
              <w:t xml:space="preserve"> (1</w:t>
            </w:r>
            <w:r w:rsidRPr="00243CC3">
              <w:rPr>
                <w:rFonts w:ascii="Times New Roman" w:eastAsia="Times New Roman" w:hAnsi="Times New Roman" w:cs="Times New Roman"/>
                <w:color w:val="000000"/>
              </w:rPr>
              <w:t>2</w:t>
            </w:r>
            <w:r w:rsidR="00020B8B" w:rsidRPr="00243CC3">
              <w:rPr>
                <w:rFonts w:ascii="Times New Roman" w:eastAsia="Times New Roman" w:hAnsi="Times New Roman" w:cs="Times New Roman"/>
                <w:color w:val="000000"/>
              </w:rPr>
              <w:t>8)</w:t>
            </w:r>
          </w:p>
        </w:tc>
        <w:tc>
          <w:tcPr>
            <w:tcW w:w="1500" w:type="dxa"/>
            <w:shd w:val="clear" w:color="auto" w:fill="auto"/>
            <w:noWrap/>
            <w:vAlign w:val="bottom"/>
          </w:tcPr>
          <w:p w:rsidR="00A810BC" w:rsidRPr="00243CC3" w:rsidRDefault="006342E4" w:rsidP="00020B8B">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1141</w:t>
            </w:r>
            <w:r w:rsidR="00A810BC" w:rsidRPr="00243CC3">
              <w:rPr>
                <w:rFonts w:ascii="Times New Roman" w:eastAsia="Times New Roman" w:hAnsi="Times New Roman" w:cs="Times New Roman"/>
                <w:color w:val="000000"/>
              </w:rPr>
              <w:t xml:space="preserve"> (247)</w:t>
            </w:r>
          </w:p>
        </w:tc>
        <w:tc>
          <w:tcPr>
            <w:tcW w:w="2258" w:type="dxa"/>
            <w:shd w:val="clear" w:color="auto" w:fill="auto"/>
            <w:noWrap/>
            <w:vAlign w:val="bottom"/>
          </w:tcPr>
          <w:p w:rsidR="00A810BC" w:rsidRPr="00243CC3" w:rsidRDefault="00A810BC" w:rsidP="006342E4">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20</w:t>
            </w:r>
            <w:r w:rsidR="006342E4" w:rsidRPr="00243CC3">
              <w:rPr>
                <w:rFonts w:ascii="Times New Roman" w:eastAsia="Times New Roman" w:hAnsi="Times New Roman" w:cs="Times New Roman"/>
                <w:color w:val="000000"/>
              </w:rPr>
              <w:t>5</w:t>
            </w:r>
            <w:r w:rsidRPr="00243CC3">
              <w:rPr>
                <w:rFonts w:ascii="Times New Roman" w:eastAsia="Times New Roman" w:hAnsi="Times New Roman" w:cs="Times New Roman"/>
                <w:color w:val="000000"/>
              </w:rPr>
              <w:t xml:space="preserve"> (105)</w:t>
            </w:r>
          </w:p>
        </w:tc>
      </w:tr>
      <w:tr w:rsidR="00A810BC" w:rsidRPr="00243CC3" w:rsidTr="00020B8B">
        <w:trPr>
          <w:trHeight w:val="280"/>
        </w:trPr>
        <w:tc>
          <w:tcPr>
            <w:tcW w:w="1796" w:type="dxa"/>
            <w:tcBorders>
              <w:bottom w:val="single" w:sz="4" w:space="0" w:color="auto"/>
            </w:tcBorders>
            <w:shd w:val="clear" w:color="auto" w:fill="auto"/>
            <w:noWrap/>
            <w:vAlign w:val="bottom"/>
            <w:hideMark/>
          </w:tcPr>
          <w:p w:rsidR="00A810BC" w:rsidRPr="00243CC3" w:rsidRDefault="00A810BC" w:rsidP="00020B8B">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A2 Climate</w:t>
            </w:r>
          </w:p>
        </w:tc>
        <w:tc>
          <w:tcPr>
            <w:tcW w:w="1886" w:type="dxa"/>
            <w:tcBorders>
              <w:bottom w:val="single" w:sz="4" w:space="0" w:color="auto"/>
            </w:tcBorders>
            <w:shd w:val="clear" w:color="auto" w:fill="auto"/>
            <w:noWrap/>
            <w:vAlign w:val="bottom"/>
            <w:hideMark/>
          </w:tcPr>
          <w:p w:rsidR="00A810BC" w:rsidRPr="00243CC3" w:rsidRDefault="00020B8B" w:rsidP="00020B8B">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293 (19)</w:t>
            </w:r>
          </w:p>
        </w:tc>
        <w:tc>
          <w:tcPr>
            <w:tcW w:w="1500" w:type="dxa"/>
            <w:tcBorders>
              <w:bottom w:val="single" w:sz="4" w:space="0" w:color="auto"/>
            </w:tcBorders>
            <w:shd w:val="clear" w:color="auto" w:fill="auto"/>
            <w:noWrap/>
            <w:vAlign w:val="bottom"/>
            <w:hideMark/>
          </w:tcPr>
          <w:p w:rsidR="00A810BC" w:rsidRPr="00243CC3" w:rsidRDefault="00020B8B" w:rsidP="006342E4">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8</w:t>
            </w:r>
            <w:r w:rsidR="006342E4" w:rsidRPr="00243CC3">
              <w:rPr>
                <w:rFonts w:ascii="Times New Roman" w:eastAsia="Times New Roman" w:hAnsi="Times New Roman" w:cs="Times New Roman"/>
                <w:color w:val="000000"/>
              </w:rPr>
              <w:t>9</w:t>
            </w:r>
            <w:r w:rsidRPr="00243CC3">
              <w:rPr>
                <w:rFonts w:ascii="Times New Roman" w:eastAsia="Times New Roman" w:hAnsi="Times New Roman" w:cs="Times New Roman"/>
                <w:color w:val="000000"/>
              </w:rPr>
              <w:t xml:space="preserve"> (</w:t>
            </w:r>
            <w:r w:rsidR="006342E4" w:rsidRPr="00243CC3">
              <w:rPr>
                <w:rFonts w:ascii="Times New Roman" w:eastAsia="Times New Roman" w:hAnsi="Times New Roman" w:cs="Times New Roman"/>
                <w:color w:val="000000"/>
              </w:rPr>
              <w:t>150</w:t>
            </w:r>
            <w:r w:rsidRPr="00243CC3">
              <w:rPr>
                <w:rFonts w:ascii="Times New Roman" w:eastAsia="Times New Roman" w:hAnsi="Times New Roman" w:cs="Times New Roman"/>
                <w:color w:val="000000"/>
              </w:rPr>
              <w:t>)</w:t>
            </w:r>
          </w:p>
        </w:tc>
        <w:tc>
          <w:tcPr>
            <w:tcW w:w="1500" w:type="dxa"/>
            <w:tcBorders>
              <w:bottom w:val="single" w:sz="4" w:space="0" w:color="auto"/>
            </w:tcBorders>
            <w:shd w:val="clear" w:color="auto" w:fill="auto"/>
            <w:noWrap/>
            <w:vAlign w:val="bottom"/>
            <w:hideMark/>
          </w:tcPr>
          <w:p w:rsidR="00A810BC" w:rsidRPr="00243CC3" w:rsidRDefault="00A810BC" w:rsidP="006342E4">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1</w:t>
            </w:r>
            <w:r w:rsidR="006342E4" w:rsidRPr="00243CC3">
              <w:rPr>
                <w:rFonts w:ascii="Times New Roman" w:eastAsia="Times New Roman" w:hAnsi="Times New Roman" w:cs="Times New Roman"/>
                <w:color w:val="000000"/>
              </w:rPr>
              <w:t>295</w:t>
            </w:r>
            <w:r w:rsidRPr="00243CC3">
              <w:rPr>
                <w:rFonts w:ascii="Times New Roman" w:eastAsia="Times New Roman" w:hAnsi="Times New Roman" w:cs="Times New Roman"/>
                <w:color w:val="000000"/>
              </w:rPr>
              <w:t xml:space="preserve"> (</w:t>
            </w:r>
            <w:r w:rsidR="006342E4" w:rsidRPr="00243CC3">
              <w:rPr>
                <w:rFonts w:ascii="Times New Roman" w:eastAsia="Times New Roman" w:hAnsi="Times New Roman" w:cs="Times New Roman"/>
                <w:color w:val="000000"/>
              </w:rPr>
              <w:t>774</w:t>
            </w:r>
            <w:r w:rsidRPr="00243CC3">
              <w:rPr>
                <w:rFonts w:ascii="Times New Roman" w:eastAsia="Times New Roman" w:hAnsi="Times New Roman" w:cs="Times New Roman"/>
                <w:color w:val="000000"/>
              </w:rPr>
              <w:t>)</w:t>
            </w:r>
          </w:p>
        </w:tc>
        <w:tc>
          <w:tcPr>
            <w:tcW w:w="2258" w:type="dxa"/>
            <w:tcBorders>
              <w:bottom w:val="single" w:sz="4" w:space="0" w:color="auto"/>
            </w:tcBorders>
            <w:shd w:val="clear" w:color="auto" w:fill="auto"/>
            <w:noWrap/>
            <w:vAlign w:val="bottom"/>
            <w:hideMark/>
          </w:tcPr>
          <w:p w:rsidR="00A810BC" w:rsidRPr="00243CC3" w:rsidRDefault="006342E4" w:rsidP="006342E4">
            <w:pPr>
              <w:spacing w:after="0" w:line="240" w:lineRule="auto"/>
              <w:rPr>
                <w:rFonts w:ascii="Times New Roman" w:eastAsia="Times New Roman" w:hAnsi="Times New Roman" w:cs="Times New Roman"/>
                <w:color w:val="000000"/>
              </w:rPr>
            </w:pPr>
            <w:r w:rsidRPr="00243CC3">
              <w:rPr>
                <w:rFonts w:ascii="Times New Roman" w:eastAsia="Times New Roman" w:hAnsi="Times New Roman" w:cs="Times New Roman"/>
                <w:color w:val="000000"/>
              </w:rPr>
              <w:t>274</w:t>
            </w:r>
            <w:r w:rsidR="00A810BC" w:rsidRPr="00243CC3">
              <w:rPr>
                <w:rFonts w:ascii="Times New Roman" w:eastAsia="Times New Roman" w:hAnsi="Times New Roman" w:cs="Times New Roman"/>
                <w:color w:val="000000"/>
              </w:rPr>
              <w:t xml:space="preserve"> (</w:t>
            </w:r>
            <w:r w:rsidRPr="00243CC3">
              <w:rPr>
                <w:rFonts w:ascii="Times New Roman" w:eastAsia="Times New Roman" w:hAnsi="Times New Roman" w:cs="Times New Roman"/>
                <w:color w:val="000000"/>
              </w:rPr>
              <w:t>130</w:t>
            </w:r>
            <w:r w:rsidR="00A810BC" w:rsidRPr="00243CC3">
              <w:rPr>
                <w:rFonts w:ascii="Times New Roman" w:eastAsia="Times New Roman" w:hAnsi="Times New Roman" w:cs="Times New Roman"/>
                <w:color w:val="000000"/>
              </w:rPr>
              <w:t>)</w:t>
            </w:r>
          </w:p>
        </w:tc>
      </w:tr>
    </w:tbl>
    <w:p w:rsidR="00774C97" w:rsidRPr="00243CC3" w:rsidRDefault="00774C97">
      <w:pPr>
        <w:rPr>
          <w:rFonts w:ascii="Times New Roman" w:hAnsi="Times New Roman" w:cs="Times New Roman"/>
        </w:rPr>
      </w:pPr>
    </w:p>
    <w:sectPr w:rsidR="00774C97" w:rsidRPr="00243CC3" w:rsidSect="007F3D5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docVars>
    <w:docVar w:name="dgnword-docGUID" w:val="{3F4C5EA4-C952-4308-9356-5FC7F2F1101F}"/>
    <w:docVar w:name="dgnword-eventsink" w:val="160457016"/>
  </w:docVars>
  <w:rsids>
    <w:rsidRoot w:val="005376CC"/>
    <w:rsid w:val="00005EEB"/>
    <w:rsid w:val="00020B8B"/>
    <w:rsid w:val="000233A9"/>
    <w:rsid w:val="000270E0"/>
    <w:rsid w:val="00057C5C"/>
    <w:rsid w:val="00057E50"/>
    <w:rsid w:val="000E22D7"/>
    <w:rsid w:val="00114802"/>
    <w:rsid w:val="00137BDC"/>
    <w:rsid w:val="001832DA"/>
    <w:rsid w:val="001A1673"/>
    <w:rsid w:val="001A1FCC"/>
    <w:rsid w:val="00243CC3"/>
    <w:rsid w:val="00252A7B"/>
    <w:rsid w:val="00275A6B"/>
    <w:rsid w:val="002C12DF"/>
    <w:rsid w:val="002D3503"/>
    <w:rsid w:val="00302E2B"/>
    <w:rsid w:val="003107B0"/>
    <w:rsid w:val="00352EE7"/>
    <w:rsid w:val="00387314"/>
    <w:rsid w:val="003C7D94"/>
    <w:rsid w:val="003D2D72"/>
    <w:rsid w:val="003F67C0"/>
    <w:rsid w:val="004078D0"/>
    <w:rsid w:val="004364DE"/>
    <w:rsid w:val="00483F99"/>
    <w:rsid w:val="00492CAF"/>
    <w:rsid w:val="004C3CC1"/>
    <w:rsid w:val="004D71FA"/>
    <w:rsid w:val="004E10D6"/>
    <w:rsid w:val="004E2FA3"/>
    <w:rsid w:val="004F0202"/>
    <w:rsid w:val="005376CC"/>
    <w:rsid w:val="005512E1"/>
    <w:rsid w:val="00592349"/>
    <w:rsid w:val="005D22D7"/>
    <w:rsid w:val="006342E4"/>
    <w:rsid w:val="00682A2A"/>
    <w:rsid w:val="006B1A47"/>
    <w:rsid w:val="006C7855"/>
    <w:rsid w:val="007108E6"/>
    <w:rsid w:val="00720D2C"/>
    <w:rsid w:val="00757D34"/>
    <w:rsid w:val="00760D1A"/>
    <w:rsid w:val="00774C97"/>
    <w:rsid w:val="007F33D5"/>
    <w:rsid w:val="007F3D5D"/>
    <w:rsid w:val="007F4E7F"/>
    <w:rsid w:val="007F5BAB"/>
    <w:rsid w:val="0084199F"/>
    <w:rsid w:val="00842F32"/>
    <w:rsid w:val="00843C9F"/>
    <w:rsid w:val="00857419"/>
    <w:rsid w:val="0093341A"/>
    <w:rsid w:val="00952791"/>
    <w:rsid w:val="00976166"/>
    <w:rsid w:val="00991DC3"/>
    <w:rsid w:val="009A197D"/>
    <w:rsid w:val="009A5BDB"/>
    <w:rsid w:val="009A775A"/>
    <w:rsid w:val="009F0D1F"/>
    <w:rsid w:val="00A219E5"/>
    <w:rsid w:val="00A336CE"/>
    <w:rsid w:val="00A810BC"/>
    <w:rsid w:val="00A96D5F"/>
    <w:rsid w:val="00AC3926"/>
    <w:rsid w:val="00AE3933"/>
    <w:rsid w:val="00AF53AE"/>
    <w:rsid w:val="00B75E9B"/>
    <w:rsid w:val="00B90941"/>
    <w:rsid w:val="00BA5FDC"/>
    <w:rsid w:val="00BB0837"/>
    <w:rsid w:val="00BB094C"/>
    <w:rsid w:val="00BE0EAB"/>
    <w:rsid w:val="00C30B41"/>
    <w:rsid w:val="00C650FA"/>
    <w:rsid w:val="00CA4817"/>
    <w:rsid w:val="00CC2594"/>
    <w:rsid w:val="00CE6C65"/>
    <w:rsid w:val="00D01746"/>
    <w:rsid w:val="00D052E4"/>
    <w:rsid w:val="00D10CAE"/>
    <w:rsid w:val="00D26019"/>
    <w:rsid w:val="00D42583"/>
    <w:rsid w:val="00D640E5"/>
    <w:rsid w:val="00D65508"/>
    <w:rsid w:val="00D83AEA"/>
    <w:rsid w:val="00DA729A"/>
    <w:rsid w:val="00E02168"/>
    <w:rsid w:val="00E25D76"/>
    <w:rsid w:val="00E90EB3"/>
    <w:rsid w:val="00E9499E"/>
    <w:rsid w:val="00F47250"/>
    <w:rsid w:val="00F576D1"/>
    <w:rsid w:val="00F731EC"/>
    <w:rsid w:val="00F77F40"/>
    <w:rsid w:val="00FB1301"/>
    <w:rsid w:val="00FB6FE1"/>
    <w:rsid w:val="00FC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CC"/>
    <w:rPr>
      <w:rFonts w:ascii="Tahoma" w:hAnsi="Tahoma" w:cs="Tahoma"/>
      <w:sz w:val="16"/>
      <w:szCs w:val="16"/>
    </w:rPr>
  </w:style>
  <w:style w:type="paragraph" w:styleId="DocumentMap">
    <w:name w:val="Document Map"/>
    <w:basedOn w:val="Normal"/>
    <w:link w:val="DocumentMapChar"/>
    <w:uiPriority w:val="99"/>
    <w:semiHidden/>
    <w:unhideWhenUsed/>
    <w:rsid w:val="0095279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2791"/>
    <w:rPr>
      <w:rFonts w:ascii="Tahoma" w:hAnsi="Tahoma" w:cs="Tahoma"/>
      <w:sz w:val="16"/>
      <w:szCs w:val="16"/>
    </w:rPr>
  </w:style>
  <w:style w:type="character" w:styleId="Hyperlink">
    <w:name w:val="Hyperlink"/>
    <w:basedOn w:val="DefaultParagraphFont"/>
    <w:uiPriority w:val="99"/>
    <w:unhideWhenUsed/>
    <w:rsid w:val="004C3CC1"/>
    <w:rPr>
      <w:color w:val="0000FF" w:themeColor="hyperlink"/>
      <w:u w:val="single"/>
    </w:rPr>
  </w:style>
  <w:style w:type="character" w:styleId="CommentReference">
    <w:name w:val="annotation reference"/>
    <w:basedOn w:val="DefaultParagraphFont"/>
    <w:uiPriority w:val="99"/>
    <w:semiHidden/>
    <w:unhideWhenUsed/>
    <w:rsid w:val="00592349"/>
    <w:rPr>
      <w:sz w:val="16"/>
      <w:szCs w:val="16"/>
    </w:rPr>
  </w:style>
  <w:style w:type="paragraph" w:styleId="CommentText">
    <w:name w:val="annotation text"/>
    <w:basedOn w:val="Normal"/>
    <w:link w:val="CommentTextChar"/>
    <w:uiPriority w:val="99"/>
    <w:semiHidden/>
    <w:unhideWhenUsed/>
    <w:rsid w:val="00592349"/>
    <w:pPr>
      <w:spacing w:line="240" w:lineRule="auto"/>
    </w:pPr>
    <w:rPr>
      <w:sz w:val="20"/>
      <w:szCs w:val="20"/>
    </w:rPr>
  </w:style>
  <w:style w:type="character" w:customStyle="1" w:styleId="CommentTextChar">
    <w:name w:val="Comment Text Char"/>
    <w:basedOn w:val="DefaultParagraphFont"/>
    <w:link w:val="CommentText"/>
    <w:uiPriority w:val="99"/>
    <w:semiHidden/>
    <w:rsid w:val="00592349"/>
    <w:rPr>
      <w:sz w:val="20"/>
      <w:szCs w:val="20"/>
    </w:rPr>
  </w:style>
  <w:style w:type="paragraph" w:styleId="CommentSubject">
    <w:name w:val="annotation subject"/>
    <w:basedOn w:val="CommentText"/>
    <w:next w:val="CommentText"/>
    <w:link w:val="CommentSubjectChar"/>
    <w:uiPriority w:val="99"/>
    <w:semiHidden/>
    <w:unhideWhenUsed/>
    <w:rsid w:val="00592349"/>
    <w:rPr>
      <w:b/>
      <w:bCs/>
    </w:rPr>
  </w:style>
  <w:style w:type="character" w:customStyle="1" w:styleId="CommentSubjectChar">
    <w:name w:val="Comment Subject Char"/>
    <w:basedOn w:val="CommentTextChar"/>
    <w:link w:val="CommentSubject"/>
    <w:uiPriority w:val="99"/>
    <w:semiHidden/>
    <w:rsid w:val="00592349"/>
    <w:rPr>
      <w:b/>
      <w:bCs/>
      <w:sz w:val="20"/>
      <w:szCs w:val="20"/>
    </w:rPr>
  </w:style>
  <w:style w:type="paragraph" w:styleId="PlainText">
    <w:name w:val="Plain Text"/>
    <w:basedOn w:val="Normal"/>
    <w:link w:val="PlainTextChar"/>
    <w:uiPriority w:val="99"/>
    <w:semiHidden/>
    <w:unhideWhenUsed/>
    <w:rsid w:val="00D42583"/>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D42583"/>
    <w:rPr>
      <w:rFonts w:ascii="Calibri" w:eastAsiaTheme="minorHAns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CC"/>
    <w:rPr>
      <w:rFonts w:ascii="Tahoma" w:hAnsi="Tahoma" w:cs="Tahoma"/>
      <w:sz w:val="16"/>
      <w:szCs w:val="16"/>
    </w:rPr>
  </w:style>
  <w:style w:type="paragraph" w:styleId="DocumentMap">
    <w:name w:val="Document Map"/>
    <w:basedOn w:val="Normal"/>
    <w:link w:val="DocumentMapChar"/>
    <w:uiPriority w:val="99"/>
    <w:semiHidden/>
    <w:unhideWhenUsed/>
    <w:rsid w:val="0095279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2791"/>
    <w:rPr>
      <w:rFonts w:ascii="Tahoma" w:hAnsi="Tahoma" w:cs="Tahoma"/>
      <w:sz w:val="16"/>
      <w:szCs w:val="16"/>
    </w:rPr>
  </w:style>
  <w:style w:type="character" w:styleId="Hyperlink">
    <w:name w:val="Hyperlink"/>
    <w:basedOn w:val="DefaultParagraphFont"/>
    <w:uiPriority w:val="99"/>
    <w:unhideWhenUsed/>
    <w:rsid w:val="004C3CC1"/>
    <w:rPr>
      <w:color w:val="0000FF" w:themeColor="hyperlink"/>
      <w:u w:val="single"/>
    </w:rPr>
  </w:style>
  <w:style w:type="character" w:styleId="CommentReference">
    <w:name w:val="annotation reference"/>
    <w:basedOn w:val="DefaultParagraphFont"/>
    <w:uiPriority w:val="99"/>
    <w:semiHidden/>
    <w:unhideWhenUsed/>
    <w:rsid w:val="00592349"/>
    <w:rPr>
      <w:sz w:val="16"/>
      <w:szCs w:val="16"/>
    </w:rPr>
  </w:style>
  <w:style w:type="paragraph" w:styleId="CommentText">
    <w:name w:val="annotation text"/>
    <w:basedOn w:val="Normal"/>
    <w:link w:val="CommentTextChar"/>
    <w:uiPriority w:val="99"/>
    <w:semiHidden/>
    <w:unhideWhenUsed/>
    <w:rsid w:val="00592349"/>
    <w:pPr>
      <w:spacing w:line="240" w:lineRule="auto"/>
    </w:pPr>
    <w:rPr>
      <w:sz w:val="20"/>
      <w:szCs w:val="20"/>
    </w:rPr>
  </w:style>
  <w:style w:type="character" w:customStyle="1" w:styleId="CommentTextChar">
    <w:name w:val="Comment Text Char"/>
    <w:basedOn w:val="DefaultParagraphFont"/>
    <w:link w:val="CommentText"/>
    <w:uiPriority w:val="99"/>
    <w:semiHidden/>
    <w:rsid w:val="00592349"/>
    <w:rPr>
      <w:sz w:val="20"/>
      <w:szCs w:val="20"/>
    </w:rPr>
  </w:style>
  <w:style w:type="paragraph" w:styleId="CommentSubject">
    <w:name w:val="annotation subject"/>
    <w:basedOn w:val="CommentText"/>
    <w:next w:val="CommentText"/>
    <w:link w:val="CommentSubjectChar"/>
    <w:uiPriority w:val="99"/>
    <w:semiHidden/>
    <w:unhideWhenUsed/>
    <w:rsid w:val="00592349"/>
    <w:rPr>
      <w:b/>
      <w:bCs/>
    </w:rPr>
  </w:style>
  <w:style w:type="character" w:customStyle="1" w:styleId="CommentSubjectChar">
    <w:name w:val="Comment Subject Char"/>
    <w:basedOn w:val="CommentTextChar"/>
    <w:link w:val="CommentSubject"/>
    <w:uiPriority w:val="99"/>
    <w:semiHidden/>
    <w:rsid w:val="00592349"/>
    <w:rPr>
      <w:b/>
      <w:bCs/>
      <w:sz w:val="20"/>
      <w:szCs w:val="20"/>
    </w:rPr>
  </w:style>
  <w:style w:type="paragraph" w:styleId="PlainText">
    <w:name w:val="Plain Text"/>
    <w:basedOn w:val="Normal"/>
    <w:link w:val="PlainTextChar"/>
    <w:uiPriority w:val="99"/>
    <w:semiHidden/>
    <w:unhideWhenUsed/>
    <w:rsid w:val="00D42583"/>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D42583"/>
    <w:rPr>
      <w:rFonts w:ascii="Calibri" w:eastAsiaTheme="minorHAns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9538">
      <w:bodyDiv w:val="1"/>
      <w:marLeft w:val="0"/>
      <w:marRight w:val="0"/>
      <w:marTop w:val="0"/>
      <w:marBottom w:val="0"/>
      <w:divBdr>
        <w:top w:val="none" w:sz="0" w:space="0" w:color="auto"/>
        <w:left w:val="none" w:sz="0" w:space="0" w:color="auto"/>
        <w:bottom w:val="none" w:sz="0" w:space="0" w:color="auto"/>
        <w:right w:val="none" w:sz="0" w:space="0" w:color="auto"/>
      </w:divBdr>
    </w:div>
    <w:div w:id="342057108">
      <w:bodyDiv w:val="1"/>
      <w:marLeft w:val="0"/>
      <w:marRight w:val="0"/>
      <w:marTop w:val="0"/>
      <w:marBottom w:val="0"/>
      <w:divBdr>
        <w:top w:val="none" w:sz="0" w:space="0" w:color="auto"/>
        <w:left w:val="none" w:sz="0" w:space="0" w:color="auto"/>
        <w:bottom w:val="none" w:sz="0" w:space="0" w:color="auto"/>
        <w:right w:val="none" w:sz="0" w:space="0" w:color="auto"/>
      </w:divBdr>
    </w:div>
    <w:div w:id="738098528">
      <w:bodyDiv w:val="1"/>
      <w:marLeft w:val="0"/>
      <w:marRight w:val="0"/>
      <w:marTop w:val="0"/>
      <w:marBottom w:val="0"/>
      <w:divBdr>
        <w:top w:val="none" w:sz="0" w:space="0" w:color="auto"/>
        <w:left w:val="none" w:sz="0" w:space="0" w:color="auto"/>
        <w:bottom w:val="none" w:sz="0" w:space="0" w:color="auto"/>
        <w:right w:val="none" w:sz="0" w:space="0" w:color="auto"/>
      </w:divBdr>
    </w:div>
    <w:div w:id="1039668636">
      <w:bodyDiv w:val="1"/>
      <w:marLeft w:val="0"/>
      <w:marRight w:val="0"/>
      <w:marTop w:val="0"/>
      <w:marBottom w:val="0"/>
      <w:divBdr>
        <w:top w:val="none" w:sz="0" w:space="0" w:color="auto"/>
        <w:left w:val="none" w:sz="0" w:space="0" w:color="auto"/>
        <w:bottom w:val="none" w:sz="0" w:space="0" w:color="auto"/>
        <w:right w:val="none" w:sz="0" w:space="0" w:color="auto"/>
      </w:divBdr>
    </w:div>
    <w:div w:id="1074857039">
      <w:bodyDiv w:val="1"/>
      <w:marLeft w:val="0"/>
      <w:marRight w:val="0"/>
      <w:marTop w:val="0"/>
      <w:marBottom w:val="0"/>
      <w:divBdr>
        <w:top w:val="none" w:sz="0" w:space="0" w:color="auto"/>
        <w:left w:val="none" w:sz="0" w:space="0" w:color="auto"/>
        <w:bottom w:val="none" w:sz="0" w:space="0" w:color="auto"/>
        <w:right w:val="none" w:sz="0" w:space="0" w:color="auto"/>
      </w:divBdr>
    </w:div>
    <w:div w:id="1206915902">
      <w:bodyDiv w:val="1"/>
      <w:marLeft w:val="0"/>
      <w:marRight w:val="0"/>
      <w:marTop w:val="0"/>
      <w:marBottom w:val="0"/>
      <w:divBdr>
        <w:top w:val="none" w:sz="0" w:space="0" w:color="auto"/>
        <w:left w:val="none" w:sz="0" w:space="0" w:color="auto"/>
        <w:bottom w:val="none" w:sz="0" w:space="0" w:color="auto"/>
        <w:right w:val="none" w:sz="0" w:space="0" w:color="auto"/>
      </w:divBdr>
    </w:div>
    <w:div w:id="1400326711">
      <w:bodyDiv w:val="1"/>
      <w:marLeft w:val="0"/>
      <w:marRight w:val="0"/>
      <w:marTop w:val="0"/>
      <w:marBottom w:val="0"/>
      <w:divBdr>
        <w:top w:val="none" w:sz="0" w:space="0" w:color="auto"/>
        <w:left w:val="none" w:sz="0" w:space="0" w:color="auto"/>
        <w:bottom w:val="none" w:sz="0" w:space="0" w:color="auto"/>
        <w:right w:val="none" w:sz="0" w:space="0" w:color="auto"/>
      </w:divBdr>
    </w:div>
    <w:div w:id="1421875553">
      <w:bodyDiv w:val="1"/>
      <w:marLeft w:val="0"/>
      <w:marRight w:val="0"/>
      <w:marTop w:val="0"/>
      <w:marBottom w:val="0"/>
      <w:divBdr>
        <w:top w:val="none" w:sz="0" w:space="0" w:color="auto"/>
        <w:left w:val="none" w:sz="0" w:space="0" w:color="auto"/>
        <w:bottom w:val="none" w:sz="0" w:space="0" w:color="auto"/>
        <w:right w:val="none" w:sz="0" w:space="0" w:color="auto"/>
      </w:divBdr>
    </w:div>
    <w:div w:id="1622954902">
      <w:bodyDiv w:val="1"/>
      <w:marLeft w:val="0"/>
      <w:marRight w:val="0"/>
      <w:marTop w:val="0"/>
      <w:marBottom w:val="0"/>
      <w:divBdr>
        <w:top w:val="none" w:sz="0" w:space="0" w:color="auto"/>
        <w:left w:val="none" w:sz="0" w:space="0" w:color="auto"/>
        <w:bottom w:val="none" w:sz="0" w:space="0" w:color="auto"/>
        <w:right w:val="none" w:sz="0" w:space="0" w:color="auto"/>
      </w:divBdr>
    </w:div>
    <w:div w:id="1686588238">
      <w:bodyDiv w:val="1"/>
      <w:marLeft w:val="0"/>
      <w:marRight w:val="0"/>
      <w:marTop w:val="0"/>
      <w:marBottom w:val="0"/>
      <w:divBdr>
        <w:top w:val="none" w:sz="0" w:space="0" w:color="auto"/>
        <w:left w:val="none" w:sz="0" w:space="0" w:color="auto"/>
        <w:bottom w:val="none" w:sz="0" w:space="0" w:color="auto"/>
        <w:right w:val="none" w:sz="0" w:space="0" w:color="auto"/>
      </w:divBdr>
    </w:div>
    <w:div w:id="20583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is-ii.org"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landis-ii.org" TargetMode="External"/><Relationship Id="rId12" Type="http://schemas.openxmlformats.org/officeDocument/2006/relationships/chart" Target="charts/chart1.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rel.colostate.edu/projects/century/manual4/man96.html" TargetMode="External"/><Relationship Id="rId11" Type="http://schemas.openxmlformats.org/officeDocument/2006/relationships/hyperlink" Target="http://www.fs.usda.gov/detail/r5/landmanagement/gis/?cid=STELPRDB5327833" TargetMode="External"/><Relationship Id="rId5" Type="http://schemas.openxmlformats.org/officeDocument/2006/relationships/hyperlink" Target="http://www.landis-ii.org" TargetMode="External"/><Relationship Id="rId15" Type="http://schemas.openxmlformats.org/officeDocument/2006/relationships/fontTable" Target="fontTable.xml"/><Relationship Id="rId10" Type="http://schemas.openxmlformats.org/officeDocument/2006/relationships/hyperlink" Target="http://www.landis-ii.org" TargetMode="External"/><Relationship Id="rId4" Type="http://schemas.openxmlformats.org/officeDocument/2006/relationships/webSettings" Target="webSettings.xml"/><Relationship Id="rId9" Type="http://schemas.openxmlformats.org/officeDocument/2006/relationships/hyperlink" Target="http://www.landis-ii.org" TargetMode="Externa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lloudermilk\My%20Documents\Pubs\PSU_pubs\LakeTahoeBasin\ClimateChange_fire_LTB\LTB_pub_tables_v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140955806339311"/>
          <c:y val="2.4382120774229087E-2"/>
          <c:w val="0.83855999127938963"/>
          <c:h val="0.80154354301217967"/>
        </c:manualLayout>
      </c:layout>
      <c:lineChart>
        <c:grouping val="standard"/>
        <c:varyColors val="0"/>
        <c:ser>
          <c:idx val="0"/>
          <c:order val="0"/>
          <c:tx>
            <c:strRef>
              <c:f>Sheet1!$B$1</c:f>
              <c:strCache>
                <c:ptCount val="1"/>
                <c:pt idx="0">
                  <c:v>Growth Potential</c:v>
                </c:pt>
              </c:strCache>
            </c:strRef>
          </c:tx>
          <c:marker>
            <c:symbol val="none"/>
          </c:marker>
          <c:cat>
            <c:numRef>
              <c:f>Sheet1!$A$2:$A$62</c:f>
              <c:numCache>
                <c:formatCode>General</c:formatCode>
                <c:ptCount val="6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pt idx="49">
                  <c:v>24.5</c:v>
                </c:pt>
                <c:pt idx="50">
                  <c:v>25</c:v>
                </c:pt>
                <c:pt idx="51">
                  <c:v>25.5</c:v>
                </c:pt>
                <c:pt idx="52">
                  <c:v>26</c:v>
                </c:pt>
                <c:pt idx="53">
                  <c:v>26.5</c:v>
                </c:pt>
                <c:pt idx="54">
                  <c:v>27</c:v>
                </c:pt>
                <c:pt idx="55">
                  <c:v>27.5</c:v>
                </c:pt>
                <c:pt idx="56">
                  <c:v>28</c:v>
                </c:pt>
                <c:pt idx="57">
                  <c:v>28.5</c:v>
                </c:pt>
                <c:pt idx="58">
                  <c:v>29</c:v>
                </c:pt>
                <c:pt idx="59">
                  <c:v>29.5</c:v>
                </c:pt>
                <c:pt idx="60">
                  <c:v>30</c:v>
                </c:pt>
              </c:numCache>
            </c:numRef>
          </c:cat>
          <c:val>
            <c:numRef>
              <c:f>Sheet1!$B$2:$B$64</c:f>
              <c:numCache>
                <c:formatCode>General</c:formatCode>
                <c:ptCount val="63"/>
                <c:pt idx="0">
                  <c:v>0.25589199732114326</c:v>
                </c:pt>
                <c:pt idx="1">
                  <c:v>0.28341879725148705</c:v>
                </c:pt>
                <c:pt idx="2">
                  <c:v>0.31193143783651806</c:v>
                </c:pt>
                <c:pt idx="3">
                  <c:v>0.34125900022971095</c:v>
                </c:pt>
                <c:pt idx="4">
                  <c:v>0.37122253957474705</c:v>
                </c:pt>
                <c:pt idx="5">
                  <c:v>0.40163874226528518</c:v>
                </c:pt>
                <c:pt idx="6">
                  <c:v>0.43232345939372147</c:v>
                </c:pt>
                <c:pt idx="7">
                  <c:v>0.46309501589413199</c:v>
                </c:pt>
                <c:pt idx="8">
                  <c:v>0.49377721460741136</c:v>
                </c:pt>
                <c:pt idx="9">
                  <c:v>0.52420197521757284</c:v>
                </c:pt>
                <c:pt idx="10">
                  <c:v>0.5542115685001866</c:v>
                </c:pt>
                <c:pt idx="11">
                  <c:v>0.58366042558741549</c:v>
                </c:pt>
                <c:pt idx="12">
                  <c:v>0.61241651923916918</c:v>
                </c:pt>
                <c:pt idx="13">
                  <c:v>0.6403623289143705</c:v>
                </c:pt>
                <c:pt idx="14">
                  <c:v>0.66739541348789755</c:v>
                </c:pt>
                <c:pt idx="15">
                  <c:v>0.69342862468353172</c:v>
                </c:pt>
                <c:pt idx="16">
                  <c:v>0.7183900007798617</c:v>
                </c:pt>
                <c:pt idx="17">
                  <c:v>0.7422223841047737</c:v>
                </c:pt>
                <c:pt idx="18">
                  <c:v>0.76488280755996652</c:v>
                </c:pt>
                <c:pt idx="19">
                  <c:v>0.78634169525340614</c:v>
                </c:pt>
                <c:pt idx="20">
                  <c:v>0.80658192062843015</c:v>
                </c:pt>
                <c:pt idx="21">
                  <c:v>0.82559776262245699</c:v>
                </c:pt>
                <c:pt idx="22">
                  <c:v>0.8433937967031343</c:v>
                </c:pt>
                <c:pt idx="23">
                  <c:v>0.8599837534179956</c:v>
                </c:pt>
                <c:pt idx="24">
                  <c:v>0.87538937261645156</c:v>
                </c:pt>
                <c:pt idx="25">
                  <c:v>0.88963927697642464</c:v>
                </c:pt>
                <c:pt idx="26">
                  <c:v>0.90276788406363417</c:v>
                </c:pt>
                <c:pt idx="27">
                  <c:v>0.91481437199840121</c:v>
                </c:pt>
                <c:pt idx="28">
                  <c:v>0.92582170999354385</c:v>
                </c:pt>
                <c:pt idx="29">
                  <c:v>0.93583576161472215</c:v>
                </c:pt>
                <c:pt idx="30">
                  <c:v>0.94490446563066255</c:v>
                </c:pt>
                <c:pt idx="31">
                  <c:v>0.95307709677173991</c:v>
                </c:pt>
                <c:pt idx="32">
                  <c:v>0.96040360659053992</c:v>
                </c:pt>
                <c:pt idx="33">
                  <c:v>0.96693404289358975</c:v>
                </c:pt>
                <c:pt idx="34">
                  <c:v>0.97271804485694746</c:v>
                </c:pt>
                <c:pt idx="35">
                  <c:v>0.97780440991179385</c:v>
                </c:pt>
                <c:pt idx="36">
                  <c:v>0.98224072774908799</c:v>
                </c:pt>
                <c:pt idx="37">
                  <c:v>0.98607307630360863</c:v>
                </c:pt>
                <c:pt idx="38">
                  <c:v>0.9893457742973405</c:v>
                </c:pt>
                <c:pt idx="39">
                  <c:v>0.99210118481259491</c:v>
                </c:pt>
                <c:pt idx="40">
                  <c:v>0.99437956439168651</c:v>
                </c:pt>
                <c:pt idx="41">
                  <c:v>0.99621895229134338</c:v>
                </c:pt>
                <c:pt idx="42">
                  <c:v>0.99765509472852343</c:v>
                </c:pt>
                <c:pt idx="43">
                  <c:v>0.9987213992159516</c:v>
                </c:pt>
                <c:pt idx="44">
                  <c:v>0.999448914379652</c:v>
                </c:pt>
                <c:pt idx="45">
                  <c:v>0.99986633095926858</c:v>
                </c:pt>
                <c:pt idx="46">
                  <c:v>1</c:v>
                </c:pt>
                <c:pt idx="47">
                  <c:v>0.99987396453928168</c:v>
                </c:pt>
                <c:pt idx="48">
                  <c:v>0.99951000136079671</c:v>
                </c:pt>
                <c:pt idx="49">
                  <c:v>0.99892766962220358</c:v>
                </c:pt>
                <c:pt idx="50">
                  <c:v>0.99814436335117662</c:v>
                </c:pt>
                <c:pt idx="51">
                  <c:v>0.9971753649360805</c:v>
                </c:pt>
                <c:pt idx="52">
                  <c:v>0.99603389680042498</c:v>
                </c:pt>
                <c:pt idx="53">
                  <c:v>0.99473116842890619</c:v>
                </c:pt>
                <c:pt idx="54">
                  <c:v>0.99327641578715686</c:v>
                </c:pt>
                <c:pt idx="55">
                  <c:v>0.99167692991985756</c:v>
                </c:pt>
                <c:pt idx="56">
                  <c:v>0.98993807108417842</c:v>
                </c:pt>
                <c:pt idx="57">
                  <c:v>0.98806326412280621</c:v>
                </c:pt>
                <c:pt idx="58">
                  <c:v>0.98605396982344296</c:v>
                </c:pt>
                <c:pt idx="59">
                  <c:v>0.98390962563276219</c:v>
                </c:pt>
                <c:pt idx="60">
                  <c:v>0.98162754711789535</c:v>
                </c:pt>
              </c:numCache>
            </c:numRef>
          </c:val>
          <c:smooth val="0"/>
        </c:ser>
        <c:dLbls>
          <c:showLegendKey val="0"/>
          <c:showVal val="0"/>
          <c:showCatName val="0"/>
          <c:showSerName val="0"/>
          <c:showPercent val="0"/>
          <c:showBubbleSize val="0"/>
        </c:dLbls>
        <c:marker val="1"/>
        <c:smooth val="0"/>
        <c:axId val="74340224"/>
        <c:axId val="74346496"/>
      </c:lineChart>
      <c:catAx>
        <c:axId val="74340224"/>
        <c:scaling>
          <c:orientation val="minMax"/>
        </c:scaling>
        <c:delete val="0"/>
        <c:axPos val="b"/>
        <c:title>
          <c:tx>
            <c:rich>
              <a:bodyPr/>
              <a:lstStyle/>
              <a:p>
                <a:pPr>
                  <a:defRPr/>
                </a:pPr>
                <a:r>
                  <a:rPr lang="en-US"/>
                  <a:t>Temperature - C</a:t>
                </a:r>
              </a:p>
            </c:rich>
          </c:tx>
          <c:overlay val="0"/>
        </c:title>
        <c:numFmt formatCode="General" sourceLinked="1"/>
        <c:majorTickMark val="out"/>
        <c:minorTickMark val="none"/>
        <c:tickLblPos val="nextTo"/>
        <c:crossAx val="74346496"/>
        <c:crosses val="autoZero"/>
        <c:auto val="1"/>
        <c:lblAlgn val="ctr"/>
        <c:lblOffset val="100"/>
        <c:tickLblSkip val="8"/>
        <c:tickMarkSkip val="2"/>
        <c:noMultiLvlLbl val="0"/>
      </c:catAx>
      <c:valAx>
        <c:axId val="74346496"/>
        <c:scaling>
          <c:orientation val="minMax"/>
          <c:max val="1"/>
        </c:scaling>
        <c:delete val="0"/>
        <c:axPos val="l"/>
        <c:title>
          <c:tx>
            <c:rich>
              <a:bodyPr rot="-5400000" vert="horz"/>
              <a:lstStyle/>
              <a:p>
                <a:pPr>
                  <a:defRPr/>
                </a:pPr>
                <a:r>
                  <a:rPr lang="en-US"/>
                  <a:t>Growth Potential</a:t>
                </a:r>
              </a:p>
            </c:rich>
          </c:tx>
          <c:overlay val="0"/>
        </c:title>
        <c:numFmt formatCode="General" sourceLinked="1"/>
        <c:majorTickMark val="out"/>
        <c:minorTickMark val="none"/>
        <c:tickLblPos val="nextTo"/>
        <c:crossAx val="74340224"/>
        <c:crosses val="autoZero"/>
        <c:crossBetween val="between"/>
        <c:majorUnit val="0.2"/>
      </c:valAx>
    </c:plotArea>
    <c:plotVisOnly val="1"/>
    <c:dispBlanksAs val="gap"/>
    <c:showDLblsOverMax val="0"/>
  </c:chart>
  <c:spPr>
    <a:ln>
      <a:noFill/>
    </a:ln>
  </c:spPr>
  <c:txPr>
    <a:bodyPr/>
    <a:lstStyle/>
    <a:p>
      <a:pPr>
        <a:defRPr sz="1200" b="1"/>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dc:creator>
  <cp:keywords/>
  <dc:description/>
  <cp:lastModifiedBy>USDA Forest Service</cp:lastModifiedBy>
  <cp:revision>37</cp:revision>
  <dcterms:created xsi:type="dcterms:W3CDTF">2012-10-11T21:20:00Z</dcterms:created>
  <dcterms:modified xsi:type="dcterms:W3CDTF">2013-06-27T20:13:00Z</dcterms:modified>
</cp:coreProperties>
</file>