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aent5r3w7w2i" w:id="0"/>
      <w:bookmarkEnd w:id="0"/>
      <w:r w:rsidDel="00000000" w:rsidR="00000000" w:rsidRPr="00000000">
        <w:rPr>
          <w:b w:val="1"/>
          <w:color w:val="24292e"/>
          <w:sz w:val="46"/>
          <w:szCs w:val="46"/>
          <w:rtl w:val="0"/>
        </w:rPr>
        <w:t xml:space="preserve">Experiment4 – LED Controlled By Smart Phone</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wepg8qek057"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 Smart Phone controlled LED such that when we push the ON button on our Smart Phone APP, the LED starts glowing and when we push the OFF button, the LED stops glowing.</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usnm3uhukv9r"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LED, Resistance - 220ohm, Breadboard, Wires, Bluetooth Module.</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64lzpx16plpz"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943600" cy="4114800"/>
            <wp:effectExtent b="0" l="0" r="0" t="0"/>
            <wp:docPr descr="Exp4" id="1" name="image1.jpg"/>
            <a:graphic>
              <a:graphicData uri="http://schemas.openxmlformats.org/drawingml/2006/picture">
                <pic:pic>
                  <pic:nvPicPr>
                    <pic:cNvPr descr="Exp4" id="0" name="image1.jp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ls1hkretkxa"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LEDs: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00000" w:rsidDel="00000000" w:rsidP="00000000" w:rsidRDefault="00000000" w:rsidRPr="00000000" w14:paraId="0000000C">
      <w:pPr>
        <w:shd w:fill="ffffff" w:val="clear"/>
        <w:spacing w:after="240" w:lineRule="auto"/>
        <w:rPr>
          <w:i w:val="1"/>
          <w:color w:val="24292e"/>
          <w:sz w:val="24"/>
          <w:szCs w:val="24"/>
        </w:rPr>
      </w:pPr>
      <w:r w:rsidDel="00000000" w:rsidR="00000000" w:rsidRPr="00000000">
        <w:rPr>
          <w:i w:val="1"/>
          <w:color w:val="24292e"/>
          <w:sz w:val="24"/>
          <w:szCs w:val="24"/>
          <w:rtl w:val="0"/>
        </w:rPr>
        <w:t xml:space="preserve">Bluetooth - HC5:</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=&gt; For the communication between mobile and microcontroller, Bluetooth module (HC-5) is used.</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=&gt; Low Power 1.8V operation, 1.8 to 3.6V InputOutput.</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=&gt; Serial port Bluetooth module have a Bluetooth 2.0+EDR (Enhanced Data Rate), 3Mbps modulation with complete 2.4GHz radio transceiver and baseband.</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=&gt; Using Bluetooth profile and android platform architecture different type of Bluetooth applications can be developed.\</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13">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yxtmkmg72oc"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7">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5o4ncij7hb58"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9">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C">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Desired resistance should be used.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