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POC Report: AI for Demand &amp; Supply Optimization</w:t>
      </w:r>
    </w:p>
    <w:p>
      <w:pPr>
        <w:pStyle w:val="Heading3"/>
        <w:keepNext/>
      </w:pPr>
      <w:r>
        <w:rPr/>
        <w:t>Eastwater proof of concept: final report, draft for review</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814"/>
        <w:gridCol w:w="7823"/>
      </w:tblGrid>
      <w:tr>
        <w:trPr>
          <w:cantSplit/>
        </w:trPr>
        <w:tc>
          <w:tcPr>
            <w:tcW w:type="dxa" w:w="1814"/>
            <w:shd w:val="clear" w:color="auto" w:fill="EEF2F6"/>
          </w:tcPr>
          <w:p>
            <w:pPr>
              <w:spacing w:after="0" w:line="240" w:lineRule="auto"/>
            </w:pPr>
            <w:r>
              <w:rPr>
                <w:b/>
                <w:sz w:val="19"/>
              </w:rPr>
              <w:t>Date</w:t>
            </w:r>
          </w:p>
        </w:tc>
        <w:tc>
          <w:tcPr>
            <w:tcW w:type="dxa" w:w="7824"/>
          </w:tcPr>
          <w:p>
            <w:pPr>
              <w:spacing w:after="0" w:line="240" w:lineRule="auto"/>
            </w:pPr>
            <w:r>
              <w:rPr>
                <w:sz w:val="19"/>
              </w:rPr>
              <w:t>16 October 2026</w:t>
            </w:r>
          </w:p>
        </w:tc>
      </w:tr>
      <w:tr>
        <w:trPr>
          <w:cantSplit/>
        </w:trPr>
        <w:tc>
          <w:tcPr>
            <w:tcW w:type="dxa" w:w="1814"/>
            <w:shd w:val="clear" w:color="auto" w:fill="EEF2F6"/>
          </w:tcPr>
          <w:p>
            <w:pPr>
              <w:spacing w:after="0" w:line="240" w:lineRule="auto"/>
            </w:pPr>
            <w:r>
              <w:rPr>
                <w:b/>
                <w:sz w:val="19"/>
              </w:rPr>
              <w:t>Version</w:t>
            </w:r>
          </w:p>
        </w:tc>
        <w:tc>
          <w:tcPr>
            <w:tcW w:type="dxa" w:w="7824"/>
          </w:tcPr>
          <w:p>
            <w:pPr>
              <w:spacing w:after="0" w:line="240" w:lineRule="auto"/>
            </w:pPr>
            <w:r>
              <w:rPr>
                <w:sz w:val="19"/>
              </w:rPr>
              <w:t>Draft 1.1: adds the storage what-if and cost per m³ by source</w:t>
            </w:r>
          </w:p>
        </w:tc>
      </w:tr>
      <w:tr>
        <w:trPr>
          <w:cantSplit/>
        </w:trPr>
        <w:tc>
          <w:tcPr>
            <w:tcW w:type="dxa" w:w="1814"/>
            <w:shd w:val="clear" w:color="auto" w:fill="EEF2F6"/>
          </w:tcPr>
          <w:p>
            <w:pPr>
              <w:spacing w:after="0" w:line="240" w:lineRule="auto"/>
            </w:pPr>
            <w:r>
              <w:rPr>
                <w:b/>
                <w:sz w:val="19"/>
              </w:rPr>
              <w:t>For</w:t>
            </w:r>
          </w:p>
        </w:tc>
        <w:tc>
          <w:tcPr>
            <w:tcW w:type="dxa" w:w="7824"/>
          </w:tcPr>
          <w:p>
            <w:pPr>
              <w:spacing w:after="0" w:line="240" w:lineRule="auto"/>
            </w:pPr>
            <w:r>
              <w:rPr>
                <w:sz w:val="19"/>
              </w:rPr>
              <w:t>Eastwater executive sponsor, operations, data owners and hydraulic-model owner</w:t>
            </w:r>
          </w:p>
        </w:tc>
      </w:tr>
      <w:tr>
        <w:trPr>
          <w:cantSplit/>
        </w:trPr>
        <w:tc>
          <w:tcPr>
            <w:tcW w:type="dxa" w:w="1814"/>
            <w:shd w:val="clear" w:color="auto" w:fill="EEF2F6"/>
          </w:tcPr>
          <w:p>
            <w:pPr>
              <w:spacing w:after="0" w:line="240" w:lineRule="auto"/>
            </w:pPr>
            <w:r>
              <w:rPr>
                <w:b/>
                <w:sz w:val="19"/>
              </w:rPr>
              <w:t>Basis</w:t>
            </w:r>
          </w:p>
        </w:tc>
        <w:tc>
          <w:tcPr>
            <w:tcW w:type="dxa" w:w="7824"/>
          </w:tcPr>
          <w:p>
            <w:pPr>
              <w:spacing w:after="0" w:line="240" w:lineRule="auto"/>
            </w:pPr>
            <w:r>
              <w:rPr>
                <w:sz w:val="19"/>
              </w:rPr>
              <w:t xml:space="preserve">POC analysis outputs at commit </w:t>
            </w:r>
            <w:r>
              <w:rPr>
                <w:rFonts w:ascii="Consolas" w:hAnsi="Consolas" w:cs="Leelawadee UI"/>
                <w:sz w:val="17"/>
              </w:rPr>
              <w:t>0cb9d3d</w:t>
            </w:r>
            <w:r>
              <w:rPr>
                <w:sz w:val="19"/>
              </w:rPr>
              <w:t xml:space="preserve"> of the POC repository, the storage what-if (</w:t>
            </w:r>
            <w:r>
              <w:rPr>
                <w:rFonts w:ascii="Consolas" w:hAnsi="Consolas" w:cs="Leelawadee UI"/>
                <w:sz w:val="17"/>
              </w:rPr>
              <w:t>reports/matlab/whatif_storage_sources.md</w:t>
            </w:r>
            <w:r>
              <w:rPr>
                <w:sz w:val="19"/>
              </w:rPr>
              <w:t xml:space="preserve">), and the proposal deck </w:t>
            </w:r>
            <w:r>
              <w:rPr>
                <w:i/>
                <w:sz w:val="19"/>
              </w:rPr>
              <w:t>AI for Demand &amp; Supply Optimization</w:t>
            </w:r>
            <w:r>
              <w:rPr>
                <w:sz w:val="19"/>
              </w:rPr>
              <w:t xml:space="preserve"> v3</w:t>
            </w:r>
          </w:p>
        </w:tc>
      </w:tr>
      <w:tr>
        <w:trPr>
          <w:cantSplit/>
        </w:trPr>
        <w:tc>
          <w:tcPr>
            <w:tcW w:type="dxa" w:w="1814"/>
            <w:shd w:val="clear" w:color="auto" w:fill="EEF2F6"/>
          </w:tcPr>
          <w:p>
            <w:pPr>
              <w:spacing w:after="0" w:line="240" w:lineRule="auto"/>
            </w:pPr>
            <w:r>
              <w:rPr>
                <w:b/>
                <w:sz w:val="19"/>
              </w:rPr>
              <w:t>Confidentiality</w:t>
            </w:r>
          </w:p>
        </w:tc>
        <w:tc>
          <w:tcPr>
            <w:tcW w:type="dxa" w:w="7824"/>
          </w:tcPr>
          <w:p>
            <w:pPr>
              <w:spacing w:after="0" w:line="240" w:lineRule="auto"/>
            </w:pPr>
            <w:r>
              <w:rPr>
                <w:sz w:val="19"/>
              </w:rPr>
              <w:t>Contains Eastwater data shared under NDA. Do not circulate outside the NDA.</w:t>
            </w:r>
          </w:p>
        </w:tc>
      </w:tr>
    </w:tbl>
    <w:p>
      <w:pPr>
        <w:spacing w:after="40"/>
      </w:pPr>
    </w:p>
    <w:p>
      <w:r>
        <w:rPr>
          <w:b/>
        </w:rPr>
        <w:t>Reading guide.</w:t>
      </w:r>
      <w:r>
        <w:rPr/>
        <w:t xml:space="preserve"> For a 10-minute read: Section 1, then Sections 7.3 and 8. Each figure carries a source tag such as [PP]; Appendix A maps each tag to its file. </w:t>
      </w:r>
      <w:r>
        <w:rPr>
          <w:i/>
        </w:rPr>
        <w:t>Derived</w:t>
      </w:r>
      <w:r>
        <w:rPr/>
        <w:t xml:space="preserve"> marks simple arithmetic on sourced figures, with the sum shown. Assumptions are tagged A1 to A11 (Section 2.3). The Go/No-Go thresholds in Section 7 are proposals to agree with Eastwater, not results.</w:t>
      </w:r>
    </w:p>
    <w:p>
      <w:r>
        <w:rPr>
          <w:b/>
        </w:rPr>
        <w:t>Contents.</w:t>
      </w:r>
      <w:r>
        <w:rPr/>
        <w:t xml:space="preserve"> 1 Executive summary · 2 Scope, data and assumptions · 3 Demo recommendation · 4 Baseline KPIs · 5 Data-gap report · 6 Validation report · 7 Go/No-Go criteria for QW1–QW4 · 8 Pilot area · 9 Risks and mitigations · 10 Next steps · Appendix A Sources · Appendix B Glossary</w:t>
      </w:r>
    </w:p>
    <w:p>
      <w:r>
        <w:br w:type="page"/>
      </w:r>
    </w:p>
    <w:p>
      <w:pPr>
        <w:pStyle w:val="Heading1"/>
      </w:pPr>
      <w:r>
        <w:rPr/>
        <w:t>1. Executive summary</w:t>
      </w:r>
    </w:p>
    <w:p>
      <w:pPr>
        <w:keepNext/>
      </w:pPr>
      <w:r>
        <w:rPr>
          <w:b/>
        </w:rPr>
        <w:t>What we tested.</w:t>
      </w:r>
      <w:r>
        <w:rPr/>
        <w:t xml:space="preserve"> The proposal's decision chain: forecast demand, optimise pumping into Plans A, B and C, check each plan in a pipe-network model (EPANET), then let the operator decide [DECK 3]. Forecasting was tested on the Bang Phra reservoir daily report (Chonburi, 1990–2025) [DQ] and pump planning on the EPANET model of the Rayong network [EP], because the two data sets cover different areas.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4209"/>
        <w:gridCol w:w="4379"/>
        <w:gridCol w:w="1048"/>
      </w:tblGrid>
      <w:tr>
        <w:trPr>
          <w:cantSplit/>
          <w:tblHeader/>
        </w:trPr>
        <w:tc>
          <w:tcPr>
            <w:tcW w:type="dxa" w:w="4210"/>
            <w:shd w:val="clear" w:color="auto" w:fill="DCE6EF"/>
          </w:tcPr>
          <w:p>
            <w:pPr>
              <w:keepNext/>
              <w:spacing w:after="0" w:line="240" w:lineRule="auto"/>
            </w:pPr>
            <w:r>
              <w:rPr>
                <w:b/>
                <w:sz w:val="18"/>
              </w:rPr>
              <w:t>POC scorecard</w:t>
            </w:r>
          </w:p>
        </w:tc>
        <w:tc>
          <w:tcPr>
            <w:tcW w:type="dxa" w:w="4379"/>
            <w:shd w:val="clear" w:color="auto" w:fill="DCE6EF"/>
          </w:tcPr>
          <w:p>
            <w:pPr>
              <w:keepNext/>
              <w:spacing w:after="0" w:line="240" w:lineRule="auto"/>
            </w:pPr>
            <w:r>
              <w:rPr>
                <w:b/>
                <w:sz w:val="18"/>
              </w:rPr>
              <w:t>Result</w:t>
            </w:r>
          </w:p>
        </w:tc>
        <w:tc>
          <w:tcPr>
            <w:tcW w:type="dxa" w:w="1049"/>
            <w:shd w:val="clear" w:color="auto" w:fill="DCE6EF"/>
          </w:tcPr>
          <w:p>
            <w:pPr>
              <w:keepNext/>
              <w:spacing w:after="0" w:line="240" w:lineRule="auto"/>
            </w:pPr>
            <w:r>
              <w:rPr>
                <w:b/>
                <w:sz w:val="18"/>
              </w:rPr>
              <w:t>Source</w:t>
            </w:r>
          </w:p>
        </w:tc>
      </w:tr>
      <w:tr>
        <w:trPr>
          <w:cantSplit/>
        </w:trPr>
        <w:tc>
          <w:tcPr>
            <w:tcW w:type="dxa" w:w="4210"/>
          </w:tcPr>
          <w:p>
            <w:pPr>
              <w:spacing w:after="0" w:line="240" w:lineRule="auto"/>
            </w:pPr>
            <w:r>
              <w:rPr>
                <w:sz w:val="18"/>
              </w:rPr>
              <w:t>Forecast error, PWA Chonburi draw, 1 / 7 days ahead</w:t>
            </w:r>
          </w:p>
        </w:tc>
        <w:tc>
          <w:tcPr>
            <w:tcW w:type="dxa" w:w="4379"/>
          </w:tcPr>
          <w:p>
            <w:pPr>
              <w:spacing w:after="0" w:line="240" w:lineRule="auto"/>
            </w:pPr>
            <w:r>
              <w:rPr>
                <w:sz w:val="18"/>
              </w:rPr>
              <w:t>3.4% / 4.5%</w:t>
            </w:r>
          </w:p>
        </w:tc>
        <w:tc>
          <w:tcPr>
            <w:tcW w:type="dxa" w:w="1049"/>
          </w:tcPr>
          <w:p>
            <w:pPr>
              <w:spacing w:after="0" w:line="240" w:lineRule="auto"/>
            </w:pPr>
            <w:r>
              <w:rPr>
                <w:sz w:val="18"/>
              </w:rPr>
              <w:t>[BT]</w:t>
            </w:r>
          </w:p>
        </w:tc>
      </w:tr>
      <w:tr>
        <w:trPr>
          <w:cantSplit/>
        </w:trPr>
        <w:tc>
          <w:tcPr>
            <w:tcW w:type="dxa" w:w="4210"/>
          </w:tcPr>
          <w:p>
            <w:pPr>
              <w:spacing w:after="0" w:line="240" w:lineRule="auto"/>
            </w:pPr>
            <w:r>
              <w:rPr>
                <w:sz w:val="18"/>
              </w:rPr>
              <w:t>Energy cost per m³, model, assumed tariff (A1)</w:t>
            </w:r>
          </w:p>
        </w:tc>
        <w:tc>
          <w:tcPr>
            <w:tcW w:type="dxa" w:w="4379"/>
          </w:tcPr>
          <w:p>
            <w:pPr>
              <w:spacing w:after="0" w:line="240" w:lineRule="auto"/>
            </w:pPr>
            <w:r>
              <w:rPr>
                <w:sz w:val="18"/>
              </w:rPr>
              <w:t>0.85 THB (tanks held lower); 0.92 (85% full); 0.96 (as supplied)</w:t>
            </w:r>
          </w:p>
        </w:tc>
        <w:tc>
          <w:tcPr>
            <w:tcW w:type="dxa" w:w="1049"/>
          </w:tcPr>
          <w:p>
            <w:pPr>
              <w:spacing w:after="0" w:line="240" w:lineRule="auto"/>
            </w:pPr>
            <w:r>
              <w:rPr>
                <w:sz w:val="18"/>
              </w:rPr>
              <w:t>[WK, PK]</w:t>
            </w:r>
          </w:p>
        </w:tc>
      </w:tr>
      <w:tr>
        <w:trPr>
          <w:cantSplit/>
        </w:trPr>
        <w:tc>
          <w:tcPr>
            <w:tcW w:type="dxa" w:w="4210"/>
          </w:tcPr>
          <w:p>
            <w:pPr>
              <w:spacing w:after="0" w:line="240" w:lineRule="auto"/>
            </w:pPr>
            <w:r>
              <w:rPr>
                <w:sz w:val="18"/>
              </w:rPr>
              <w:t>Plans A/B/C passing the hydraulic check</w:t>
            </w:r>
          </w:p>
        </w:tc>
        <w:tc>
          <w:tcPr>
            <w:tcW w:type="dxa" w:w="4379"/>
          </w:tcPr>
          <w:p>
            <w:pPr>
              <w:spacing w:after="0" w:line="240" w:lineRule="auto"/>
            </w:pPr>
            <w:r>
              <w:rPr>
                <w:sz w:val="18"/>
              </w:rPr>
              <w:t>1 of 3, 33% (Plan B; A and C rejected)</w:t>
            </w:r>
          </w:p>
        </w:tc>
        <w:tc>
          <w:tcPr>
            <w:tcW w:type="dxa" w:w="1049"/>
          </w:tcPr>
          <w:p>
            <w:pPr>
              <w:spacing w:after="0" w:line="240" w:lineRule="auto"/>
            </w:pPr>
            <w:r>
              <w:rPr>
                <w:sz w:val="18"/>
              </w:rPr>
              <w:t>[PP]</w:t>
            </w:r>
          </w:p>
        </w:tc>
      </w:tr>
      <w:tr>
        <w:trPr>
          <w:cantSplit/>
        </w:trPr>
        <w:tc>
          <w:tcPr>
            <w:tcW w:type="dxa" w:w="4210"/>
          </w:tcPr>
          <w:p>
            <w:pPr>
              <w:spacing w:after="0" w:line="240" w:lineRule="auto"/>
            </w:pPr>
            <w:r>
              <w:rPr>
                <w:sz w:val="18"/>
              </w:rPr>
              <w:t>Saving from off-peak pumping (model)</w:t>
            </w:r>
          </w:p>
        </w:tc>
        <w:tc>
          <w:tcPr>
            <w:tcW w:type="dxa" w:w="4379"/>
          </w:tcPr>
          <w:p>
            <w:pPr>
              <w:spacing w:after="0" w:line="240" w:lineRule="auto"/>
            </w:pPr>
            <w:r>
              <w:rPr>
                <w:sz w:val="18"/>
              </w:rPr>
              <w:t>about 0%; at most 0.9% with 10× the tank storage</w:t>
            </w:r>
          </w:p>
        </w:tc>
        <w:tc>
          <w:tcPr>
            <w:tcW w:type="dxa" w:w="1049"/>
          </w:tcPr>
          <w:p>
            <w:pPr>
              <w:spacing w:after="0" w:line="240" w:lineRule="auto"/>
            </w:pPr>
            <w:r>
              <w:rPr>
                <w:sz w:val="18"/>
              </w:rPr>
              <w:t>[RM, WI]</w:t>
            </w:r>
          </w:p>
        </w:tc>
      </w:tr>
      <w:tr>
        <w:trPr>
          <w:cantSplit/>
        </w:trPr>
        <w:tc>
          <w:tcPr>
            <w:tcW w:type="dxa" w:w="4210"/>
          </w:tcPr>
          <w:p>
            <w:pPr>
              <w:spacing w:after="0" w:line="240" w:lineRule="auto"/>
            </w:pPr>
            <w:r>
              <w:rPr>
                <w:sz w:val="18"/>
              </w:rPr>
              <w:t>Saving from holding the head tanks lower (model)</w:t>
            </w:r>
          </w:p>
        </w:tc>
        <w:tc>
          <w:tcPr>
            <w:tcW w:type="dxa" w:w="4379"/>
          </w:tcPr>
          <w:p>
            <w:pPr>
              <w:spacing w:after="0" w:line="240" w:lineRule="auto"/>
            </w:pPr>
            <w:r>
              <w:rPr>
                <w:sz w:val="18"/>
              </w:rPr>
              <w:t>7.5% less energy, if Eastwater's tank limits allow</w:t>
            </w:r>
          </w:p>
        </w:tc>
        <w:tc>
          <w:tcPr>
            <w:tcW w:type="dxa" w:w="1049"/>
          </w:tcPr>
          <w:p>
            <w:pPr>
              <w:spacing w:after="0" w:line="240" w:lineRule="auto"/>
            </w:pPr>
            <w:r>
              <w:rPr>
                <w:sz w:val="18"/>
              </w:rPr>
              <w:t>[WI]</w:t>
            </w:r>
          </w:p>
        </w:tc>
      </w:tr>
      <w:tr>
        <w:trPr>
          <w:cantSplit/>
        </w:trPr>
        <w:tc>
          <w:tcPr>
            <w:tcW w:type="dxa" w:w="4210"/>
          </w:tcPr>
          <w:p>
            <w:pPr>
              <w:spacing w:after="0" w:line="240" w:lineRule="auto"/>
            </w:pPr>
            <w:r>
              <w:rPr>
                <w:sz w:val="18"/>
              </w:rPr>
              <w:t>Saving against today's operation</w:t>
            </w:r>
          </w:p>
        </w:tc>
        <w:tc>
          <w:tcPr>
            <w:tcW w:type="dxa" w:w="4379"/>
          </w:tcPr>
          <w:p>
            <w:pPr>
              <w:spacing w:after="0" w:line="240" w:lineRule="auto"/>
            </w:pPr>
            <w:r>
              <w:rPr>
                <w:sz w:val="18"/>
              </w:rPr>
              <w:t>Unknown until Eastwater's data arrives</w:t>
            </w:r>
          </w:p>
        </w:tc>
        <w:tc>
          <w:tcPr>
            <w:tcW w:type="dxa" w:w="1049"/>
          </w:tcPr>
          <w:p>
            <w:pPr>
              <w:spacing w:after="0" w:line="240" w:lineRule="auto"/>
            </w:pPr>
            <w:r>
              <w:rPr>
                <w:sz w:val="18"/>
              </w:rPr>
              <w:t>Section 5</w:t>
            </w:r>
          </w:p>
        </w:tc>
      </w:tr>
      <w:tr>
        <w:trPr>
          <w:cantSplit/>
        </w:trPr>
        <w:tc>
          <w:tcPr>
            <w:tcW w:type="dxa" w:w="4210"/>
          </w:tcPr>
          <w:p>
            <w:pPr>
              <w:spacing w:after="0" w:line="240" w:lineRule="auto"/>
            </w:pPr>
            <w:r>
              <w:rPr>
                <w:sz w:val="18"/>
              </w:rPr>
              <w:t>Computer time per full planning run</w:t>
            </w:r>
          </w:p>
        </w:tc>
        <w:tc>
          <w:tcPr>
            <w:tcW w:type="dxa" w:w="4379"/>
          </w:tcPr>
          <w:p>
            <w:pPr>
              <w:spacing w:after="0" w:line="240" w:lineRule="auto"/>
            </w:pPr>
            <w:r>
              <w:rPr>
                <w:sz w:val="18"/>
              </w:rPr>
              <w:t>about 25 minutes, every plan checked</w:t>
            </w:r>
          </w:p>
        </w:tc>
        <w:tc>
          <w:tcPr>
            <w:tcW w:type="dxa" w:w="1049"/>
          </w:tcPr>
          <w:p>
            <w:pPr>
              <w:spacing w:after="0" w:line="240" w:lineRule="auto"/>
            </w:pPr>
            <w:r>
              <w:rPr>
                <w:sz w:val="18"/>
              </w:rPr>
              <w:t>[RM]</w:t>
            </w:r>
          </w:p>
        </w:tc>
      </w:tr>
    </w:tbl>
    <w:p>
      <w:pPr>
        <w:spacing w:after="40"/>
      </w:pPr>
    </w:p>
    <w:p>
      <w:pPr>
        <w:pStyle w:val="Heading3"/>
      </w:pPr>
      <w:r>
        <w:rPr/>
        <w:t>What the POC shows</w:t>
      </w:r>
    </w:p>
    <w:p>
      <w:pPr>
        <w:tabs>
          <w:tab w:pos="369" w:val="left"/>
        </w:tabs>
        <w:spacing w:after="60"/>
        <w:ind w:left="369" w:hanging="369"/>
      </w:pPr>
      <w:r>
        <w:t>1.</w:t>
        <w:tab/>
      </w:r>
      <w:r>
        <w:rPr>
          <w:b/>
        </w:rPr>
        <w:t>The hydraulic check is essential.</w:t>
      </w:r>
      <w:r>
        <w:rPr/>
        <w:t xml:space="preserve"> It rejected Plans A and C, two of the three cost-optimised plans. Plan A looked 3.3% cheaper, but would have left an elevated tank 8.3 m low and the customer Burapa below its pressure target [PP, RM].</w:t>
      </w:r>
    </w:p>
    <w:p>
      <w:pPr>
        <w:tabs>
          <w:tab w:pos="369" w:val="left"/>
        </w:tabs>
        <w:spacing w:after="60"/>
        <w:ind w:left="369" w:hanging="369"/>
      </w:pPr>
      <w:r>
        <w:t>2.</w:t>
        <w:tab/>
      </w:r>
      <w:r>
        <w:rPr>
          <w:b/>
        </w:rPr>
        <w:t>Off-peak pumping saves about 0%, and bigger tanks would not change that.</w:t>
      </w:r>
      <w:r>
        <w:rPr/>
        <w:t xml:space="preserve"> Even 10 times today's tank storage (about 16,400 m³, roughly 34 minutes of the model's full demand [RM]) saves only 0.9%, about 1.3 million THB a year before building costs [WI]. The limit is the pumps: running more at once raises the head they pump against (NPL3: 60 m with one pump, 86 m with six) [WI].</w:t>
      </w:r>
    </w:p>
    <w:p>
      <w:pPr>
        <w:tabs>
          <w:tab w:pos="369" w:val="left"/>
        </w:tabs>
        <w:spacing w:after="60"/>
        <w:ind w:left="369" w:hanging="369"/>
      </w:pPr>
      <w:r>
        <w:t>3.</w:t>
        <w:tab/>
      </w:r>
      <w:r>
        <w:rPr>
          <w:b/>
        </w:rPr>
        <w:t>The main saving lever found: hold the head tanks lower.</w:t>
      </w:r>
      <w:r>
        <w:rPr/>
        <w:t xml:space="preserve"> Keeping them only as full as the customer pressure floors need uses 7.5% less energy than starting and ending the day 85% full (412,713 against 448,393 THB/day at the assumed tariff); both plans pass the hydraulic check [WI, PP]. No new assets are needed, but less water stays in reserve, so it is Eastwater's operating decision: NPL3_HT must stay above about 35% full (55% with no TM Pond pump running) [WI]. Source choice is the next lever: NPL3 with one pump uses 0.219 kWh/m³, TM Pond with two 0.348 [WI].</w:t>
      </w:r>
    </w:p>
    <w:p>
      <w:pPr>
        <w:tabs>
          <w:tab w:pos="369" w:val="left"/>
        </w:tabs>
        <w:spacing w:after="60"/>
        <w:ind w:left="369" w:hanging="369"/>
      </w:pPr>
      <w:r>
        <w:t>4.</w:t>
        <w:tab/>
      </w:r>
      <w:r>
        <w:rPr>
          <w:b/>
        </w:rPr>
        <w:t>There may be a capacity gap.</w:t>
      </w:r>
      <w:r>
        <w:rPr/>
        <w:t xml:space="preserve"> At the model's full demand of 688,403 m³/day, the NPL3 tank drains by about 18,600 m³/day even with all 14 usable pumps [PP, RM]. Either nodes 71 and 678 (100,000 m³/day each) are placeholders, or the NPL3 zone is short of capacity [EN, RM].</w:t>
      </w:r>
    </w:p>
    <w:p>
      <w:pPr>
        <w:tabs>
          <w:tab w:pos="369" w:val="left"/>
        </w:tabs>
        <w:spacing w:after="60"/>
        <w:ind w:left="369" w:hanging="369"/>
      </w:pPr>
      <w:r>
        <w:t>5.</w:t>
        <w:tab/>
      </w:r>
      <w:r>
        <w:rPr>
          <w:b/>
        </w:rPr>
        <w:t>Forecasting works where demand is steady:</w:t>
      </w:r>
      <w:r>
        <w:rPr/>
        <w:t xml:space="preserve"> 3.4% average error a day ahead for PWA Chonburi's draw; the AI model needs known future events, such as contract changes, to beat simple methods [BT, RM]. Without diversions, Bang Phra's chance of falling below 30% within 180 days rises from 0% to 43% (60% at planned use) [SO].</w:t>
      </w:r>
    </w:p>
    <w:p>
      <w:r>
        <w:rPr>
          <w:b/>
        </w:rPr>
        <w:t>Not yet known: the saving against today's operation.</w:t>
      </w:r>
      <w:r>
        <w:rPr/>
        <w:t xml:space="preserve"> The savings above compare model plans with each other. Without pump logs, electricity bills, the actual tariff and customer meter data, today's cost per m³ is unknown. The proposal's 3–5% saving remains an illustration, not a commitment [DECK 5].</w:t>
      </w:r>
    </w:p>
    <w:p>
      <w:r>
        <w:rPr>
          <w:b/>
        </w:rPr>
        <w:t>Recommendation: conditional Go, with Rayong as the pilot area.</w:t>
      </w:r>
      <w:r>
        <w:rPr/>
        <w:t xml:space="preserve"> Rayong is the only area with a pipe model, which QW2 and QW3 need (Section 8). </w:t>
      </w:r>
      <w:r>
        <w:rPr>
          <w:b/>
        </w:rPr>
        <w:t>Go</w:t>
      </w:r>
      <w:r>
        <w:rPr/>
        <w:t xml:space="preserve"> for QW1, and for confirming and calibrating the pipe model, once the Section 5 data arrives. </w:t>
      </w:r>
      <w:r>
        <w:rPr>
          <w:b/>
        </w:rPr>
        <w:t>Hold</w:t>
      </w:r>
      <w:r>
        <w:rPr/>
        <w:t xml:space="preserve"> QW2 and QW4 until today's cost per m³ is measured; QW2 should then target tank levels and source choice rather than off-peak shifting (Section 7).</w:t>
      </w:r>
    </w:p>
    <w:p>
      <w:r>
        <w:rPr>
          <w:b/>
        </w:rPr>
        <w:t>Decisions needed from Eastwater:</w:t>
      </w:r>
      <w:r>
        <w:rPr/>
        <w:t xml:space="preserve"> (1) confirm Rayong as the pilot area; (2) name an owner for each of the seven priority data items (Section 5); (3) set the minimum operating level of each head tank, and have the model owner confirm nodes 71 and 678, TM Pond pumps 3–6 and the source reservoir levels; (4) agree the KPI thresholds (Section 7); (5) schedule an operator walkthrough of the demo (Section 3).</w:t>
      </w:r>
    </w:p>
    <w:p>
      <w:r>
        <w:br w:type="page"/>
      </w:r>
    </w:p>
    <w:p>
      <w:pPr>
        <w:pStyle w:val="Heading1"/>
      </w:pPr>
      <w:r>
        <w:rPr/>
        <w:t>2. Scope, data and assumptions</w:t>
      </w:r>
    </w:p>
    <w:p>
      <w:pPr>
        <w:pStyle w:val="Heading2"/>
      </w:pPr>
      <w:r>
        <w:rPr/>
        <w:t>2.1 What the POC had to deliver</w:t>
      </w:r>
    </w:p>
    <w:p>
      <w:pPr>
        <w:keepNext/>
      </w:pPr>
      <w:r>
        <w:rPr/>
        <w:t>Slide A2 of the proposal lists four outputs for the 4–6-week POC [DECK A2].</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2947"/>
        <w:gridCol w:w="1048"/>
        <w:gridCol w:w="5641"/>
      </w:tblGrid>
      <w:tr>
        <w:trPr>
          <w:cantSplit/>
          <w:tblHeader/>
        </w:trPr>
        <w:tc>
          <w:tcPr>
            <w:tcW w:type="dxa" w:w="2947"/>
            <w:shd w:val="clear" w:color="auto" w:fill="DCE6EF"/>
          </w:tcPr>
          <w:p>
            <w:pPr>
              <w:keepNext/>
              <w:spacing w:after="0" w:line="240" w:lineRule="auto"/>
            </w:pPr>
            <w:r>
              <w:rPr>
                <w:b/>
                <w:sz w:val="18"/>
              </w:rPr>
              <w:t>POC output [DECK A2]</w:t>
            </w:r>
          </w:p>
        </w:tc>
        <w:tc>
          <w:tcPr>
            <w:tcW w:type="dxa" w:w="1049"/>
            <w:shd w:val="clear" w:color="auto" w:fill="DCE6EF"/>
          </w:tcPr>
          <w:p>
            <w:pPr>
              <w:keepNext/>
              <w:spacing w:after="0" w:line="240" w:lineRule="auto"/>
            </w:pPr>
            <w:r>
              <w:rPr>
                <w:b/>
                <w:sz w:val="18"/>
              </w:rPr>
              <w:t>Section</w:t>
            </w:r>
          </w:p>
        </w:tc>
        <w:tc>
          <w:tcPr>
            <w:tcW w:type="dxa" w:w="5642"/>
            <w:shd w:val="clear" w:color="auto" w:fill="DCE6EF"/>
          </w:tcPr>
          <w:p>
            <w:pPr>
              <w:keepNext/>
              <w:spacing w:after="0" w:line="240" w:lineRule="auto"/>
            </w:pPr>
            <w:r>
              <w:rPr>
                <w:b/>
                <w:sz w:val="18"/>
              </w:rPr>
              <w:t>Status</w:t>
            </w:r>
          </w:p>
        </w:tc>
      </w:tr>
      <w:tr>
        <w:trPr>
          <w:cantSplit/>
        </w:trPr>
        <w:tc>
          <w:tcPr>
            <w:tcW w:type="dxa" w:w="2947"/>
          </w:tcPr>
          <w:p>
            <w:pPr>
              <w:spacing w:after="0" w:line="240" w:lineRule="auto"/>
            </w:pPr>
            <w:r>
              <w:rPr>
                <w:sz w:val="18"/>
              </w:rPr>
              <w:t>Demo recommendation for one area</w:t>
            </w:r>
          </w:p>
        </w:tc>
        <w:tc>
          <w:tcPr>
            <w:tcW w:type="dxa" w:w="1049"/>
          </w:tcPr>
          <w:p>
            <w:pPr>
              <w:spacing w:after="0" w:line="240" w:lineRule="auto"/>
            </w:pPr>
            <w:r>
              <w:rPr>
                <w:sz w:val="18"/>
              </w:rPr>
              <w:t>3</w:t>
            </w:r>
          </w:p>
        </w:tc>
        <w:tc>
          <w:tcPr>
            <w:tcW w:type="dxa" w:w="5642"/>
          </w:tcPr>
          <w:p>
            <w:pPr>
              <w:spacing w:after="0" w:line="240" w:lineRule="auto"/>
            </w:pPr>
            <w:r>
              <w:rPr>
                <w:sz w:val="18"/>
              </w:rPr>
              <w:t>Done for Rayong on model data; not yet on a real operating day</w:t>
            </w:r>
          </w:p>
        </w:tc>
      </w:tr>
      <w:tr>
        <w:trPr>
          <w:cantSplit/>
        </w:trPr>
        <w:tc>
          <w:tcPr>
            <w:tcW w:type="dxa" w:w="2947"/>
          </w:tcPr>
          <w:p>
            <w:pPr>
              <w:spacing w:after="0" w:line="240" w:lineRule="auto"/>
            </w:pPr>
            <w:r>
              <w:rPr>
                <w:sz w:val="18"/>
              </w:rPr>
              <w:t>Baseline KPIs and data gaps</w:t>
            </w:r>
          </w:p>
        </w:tc>
        <w:tc>
          <w:tcPr>
            <w:tcW w:type="dxa" w:w="1049"/>
          </w:tcPr>
          <w:p>
            <w:pPr>
              <w:spacing w:after="0" w:line="240" w:lineRule="auto"/>
            </w:pPr>
            <w:r>
              <w:rPr>
                <w:sz w:val="18"/>
              </w:rPr>
              <w:t>4, 5</w:t>
            </w:r>
          </w:p>
        </w:tc>
        <w:tc>
          <w:tcPr>
            <w:tcW w:type="dxa" w:w="5642"/>
          </w:tcPr>
          <w:p>
            <w:pPr>
              <w:spacing w:after="0" w:line="240" w:lineRule="auto"/>
            </w:pPr>
            <w:r>
              <w:rPr>
                <w:sz w:val="18"/>
              </w:rPr>
              <w:t>KPIs measured on the model and the reservoir data; today's cost and the saving need Eastwater's data</w:t>
            </w:r>
          </w:p>
        </w:tc>
      </w:tr>
      <w:tr>
        <w:trPr>
          <w:cantSplit/>
        </w:trPr>
        <w:tc>
          <w:tcPr>
            <w:tcW w:type="dxa" w:w="2947"/>
          </w:tcPr>
          <w:p>
            <w:pPr>
              <w:spacing w:after="0" w:line="240" w:lineRule="auto"/>
            </w:pPr>
            <w:r>
              <w:rPr>
                <w:sz w:val="18"/>
              </w:rPr>
              <w:t>Validation report</w:t>
            </w:r>
          </w:p>
        </w:tc>
        <w:tc>
          <w:tcPr>
            <w:tcW w:type="dxa" w:w="1049"/>
          </w:tcPr>
          <w:p>
            <w:pPr>
              <w:spacing w:after="0" w:line="240" w:lineRule="auto"/>
            </w:pPr>
            <w:r>
              <w:rPr>
                <w:sz w:val="18"/>
              </w:rPr>
              <w:t>6</w:t>
            </w:r>
          </w:p>
        </w:tc>
        <w:tc>
          <w:tcPr>
            <w:tcW w:type="dxa" w:w="5642"/>
          </w:tcPr>
          <w:p>
            <w:pPr>
              <w:spacing w:after="0" w:line="240" w:lineRule="auto"/>
            </w:pPr>
            <w:r>
              <w:rPr>
                <w:sz w:val="18"/>
              </w:rPr>
              <w:t>Done</w:t>
            </w:r>
          </w:p>
        </w:tc>
      </w:tr>
      <w:tr>
        <w:trPr>
          <w:cantSplit/>
        </w:trPr>
        <w:tc>
          <w:tcPr>
            <w:tcW w:type="dxa" w:w="2947"/>
          </w:tcPr>
          <w:p>
            <w:pPr>
              <w:spacing w:after="0" w:line="240" w:lineRule="auto"/>
            </w:pPr>
            <w:r>
              <w:rPr>
                <w:sz w:val="18"/>
              </w:rPr>
              <w:t>Go/No-Go criteria for QW1–QW4</w:t>
            </w:r>
          </w:p>
        </w:tc>
        <w:tc>
          <w:tcPr>
            <w:tcW w:type="dxa" w:w="1049"/>
          </w:tcPr>
          <w:p>
            <w:pPr>
              <w:spacing w:after="0" w:line="240" w:lineRule="auto"/>
            </w:pPr>
            <w:r>
              <w:rPr>
                <w:sz w:val="18"/>
              </w:rPr>
              <w:t>7</w:t>
            </w:r>
          </w:p>
        </w:tc>
        <w:tc>
          <w:tcPr>
            <w:tcW w:type="dxa" w:w="5642"/>
          </w:tcPr>
          <w:p>
            <w:pPr>
              <w:spacing w:after="0" w:line="240" w:lineRule="auto"/>
            </w:pPr>
            <w:r>
              <w:rPr>
                <w:sz w:val="18"/>
              </w:rPr>
              <w:t>Proposed; thresholds to be agreed with Eastwater</w:t>
            </w:r>
          </w:p>
        </w:tc>
      </w:tr>
    </w:tbl>
    <w:p>
      <w:pPr>
        <w:spacing w:after="40"/>
      </w:pPr>
    </w:p>
    <w:p>
      <w:pPr>
        <w:pStyle w:val="Heading2"/>
        <w:keepNext/>
      </w:pPr>
      <w:r>
        <w:rPr/>
        <w:t>2.2 Data used</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695"/>
        <w:gridCol w:w="1162"/>
        <w:gridCol w:w="3710"/>
        <w:gridCol w:w="2133"/>
        <w:gridCol w:w="935"/>
      </w:tblGrid>
      <w:tr>
        <w:trPr>
          <w:cantSplit/>
          <w:tblHeader/>
        </w:trPr>
        <w:tc>
          <w:tcPr>
            <w:tcW w:type="dxa" w:w="1696"/>
            <w:shd w:val="clear" w:color="auto" w:fill="DCE6EF"/>
          </w:tcPr>
          <w:p>
            <w:pPr>
              <w:keepNext/>
              <w:spacing w:after="0" w:line="240" w:lineRule="auto"/>
            </w:pPr>
            <w:r>
              <w:rPr>
                <w:b/>
                <w:sz w:val="18"/>
              </w:rPr>
              <w:t>Data</w:t>
            </w:r>
          </w:p>
        </w:tc>
        <w:tc>
          <w:tcPr>
            <w:tcW w:type="dxa" w:w="1162"/>
            <w:shd w:val="clear" w:color="auto" w:fill="DCE6EF"/>
          </w:tcPr>
          <w:p>
            <w:pPr>
              <w:keepNext/>
              <w:spacing w:after="0" w:line="240" w:lineRule="auto"/>
            </w:pPr>
            <w:r>
              <w:rPr>
                <w:b/>
                <w:sz w:val="18"/>
              </w:rPr>
              <w:t>Area</w:t>
            </w:r>
          </w:p>
        </w:tc>
        <w:tc>
          <w:tcPr>
            <w:tcW w:type="dxa" w:w="3711"/>
            <w:shd w:val="clear" w:color="auto" w:fill="DCE6EF"/>
          </w:tcPr>
          <w:p>
            <w:pPr>
              <w:keepNext/>
              <w:spacing w:after="0" w:line="240" w:lineRule="auto"/>
            </w:pPr>
            <w:r>
              <w:rPr>
                <w:b/>
                <w:sz w:val="18"/>
              </w:rPr>
              <w:t>Content</w:t>
            </w:r>
          </w:p>
        </w:tc>
        <w:tc>
          <w:tcPr>
            <w:tcW w:type="dxa" w:w="2133"/>
            <w:shd w:val="clear" w:color="auto" w:fill="DCE6EF"/>
          </w:tcPr>
          <w:p>
            <w:pPr>
              <w:keepNext/>
              <w:spacing w:after="0" w:line="240" w:lineRule="auto"/>
            </w:pPr>
            <w:r>
              <w:rPr>
                <w:b/>
                <w:sz w:val="18"/>
              </w:rPr>
              <w:t>Limits</w:t>
            </w:r>
          </w:p>
        </w:tc>
        <w:tc>
          <w:tcPr>
            <w:tcW w:type="dxa" w:w="935"/>
            <w:shd w:val="clear" w:color="auto" w:fill="DCE6EF"/>
          </w:tcPr>
          <w:p>
            <w:pPr>
              <w:keepNext/>
              <w:spacing w:after="0" w:line="240" w:lineRule="auto"/>
            </w:pPr>
            <w:r>
              <w:rPr>
                <w:b/>
                <w:sz w:val="18"/>
              </w:rPr>
              <w:t>Source</w:t>
            </w:r>
          </w:p>
        </w:tc>
      </w:tr>
      <w:tr>
        <w:trPr>
          <w:cantSplit/>
        </w:trPr>
        <w:tc>
          <w:tcPr>
            <w:tcW w:type="dxa" w:w="1696"/>
          </w:tcPr>
          <w:p>
            <w:pPr>
              <w:spacing w:after="0" w:line="240" w:lineRule="auto"/>
            </w:pPr>
            <w:r>
              <w:rPr>
                <w:sz w:val="18"/>
              </w:rPr>
              <w:t xml:space="preserve">Bang Phra reservoir daily report (RID), sheet </w:t>
            </w:r>
            <w:r>
              <w:rPr>
                <w:rFonts w:ascii="Consolas" w:hAnsi="Consolas" w:cs="Leelawadee UI"/>
                <w:sz w:val="16"/>
              </w:rPr>
              <w:t>WB บางพระ</w:t>
            </w:r>
          </w:p>
        </w:tc>
        <w:tc>
          <w:tcPr>
            <w:tcW w:type="dxa" w:w="1162"/>
          </w:tcPr>
          <w:p>
            <w:pPr>
              <w:spacing w:after="0" w:line="240" w:lineRule="auto"/>
            </w:pPr>
            <w:r>
              <w:rPr>
                <w:sz w:val="18"/>
              </w:rPr>
              <w:t>Chonburi</w:t>
            </w:r>
          </w:p>
        </w:tc>
        <w:tc>
          <w:tcPr>
            <w:tcW w:type="dxa" w:w="3711"/>
          </w:tcPr>
          <w:p>
            <w:pPr>
              <w:spacing w:after="0" w:line="240" w:lineRule="auto"/>
            </w:pPr>
            <w:r>
              <w:rPr>
                <w:sz w:val="18"/>
              </w:rPr>
              <w:t>Daily level, storage, inflow, evaporation, diversions and water drawn by each user (PWA Chonburi, Eastwater, Thai Oil, EGAT and others): 12,871 days, 1 Jan 1990 to 28 Mar 2025</w:t>
            </w:r>
          </w:p>
        </w:tc>
        <w:tc>
          <w:tcPr>
            <w:tcW w:type="dxa" w:w="2133"/>
          </w:tcPr>
          <w:p>
            <w:pPr>
              <w:spacing w:after="0" w:line="240" w:lineRule="auto"/>
            </w:pPr>
            <w:r>
              <w:rPr>
                <w:sz w:val="18"/>
              </w:rPr>
              <w:t>Water drawn from the reservoir, not delivered to customers; ends 28 Mar 2025</w:t>
            </w:r>
          </w:p>
        </w:tc>
        <w:tc>
          <w:tcPr>
            <w:tcW w:type="dxa" w:w="935"/>
          </w:tcPr>
          <w:p>
            <w:pPr>
              <w:spacing w:after="0" w:line="240" w:lineRule="auto"/>
            </w:pPr>
            <w:r>
              <w:rPr>
                <w:sz w:val="18"/>
              </w:rPr>
              <w:t>[DQ, RM]</w:t>
            </w:r>
          </w:p>
        </w:tc>
      </w:tr>
      <w:tr>
        <w:trPr>
          <w:cantSplit/>
        </w:trPr>
        <w:tc>
          <w:tcPr>
            <w:tcW w:type="dxa" w:w="1696"/>
          </w:tcPr>
          <w:p>
            <w:pPr>
              <w:spacing w:after="0" w:line="240" w:lineRule="auto"/>
            </w:pPr>
            <w:r>
              <w:rPr>
                <w:sz w:val="18"/>
              </w:rPr>
              <w:t>Bang Phra allocation plan, water year 2024/25</w:t>
            </w:r>
          </w:p>
        </w:tc>
        <w:tc>
          <w:tcPr>
            <w:tcW w:type="dxa" w:w="1162"/>
          </w:tcPr>
          <w:p>
            <w:pPr>
              <w:spacing w:after="0" w:line="240" w:lineRule="auto"/>
            </w:pPr>
            <w:r>
              <w:rPr>
                <w:sz w:val="18"/>
              </w:rPr>
              <w:t>Chonburi</w:t>
            </w:r>
          </w:p>
        </w:tc>
        <w:tc>
          <w:tcPr>
            <w:tcW w:type="dxa" w:w="3711"/>
          </w:tcPr>
          <w:p>
            <w:pPr>
              <w:spacing w:after="0" w:line="240" w:lineRule="auto"/>
            </w:pPr>
            <w:r>
              <w:rPr>
                <w:sz w:val="18"/>
              </w:rPr>
              <w:t>Planned daily draw per user</w:t>
            </w:r>
          </w:p>
        </w:tc>
        <w:tc>
          <w:tcPr>
            <w:tcW w:type="dxa" w:w="2133"/>
          </w:tcPr>
          <w:p>
            <w:pPr>
              <w:spacing w:after="0" w:line="240" w:lineRule="auto"/>
            </w:pPr>
            <w:r>
              <w:rPr>
                <w:sz w:val="18"/>
              </w:rPr>
              <w:t>One water year</w:t>
            </w:r>
          </w:p>
        </w:tc>
        <w:tc>
          <w:tcPr>
            <w:tcW w:type="dxa" w:w="935"/>
          </w:tcPr>
          <w:p>
            <w:pPr>
              <w:spacing w:after="0" w:line="240" w:lineRule="auto"/>
            </w:pPr>
            <w:r>
              <w:rPr>
                <w:sz w:val="18"/>
              </w:rPr>
              <w:t>[DQ, RM]</w:t>
            </w:r>
          </w:p>
        </w:tc>
      </w:tr>
      <w:tr>
        <w:trPr>
          <w:cantSplit/>
        </w:trPr>
        <w:tc>
          <w:tcPr>
            <w:tcW w:type="dxa" w:w="1696"/>
          </w:tcPr>
          <w:p>
            <w:pPr>
              <w:spacing w:after="0" w:line="240" w:lineRule="auto"/>
            </w:pPr>
            <w:r>
              <w:rPr>
                <w:sz w:val="18"/>
              </w:rPr>
              <w:t xml:space="preserve">EPANET model </w:t>
            </w:r>
            <w:r>
              <w:rPr>
                <w:rFonts w:ascii="Consolas" w:hAnsi="Consolas" w:cs="Leelawadee UI"/>
                <w:sz w:val="16"/>
              </w:rPr>
              <w:t>Demand-2023 v20RY to MTP new TM2P.inp</w:t>
            </w:r>
          </w:p>
        </w:tc>
        <w:tc>
          <w:tcPr>
            <w:tcW w:type="dxa" w:w="1162"/>
          </w:tcPr>
          <w:p>
            <w:pPr>
              <w:spacing w:after="0" w:line="240" w:lineRule="auto"/>
            </w:pPr>
            <w:r>
              <w:rPr>
                <w:sz w:val="18"/>
              </w:rPr>
              <w:t>Rayong</w:t>
            </w:r>
          </w:p>
        </w:tc>
        <w:tc>
          <w:tcPr>
            <w:tcW w:type="dxa" w:w="3711"/>
          </w:tcPr>
          <w:p>
            <w:pPr>
              <w:spacing w:after="0" w:line="240" w:lineRule="auto"/>
            </w:pPr>
            <w:r>
              <w:rPr>
                <w:sz w:val="18"/>
              </w:rPr>
              <w:t>1,416 junctions, 1,373 pipes, 18 pumps, 49 valves, 3 source reservoirs, 2 elevated (head) tanks, 28 customer demand nodes totalling 688,403 m³/day</w:t>
            </w:r>
          </w:p>
        </w:tc>
        <w:tc>
          <w:tcPr>
            <w:tcW w:type="dxa" w:w="2133"/>
          </w:tcPr>
          <w:p>
            <w:pPr>
              <w:spacing w:after="0" w:line="240" w:lineRule="auto"/>
            </w:pPr>
            <w:r>
              <w:rPr>
                <w:sz w:val="18"/>
              </w:rPr>
              <w:t>One fixed demand per node; no demand patterns, controls or energy prices</w:t>
            </w:r>
          </w:p>
        </w:tc>
        <w:tc>
          <w:tcPr>
            <w:tcW w:type="dxa" w:w="935"/>
          </w:tcPr>
          <w:p>
            <w:pPr>
              <w:spacing w:after="0" w:line="240" w:lineRule="auto"/>
            </w:pPr>
            <w:r>
              <w:rPr>
                <w:sz w:val="18"/>
              </w:rPr>
              <w:t>[EP]</w:t>
            </w:r>
          </w:p>
        </w:tc>
      </w:tr>
    </w:tbl>
    <w:p>
      <w:pPr>
        <w:spacing w:after="40"/>
      </w:pPr>
    </w:p>
    <w:p>
      <w:r>
        <w:rPr/>
        <w:t>No pump logs, electricity bills, tariff, customer meter or SCADA data were available. Because the two data sets cover different areas, the full chain has not yet run on one area with real data.</w:t>
      </w:r>
    </w:p>
    <w:p>
      <w:pPr>
        <w:pStyle w:val="Heading2"/>
      </w:pPr>
      <w:r>
        <w:rPr/>
        <w:t>2.3 Assumptions register</w:t>
      </w:r>
    </w:p>
    <w:p>
      <w:pPr>
        <w:keepNext/>
      </w:pPr>
      <w:r>
        <w:rPr/>
        <w:t>Every result that depends on an assumption carries its tag.</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595"/>
        <w:gridCol w:w="4988"/>
        <w:gridCol w:w="1955"/>
        <w:gridCol w:w="1162"/>
        <w:gridCol w:w="935"/>
      </w:tblGrid>
      <w:tr>
        <w:trPr>
          <w:cantSplit/>
          <w:tblHeader/>
        </w:trPr>
        <w:tc>
          <w:tcPr>
            <w:tcW w:type="dxa" w:w="595"/>
            <w:shd w:val="clear" w:color="auto" w:fill="DCE6EF"/>
          </w:tcPr>
          <w:p>
            <w:pPr>
              <w:keepNext/>
              <w:spacing w:after="0" w:line="240" w:lineRule="auto"/>
            </w:pPr>
            <w:r>
              <w:rPr>
                <w:b/>
                <w:sz w:val="18"/>
              </w:rPr>
              <w:t>Tag</w:t>
            </w:r>
          </w:p>
        </w:tc>
        <w:tc>
          <w:tcPr>
            <w:tcW w:type="dxa" w:w="4989"/>
            <w:shd w:val="clear" w:color="auto" w:fill="DCE6EF"/>
          </w:tcPr>
          <w:p>
            <w:pPr>
              <w:keepNext/>
              <w:spacing w:after="0" w:line="240" w:lineRule="auto"/>
            </w:pPr>
            <w:r>
              <w:rPr>
                <w:b/>
                <w:sz w:val="18"/>
              </w:rPr>
              <w:t>Assumption</w:t>
            </w:r>
          </w:p>
        </w:tc>
        <w:tc>
          <w:tcPr>
            <w:tcW w:type="dxa" w:w="1956"/>
            <w:shd w:val="clear" w:color="auto" w:fill="DCE6EF"/>
          </w:tcPr>
          <w:p>
            <w:pPr>
              <w:keepNext/>
              <w:spacing w:after="0" w:line="240" w:lineRule="auto"/>
            </w:pPr>
            <w:r>
              <w:rPr>
                <w:b/>
                <w:sz w:val="18"/>
              </w:rPr>
              <w:t>Used in</w:t>
            </w:r>
          </w:p>
        </w:tc>
        <w:tc>
          <w:tcPr>
            <w:tcW w:type="dxa" w:w="1162"/>
            <w:shd w:val="clear" w:color="auto" w:fill="DCE6EF"/>
          </w:tcPr>
          <w:p>
            <w:pPr>
              <w:keepNext/>
              <w:spacing w:after="0" w:line="240" w:lineRule="auto"/>
            </w:pPr>
            <w:r>
              <w:rPr>
                <w:b/>
                <w:sz w:val="18"/>
              </w:rPr>
              <w:t>Closed by (Section 5 item)</w:t>
            </w:r>
          </w:p>
        </w:tc>
        <w:tc>
          <w:tcPr>
            <w:tcW w:type="dxa" w:w="935"/>
            <w:shd w:val="clear" w:color="auto" w:fill="DCE6EF"/>
          </w:tcPr>
          <w:p>
            <w:pPr>
              <w:keepNext/>
              <w:spacing w:after="0" w:line="240" w:lineRule="auto"/>
            </w:pPr>
            <w:r>
              <w:rPr>
                <w:b/>
                <w:sz w:val="18"/>
              </w:rPr>
              <w:t>Source</w:t>
            </w:r>
          </w:p>
        </w:tc>
      </w:tr>
      <w:tr>
        <w:trPr>
          <w:cantSplit/>
        </w:trPr>
        <w:tc>
          <w:tcPr>
            <w:tcW w:type="dxa" w:w="595"/>
          </w:tcPr>
          <w:p>
            <w:pPr>
              <w:spacing w:after="0" w:line="240" w:lineRule="auto"/>
            </w:pPr>
            <w:r>
              <w:rPr>
                <w:b/>
                <w:sz w:val="18"/>
              </w:rPr>
              <w:t>A1</w:t>
            </w:r>
          </w:p>
        </w:tc>
        <w:tc>
          <w:tcPr>
            <w:tcW w:type="dxa" w:w="4989"/>
          </w:tcPr>
          <w:p>
            <w:pPr>
              <w:spacing w:after="0" w:line="240" w:lineRule="auto"/>
            </w:pPr>
            <w:r>
              <w:rPr>
                <w:b/>
                <w:sz w:val="18"/>
              </w:rPr>
              <w:t>Assumed tariff.</w:t>
            </w:r>
            <w:r>
              <w:rPr>
                <w:sz w:val="18"/>
              </w:rPr>
              <w:t xml:space="preserve"> 4.1839 THB/kWh peak (09:00–22:00) and 2.6037 THB/kWh off-peak, applied to one weekday. Energy charge only: no peak-demand charge, Ft or service charge (cost = pump energy × hourly rate, </w:t>
            </w:r>
            <w:r>
              <w:rPr>
                <w:rFonts w:ascii="Consolas" w:hAnsi="Consolas" w:cs="Leelawadee UI"/>
                <w:sz w:val="16"/>
              </w:rPr>
              <w:t>matlab/validate_plan.m</w:t>
            </w:r>
            <w:r>
              <w:rPr>
                <w:sz w:val="18"/>
              </w:rPr>
              <w:t>).</w:t>
            </w:r>
          </w:p>
        </w:tc>
        <w:tc>
          <w:tcPr>
            <w:tcW w:type="dxa" w:w="1956"/>
          </w:tcPr>
          <w:p>
            <w:pPr>
              <w:spacing w:after="0" w:line="240" w:lineRule="auto"/>
            </w:pPr>
            <w:r>
              <w:rPr>
                <w:sz w:val="18"/>
              </w:rPr>
              <w:t>Every THB figure</w:t>
            </w:r>
          </w:p>
        </w:tc>
        <w:tc>
          <w:tcPr>
            <w:tcW w:type="dxa" w:w="1162"/>
          </w:tcPr>
          <w:p>
            <w:pPr>
              <w:spacing w:after="0" w:line="240" w:lineRule="auto"/>
            </w:pPr>
            <w:r>
              <w:rPr>
                <w:sz w:val="18"/>
              </w:rPr>
              <w:t>3</w:t>
            </w:r>
          </w:p>
        </w:tc>
        <w:tc>
          <w:tcPr>
            <w:tcW w:type="dxa" w:w="935"/>
          </w:tcPr>
          <w:p>
            <w:pPr>
              <w:spacing w:after="0" w:line="240" w:lineRule="auto"/>
            </w:pPr>
            <w:r>
              <w:rPr>
                <w:sz w:val="18"/>
              </w:rPr>
              <w:t>[PP]</w:t>
            </w:r>
          </w:p>
        </w:tc>
      </w:tr>
      <w:tr>
        <w:trPr>
          <w:cantSplit/>
        </w:trPr>
        <w:tc>
          <w:tcPr>
            <w:tcW w:type="dxa" w:w="595"/>
          </w:tcPr>
          <w:p>
            <w:pPr>
              <w:spacing w:after="0" w:line="240" w:lineRule="auto"/>
            </w:pPr>
            <w:r>
              <w:rPr>
                <w:b/>
                <w:sz w:val="18"/>
              </w:rPr>
              <w:t>A2</w:t>
            </w:r>
          </w:p>
        </w:tc>
        <w:tc>
          <w:tcPr>
            <w:tcW w:type="dxa" w:w="4989"/>
          </w:tcPr>
          <w:p>
            <w:pPr>
              <w:spacing w:after="0" w:line="240" w:lineRule="auto"/>
            </w:pPr>
            <w:r>
              <w:rPr>
                <w:b/>
                <w:sz w:val="18"/>
              </w:rPr>
              <w:t>Flat demand.</w:t>
            </w:r>
            <w:r>
              <w:rPr>
                <w:sz w:val="18"/>
              </w:rPr>
              <w:t xml:space="preserve"> The model has no demand patterns, so every hour of the simulated day is identical.</w:t>
            </w:r>
          </w:p>
        </w:tc>
        <w:tc>
          <w:tcPr>
            <w:tcW w:type="dxa" w:w="1956"/>
          </w:tcPr>
          <w:p>
            <w:pPr>
              <w:spacing w:after="0" w:line="240" w:lineRule="auto"/>
            </w:pPr>
            <w:r>
              <w:rPr>
                <w:sz w:val="18"/>
              </w:rPr>
              <w:t>EPANET checks, pump plans</w:t>
            </w:r>
          </w:p>
        </w:tc>
        <w:tc>
          <w:tcPr>
            <w:tcW w:type="dxa" w:w="1162"/>
          </w:tcPr>
          <w:p>
            <w:pPr>
              <w:spacing w:after="0" w:line="240" w:lineRule="auto"/>
            </w:pPr>
            <w:r>
              <w:rPr>
                <w:sz w:val="18"/>
              </w:rPr>
              <w:t>4, 5</w:t>
            </w:r>
          </w:p>
        </w:tc>
        <w:tc>
          <w:tcPr>
            <w:tcW w:type="dxa" w:w="935"/>
          </w:tcPr>
          <w:p>
            <w:pPr>
              <w:spacing w:after="0" w:line="240" w:lineRule="auto"/>
            </w:pPr>
            <w:r>
              <w:rPr>
                <w:sz w:val="18"/>
              </w:rPr>
              <w:t>[EP, PP]</w:t>
            </w:r>
          </w:p>
        </w:tc>
      </w:tr>
      <w:tr>
        <w:trPr>
          <w:cantSplit/>
        </w:trPr>
        <w:tc>
          <w:tcPr>
            <w:tcW w:type="dxa" w:w="595"/>
          </w:tcPr>
          <w:p>
            <w:pPr>
              <w:spacing w:after="0" w:line="240" w:lineRule="auto"/>
            </w:pPr>
            <w:r>
              <w:rPr>
                <w:b/>
                <w:sz w:val="18"/>
              </w:rPr>
              <w:t>A3</w:t>
            </w:r>
          </w:p>
        </w:tc>
        <w:tc>
          <w:tcPr>
            <w:tcW w:type="dxa" w:w="4989"/>
          </w:tcPr>
          <w:p>
            <w:pPr>
              <w:spacing w:after="0" w:line="240" w:lineRule="auto"/>
            </w:pPr>
            <w:r>
              <w:rPr>
                <w:b/>
                <w:sz w:val="18"/>
              </w:rPr>
              <w:t>Placeholder nodes 71 and 678.</w:t>
            </w:r>
            <w:r>
              <w:rPr>
                <w:sz w:val="18"/>
              </w:rPr>
              <w:t xml:space="preserve"> Each carries 100,000 m³/day. The 488,403 m³/day scenario removes both as presumed placeholders; this is not confirmed.</w:t>
            </w:r>
          </w:p>
        </w:tc>
        <w:tc>
          <w:tcPr>
            <w:tcW w:type="dxa" w:w="1956"/>
          </w:tcPr>
          <w:p>
            <w:pPr>
              <w:spacing w:after="0" w:line="240" w:lineRule="auto"/>
            </w:pPr>
            <w:r>
              <w:rPr>
                <w:sz w:val="18"/>
              </w:rPr>
              <w:t>Demo recommendation, cost per m³</w:t>
            </w:r>
          </w:p>
        </w:tc>
        <w:tc>
          <w:tcPr>
            <w:tcW w:type="dxa" w:w="1162"/>
          </w:tcPr>
          <w:p>
            <w:pPr>
              <w:spacing w:after="0" w:line="240" w:lineRule="auto"/>
            </w:pPr>
            <w:r>
              <w:rPr>
                <w:sz w:val="18"/>
              </w:rPr>
              <w:t>7</w:t>
            </w:r>
          </w:p>
        </w:tc>
        <w:tc>
          <w:tcPr>
            <w:tcW w:type="dxa" w:w="935"/>
          </w:tcPr>
          <w:p>
            <w:pPr>
              <w:spacing w:after="0" w:line="240" w:lineRule="auto"/>
            </w:pPr>
            <w:r>
              <w:rPr>
                <w:sz w:val="18"/>
              </w:rPr>
              <w:t>[EN, PP]</w:t>
            </w:r>
          </w:p>
        </w:tc>
      </w:tr>
      <w:tr>
        <w:trPr>
          <w:cantSplit/>
        </w:trPr>
        <w:tc>
          <w:tcPr>
            <w:tcW w:type="dxa" w:w="595"/>
          </w:tcPr>
          <w:p>
            <w:pPr>
              <w:spacing w:after="0" w:line="240" w:lineRule="auto"/>
            </w:pPr>
            <w:r>
              <w:rPr>
                <w:b/>
                <w:sz w:val="18"/>
              </w:rPr>
              <w:t>A4</w:t>
            </w:r>
          </w:p>
        </w:tc>
        <w:tc>
          <w:tcPr>
            <w:tcW w:type="dxa" w:w="4989"/>
          </w:tcPr>
          <w:p>
            <w:pPr>
              <w:spacing w:after="0" w:line="240" w:lineRule="auto"/>
            </w:pPr>
            <w:r>
              <w:rPr>
                <w:b/>
                <w:sz w:val="18"/>
              </w:rPr>
              <w:t>Pump efficiency 75%</w:t>
            </w:r>
            <w:r>
              <w:rPr>
                <w:sz w:val="18"/>
              </w:rPr>
              <w:t xml:space="preserve"> (the model's global setting) for every pump in the pump plans and the storage what-if, and every pump available. The cost-by-source comparison uses the model's NPL_2-Eff curve for NPL2 (74–82%) and 75% for NPL3 and TM Pond, which have no curve.</w:t>
            </w:r>
          </w:p>
        </w:tc>
        <w:tc>
          <w:tcPr>
            <w:tcW w:type="dxa" w:w="1956"/>
          </w:tcPr>
          <w:p>
            <w:pPr>
              <w:spacing w:after="0" w:line="240" w:lineRule="auto"/>
            </w:pPr>
            <w:r>
              <w:rPr>
                <w:sz w:val="18"/>
              </w:rPr>
              <w:t>All kWh and THB figures</w:t>
            </w:r>
          </w:p>
        </w:tc>
        <w:tc>
          <w:tcPr>
            <w:tcW w:type="dxa" w:w="1162"/>
          </w:tcPr>
          <w:p>
            <w:pPr>
              <w:spacing w:after="0" w:line="240" w:lineRule="auto"/>
            </w:pPr>
            <w:r>
              <w:rPr>
                <w:sz w:val="18"/>
              </w:rPr>
              <w:t>2, 6</w:t>
            </w:r>
          </w:p>
        </w:tc>
        <w:tc>
          <w:tcPr>
            <w:tcW w:type="dxa" w:w="935"/>
          </w:tcPr>
          <w:p>
            <w:pPr>
              <w:spacing w:after="0" w:line="240" w:lineRule="auto"/>
            </w:pPr>
            <w:r>
              <w:rPr>
                <w:sz w:val="18"/>
              </w:rPr>
              <w:t>[PP, WI]</w:t>
            </w:r>
          </w:p>
        </w:tc>
      </w:tr>
      <w:tr>
        <w:trPr>
          <w:cantSplit/>
        </w:trPr>
        <w:tc>
          <w:tcPr>
            <w:tcW w:type="dxa" w:w="595"/>
          </w:tcPr>
          <w:p>
            <w:pPr>
              <w:spacing w:after="0" w:line="240" w:lineRule="auto"/>
            </w:pPr>
            <w:r>
              <w:rPr>
                <w:b/>
                <w:sz w:val="18"/>
              </w:rPr>
              <w:t>A5</w:t>
            </w:r>
          </w:p>
        </w:tc>
        <w:tc>
          <w:tcPr>
            <w:tcW w:type="dxa" w:w="4989"/>
          </w:tcPr>
          <w:p>
            <w:pPr>
              <w:spacing w:after="0" w:line="240" w:lineRule="auto"/>
            </w:pPr>
            <w:r>
              <w:rPr>
                <w:b/>
                <w:sz w:val="18"/>
              </w:rPr>
              <w:t>TM Pond pumps 3–6 unusable.</w:t>
            </w:r>
            <w:r>
              <w:rPr>
                <w:sz w:val="18"/>
              </w:rPr>
              <w:t xml:space="preserve"> In EPANET they cannot deliver the head, so at most 2 of the 6 TM Pond pumps can run. Whether they are standby units is unconfirmed.</w:t>
            </w:r>
          </w:p>
        </w:tc>
        <w:tc>
          <w:tcPr>
            <w:tcW w:type="dxa" w:w="1956"/>
          </w:tcPr>
          <w:p>
            <w:pPr>
              <w:spacing w:after="0" w:line="240" w:lineRule="auto"/>
            </w:pPr>
            <w:r>
              <w:rPr>
                <w:sz w:val="18"/>
              </w:rPr>
              <w:t>Capacity, pump plans</w:t>
            </w:r>
          </w:p>
        </w:tc>
        <w:tc>
          <w:tcPr>
            <w:tcW w:type="dxa" w:w="1162"/>
          </w:tcPr>
          <w:p>
            <w:pPr>
              <w:spacing w:after="0" w:line="240" w:lineRule="auto"/>
            </w:pPr>
            <w:r>
              <w:rPr>
                <w:sz w:val="18"/>
              </w:rPr>
              <w:t>7</w:t>
            </w:r>
          </w:p>
        </w:tc>
        <w:tc>
          <w:tcPr>
            <w:tcW w:type="dxa" w:w="935"/>
          </w:tcPr>
          <w:p>
            <w:pPr>
              <w:spacing w:after="0" w:line="240" w:lineRule="auto"/>
            </w:pPr>
            <w:r>
              <w:rPr>
                <w:sz w:val="18"/>
              </w:rPr>
              <w:t>[PP, RM]</w:t>
            </w:r>
          </w:p>
        </w:tc>
      </w:tr>
      <w:tr>
        <w:trPr>
          <w:cantSplit/>
        </w:trPr>
        <w:tc>
          <w:tcPr>
            <w:tcW w:type="dxa" w:w="595"/>
          </w:tcPr>
          <w:p>
            <w:pPr>
              <w:spacing w:after="0" w:line="240" w:lineRule="auto"/>
            </w:pPr>
            <w:r>
              <w:rPr>
                <w:b/>
                <w:sz w:val="18"/>
              </w:rPr>
              <w:t>A6</w:t>
            </w:r>
          </w:p>
        </w:tc>
        <w:tc>
          <w:tcPr>
            <w:tcW w:type="dxa" w:w="4989"/>
          </w:tcPr>
          <w:p>
            <w:pPr>
              <w:spacing w:after="0" w:line="240" w:lineRule="auto"/>
            </w:pPr>
            <w:r>
              <w:rPr>
                <w:b/>
                <w:sz w:val="18"/>
              </w:rPr>
              <w:t>Source reservoir heads as modelled</w:t>
            </w:r>
            <w:r>
              <w:rPr>
                <w:sz w:val="18"/>
              </w:rPr>
              <w:t xml:space="preserve"> (43.41 m and 23 m), which sit below the pump suction pipes.</w:t>
            </w:r>
          </w:p>
        </w:tc>
        <w:tc>
          <w:tcPr>
            <w:tcW w:type="dxa" w:w="1956"/>
          </w:tcPr>
          <w:p>
            <w:pPr>
              <w:spacing w:after="0" w:line="240" w:lineRule="auto"/>
            </w:pPr>
            <w:r>
              <w:rPr>
                <w:sz w:val="18"/>
              </w:rPr>
              <w:t>Suction pressures, pump output</w:t>
            </w:r>
          </w:p>
        </w:tc>
        <w:tc>
          <w:tcPr>
            <w:tcW w:type="dxa" w:w="1162"/>
          </w:tcPr>
          <w:p>
            <w:pPr>
              <w:spacing w:after="0" w:line="240" w:lineRule="auto"/>
            </w:pPr>
            <w:r>
              <w:rPr>
                <w:sz w:val="18"/>
              </w:rPr>
              <w:t>7</w:t>
            </w:r>
          </w:p>
        </w:tc>
        <w:tc>
          <w:tcPr>
            <w:tcW w:type="dxa" w:w="935"/>
          </w:tcPr>
          <w:p>
            <w:pPr>
              <w:spacing w:after="0" w:line="240" w:lineRule="auto"/>
            </w:pPr>
            <w:r>
              <w:rPr>
                <w:sz w:val="18"/>
              </w:rPr>
              <w:t>[RM]</w:t>
            </w:r>
          </w:p>
        </w:tc>
      </w:tr>
      <w:tr>
        <w:trPr>
          <w:cantSplit/>
        </w:trPr>
        <w:tc>
          <w:tcPr>
            <w:tcW w:type="dxa" w:w="595"/>
          </w:tcPr>
          <w:p>
            <w:pPr>
              <w:spacing w:after="0" w:line="240" w:lineRule="auto"/>
            </w:pPr>
            <w:r>
              <w:rPr>
                <w:b/>
                <w:sz w:val="18"/>
              </w:rPr>
              <w:t>A7</w:t>
            </w:r>
          </w:p>
        </w:tc>
        <w:tc>
          <w:tcPr>
            <w:tcW w:type="dxa" w:w="4989"/>
          </w:tcPr>
          <w:p>
            <w:pPr>
              <w:spacing w:after="0" w:line="240" w:lineRule="auto"/>
            </w:pPr>
            <w:r>
              <w:rPr>
                <w:b/>
                <w:sz w:val="18"/>
              </w:rPr>
              <w:t>Operating limits set by the POC team.</w:t>
            </w:r>
            <w:r>
              <w:rPr>
                <w:sz w:val="18"/>
              </w:rPr>
              <w:t xml:space="preserve"> In the pump plans, tanks start at 85% of their range; all plans stay below 90%; customer pressure floor 10 m, or the model's own minimum where it is already lower (Burapa, IEAT4/5/6); each plan must end the day at least as full as it started.</w:t>
            </w:r>
          </w:p>
        </w:tc>
        <w:tc>
          <w:tcPr>
            <w:tcW w:type="dxa" w:w="1956"/>
          </w:tcPr>
          <w:p>
            <w:pPr>
              <w:spacing w:after="0" w:line="240" w:lineRule="auto"/>
            </w:pPr>
            <w:r>
              <w:rPr>
                <w:sz w:val="18"/>
              </w:rPr>
              <w:t>Pump plans, storage what-if</w:t>
            </w:r>
          </w:p>
        </w:tc>
        <w:tc>
          <w:tcPr>
            <w:tcW w:type="dxa" w:w="1162"/>
          </w:tcPr>
          <w:p>
            <w:pPr>
              <w:spacing w:after="0" w:line="240" w:lineRule="auto"/>
            </w:pPr>
            <w:r>
              <w:rPr>
                <w:sz w:val="18"/>
              </w:rPr>
              <w:t>10</w:t>
            </w:r>
          </w:p>
        </w:tc>
        <w:tc>
          <w:tcPr>
            <w:tcW w:type="dxa" w:w="935"/>
          </w:tcPr>
          <w:p>
            <w:pPr>
              <w:spacing w:after="0" w:line="240" w:lineRule="auto"/>
            </w:pPr>
            <w:r>
              <w:rPr>
                <w:sz w:val="18"/>
              </w:rPr>
              <w:t>[PP, WI]</w:t>
            </w:r>
          </w:p>
        </w:tc>
      </w:tr>
      <w:tr>
        <w:trPr>
          <w:cantSplit/>
        </w:trPr>
        <w:tc>
          <w:tcPr>
            <w:tcW w:type="dxa" w:w="595"/>
          </w:tcPr>
          <w:p>
            <w:pPr>
              <w:spacing w:after="0" w:line="240" w:lineRule="auto"/>
            </w:pPr>
            <w:r>
              <w:rPr>
                <w:b/>
                <w:sz w:val="18"/>
              </w:rPr>
              <w:t>A8</w:t>
            </w:r>
          </w:p>
        </w:tc>
        <w:tc>
          <w:tcPr>
            <w:tcW w:type="dxa" w:w="4989"/>
          </w:tcPr>
          <w:p>
            <w:pPr>
              <w:spacing w:after="0" w:line="240" w:lineRule="auto"/>
            </w:pPr>
            <w:r>
              <w:rPr>
                <w:b/>
                <w:sz w:val="18"/>
              </w:rPr>
              <w:t>Reservoir draws stand in for demand.</w:t>
            </w:r>
            <w:r>
              <w:rPr>
                <w:sz w:val="18"/>
              </w:rPr>
              <w:t xml:space="preserve"> The Excel shows water drawn from Bang Phra, not water delivered to customers.</w:t>
            </w:r>
          </w:p>
        </w:tc>
        <w:tc>
          <w:tcPr>
            <w:tcW w:type="dxa" w:w="1956"/>
          </w:tcPr>
          <w:p>
            <w:pPr>
              <w:spacing w:after="0" w:line="240" w:lineRule="auto"/>
            </w:pPr>
            <w:r>
              <w:rPr>
                <w:sz w:val="18"/>
              </w:rPr>
              <w:t>Forecast accuracy</w:t>
            </w:r>
          </w:p>
        </w:tc>
        <w:tc>
          <w:tcPr>
            <w:tcW w:type="dxa" w:w="1162"/>
          </w:tcPr>
          <w:p>
            <w:pPr>
              <w:spacing w:after="0" w:line="240" w:lineRule="auto"/>
            </w:pPr>
            <w:r>
              <w:rPr>
                <w:sz w:val="18"/>
              </w:rPr>
              <w:t>4</w:t>
            </w:r>
          </w:p>
        </w:tc>
        <w:tc>
          <w:tcPr>
            <w:tcW w:type="dxa" w:w="935"/>
          </w:tcPr>
          <w:p>
            <w:pPr>
              <w:spacing w:after="0" w:line="240" w:lineRule="auto"/>
            </w:pPr>
            <w:r>
              <w:rPr>
                <w:sz w:val="18"/>
              </w:rPr>
              <w:t>[DQ, RM]</w:t>
            </w:r>
          </w:p>
        </w:tc>
      </w:tr>
      <w:tr>
        <w:trPr>
          <w:cantSplit/>
        </w:trPr>
        <w:tc>
          <w:tcPr>
            <w:tcW w:type="dxa" w:w="595"/>
          </w:tcPr>
          <w:p>
            <w:pPr>
              <w:spacing w:after="0" w:line="240" w:lineRule="auto"/>
            </w:pPr>
            <w:r>
              <w:rPr>
                <w:b/>
                <w:sz w:val="18"/>
              </w:rPr>
              <w:t>A9</w:t>
            </w:r>
          </w:p>
        </w:tc>
        <w:tc>
          <w:tcPr>
            <w:tcW w:type="dxa" w:w="4989"/>
          </w:tcPr>
          <w:p>
            <w:pPr>
              <w:spacing w:after="0" w:line="240" w:lineRule="auto"/>
            </w:pPr>
            <w:r>
              <w:rPr>
                <w:b/>
                <w:sz w:val="18"/>
              </w:rPr>
              <w:t>Supply outlook inputs.</w:t>
            </w:r>
            <w:r>
              <w:rPr>
                <w:sz w:val="18"/>
              </w:rPr>
              <w:t xml:space="preserve"> The 35 past inflow years are treated as equally likely; diversions and releases are averages, not responses to storage; evaporation is computed, not measured.</w:t>
            </w:r>
          </w:p>
        </w:tc>
        <w:tc>
          <w:tcPr>
            <w:tcW w:type="dxa" w:w="1956"/>
          </w:tcPr>
          <w:p>
            <w:pPr>
              <w:spacing w:after="0" w:line="240" w:lineRule="auto"/>
            </w:pPr>
            <w:r>
              <w:rPr>
                <w:sz w:val="18"/>
              </w:rPr>
              <w:t>Supply risk outlook</w:t>
            </w:r>
          </w:p>
        </w:tc>
        <w:tc>
          <w:tcPr>
            <w:tcW w:type="dxa" w:w="1162"/>
          </w:tcPr>
          <w:p>
            <w:pPr>
              <w:spacing w:after="0" w:line="240" w:lineRule="auto"/>
            </w:pPr>
            <w:r>
              <w:rPr>
                <w:sz w:val="18"/>
              </w:rPr>
              <w:t>9</w:t>
            </w:r>
          </w:p>
        </w:tc>
        <w:tc>
          <w:tcPr>
            <w:tcW w:type="dxa" w:w="935"/>
          </w:tcPr>
          <w:p>
            <w:pPr>
              <w:spacing w:after="0" w:line="240" w:lineRule="auto"/>
            </w:pPr>
            <w:r>
              <w:rPr>
                <w:sz w:val="18"/>
              </w:rPr>
              <w:t>[SO, DQ]</w:t>
            </w:r>
          </w:p>
        </w:tc>
      </w:tr>
      <w:tr>
        <w:trPr>
          <w:cantSplit/>
        </w:trPr>
        <w:tc>
          <w:tcPr>
            <w:tcW w:type="dxa" w:w="595"/>
          </w:tcPr>
          <w:p>
            <w:pPr>
              <w:spacing w:after="0" w:line="240" w:lineRule="auto"/>
            </w:pPr>
            <w:r>
              <w:rPr>
                <w:b/>
                <w:sz w:val="18"/>
              </w:rPr>
              <w:t>A10</w:t>
            </w:r>
          </w:p>
        </w:tc>
        <w:tc>
          <w:tcPr>
            <w:tcW w:type="dxa" w:w="4989"/>
          </w:tcPr>
          <w:p>
            <w:pPr>
              <w:spacing w:after="0" w:line="240" w:lineRule="auto"/>
            </w:pPr>
            <w:r>
              <w:rPr>
                <w:b/>
                <w:sz w:val="18"/>
              </w:rPr>
              <w:t>Illustrative business case.</w:t>
            </w:r>
            <w:r>
              <w:rPr>
                <w:sz w:val="18"/>
              </w:rPr>
              <w:t xml:space="preserve"> The proposal's 3–5% saving and about 15 million THB a year (from an assumed 500 million THB energy bill and a 3% saving) are illustrations, not commitments.</w:t>
            </w:r>
          </w:p>
        </w:tc>
        <w:tc>
          <w:tcPr>
            <w:tcW w:type="dxa" w:w="1956"/>
          </w:tcPr>
          <w:p>
            <w:pPr>
              <w:spacing w:after="0" w:line="240" w:lineRule="auto"/>
            </w:pPr>
            <w:r>
              <w:rPr>
                <w:sz w:val="18"/>
              </w:rPr>
              <w:t>Business case</w:t>
            </w:r>
          </w:p>
        </w:tc>
        <w:tc>
          <w:tcPr>
            <w:tcW w:type="dxa" w:w="1162"/>
          </w:tcPr>
          <w:p>
            <w:pPr>
              <w:spacing w:after="0" w:line="240" w:lineRule="auto"/>
            </w:pPr>
            <w:r>
              <w:rPr>
                <w:sz w:val="18"/>
              </w:rPr>
              <w:t>1–4</w:t>
            </w:r>
          </w:p>
        </w:tc>
        <w:tc>
          <w:tcPr>
            <w:tcW w:type="dxa" w:w="935"/>
          </w:tcPr>
          <w:p>
            <w:pPr>
              <w:spacing w:after="0" w:line="240" w:lineRule="auto"/>
            </w:pPr>
            <w:r>
              <w:rPr>
                <w:sz w:val="18"/>
              </w:rPr>
              <w:t>[DECK 5]</w:t>
            </w:r>
          </w:p>
        </w:tc>
      </w:tr>
      <w:tr>
        <w:trPr>
          <w:cantSplit/>
        </w:trPr>
        <w:tc>
          <w:tcPr>
            <w:tcW w:type="dxa" w:w="595"/>
          </w:tcPr>
          <w:p>
            <w:pPr>
              <w:spacing w:after="0" w:line="240" w:lineRule="auto"/>
            </w:pPr>
            <w:r>
              <w:rPr>
                <w:b/>
                <w:sz w:val="18"/>
              </w:rPr>
              <w:t>A11</w:t>
            </w:r>
          </w:p>
        </w:tc>
        <w:tc>
          <w:tcPr>
            <w:tcW w:type="dxa" w:w="4989"/>
          </w:tcPr>
          <w:p>
            <w:pPr>
              <w:spacing w:after="0" w:line="240" w:lineRule="auto"/>
            </w:pPr>
            <w:r>
              <w:rPr>
                <w:b/>
                <w:sz w:val="18"/>
              </w:rPr>
              <w:t>Lower tank levels.</w:t>
            </w:r>
            <w:r>
              <w:rPr>
                <w:sz w:val="18"/>
              </w:rPr>
              <w:t xml:space="preserve"> The lower-tank plan keeps NPL2_HT at 46–56% and NPL3_HT at 49–70% of their range, only as full as the customer pressure floors need, and the optimiser chooses the level the day starts at. Eastwater's minimum operating levels are not known.</w:t>
            </w:r>
          </w:p>
        </w:tc>
        <w:tc>
          <w:tcPr>
            <w:tcW w:type="dxa" w:w="1956"/>
          </w:tcPr>
          <w:p>
            <w:pPr>
              <w:spacing w:after="0" w:line="240" w:lineRule="auto"/>
            </w:pPr>
            <w:r>
              <w:rPr>
                <w:sz w:val="18"/>
              </w:rPr>
              <w:t>Demo recommendation, cost per m³</w:t>
            </w:r>
          </w:p>
        </w:tc>
        <w:tc>
          <w:tcPr>
            <w:tcW w:type="dxa" w:w="1162"/>
          </w:tcPr>
          <w:p>
            <w:pPr>
              <w:spacing w:after="0" w:line="240" w:lineRule="auto"/>
            </w:pPr>
            <w:r>
              <w:rPr>
                <w:sz w:val="18"/>
              </w:rPr>
              <w:t>7, 10</w:t>
            </w:r>
          </w:p>
        </w:tc>
        <w:tc>
          <w:tcPr>
            <w:tcW w:type="dxa" w:w="935"/>
          </w:tcPr>
          <w:p>
            <w:pPr>
              <w:spacing w:after="0" w:line="240" w:lineRule="auto"/>
            </w:pPr>
            <w:r>
              <w:rPr>
                <w:sz w:val="18"/>
              </w:rPr>
              <w:t>[WI]</w:t>
            </w:r>
          </w:p>
        </w:tc>
      </w:tr>
    </w:tbl>
    <w:p>
      <w:pPr>
        <w:spacing w:after="40"/>
      </w:pPr>
    </w:p>
    <w:p>
      <w:pPr>
        <w:pStyle w:val="Heading1"/>
      </w:pPr>
      <w:r>
        <w:rPr/>
        <w:t>3. Demo recommendation: Rayong network</w:t>
      </w:r>
    </w:p>
    <w:p>
      <w:r>
        <w:rPr/>
        <w:t>This is the proposal's recommendation card [DECK 3], produced by the POC on the Rayong model. It demonstrates the workflow on model data; it is not an instruction for real operation.</w:t>
      </w:r>
    </w:p>
    <w:p>
      <w:pPr>
        <w:keepNext/>
      </w:pPr>
      <w:r>
        <w:rPr>
          <w:b/>
        </w:rPr>
        <w:t>Situation.</w:t>
      </w:r>
      <w:r>
        <w:rPr/>
        <w:t xml:space="preserve"> One weekday at 488,403 m³/day: the model's demand without nodes 71 and 678 (A3), flat through the day (A2), at the assumed tariff (A1). Each schedule was optimised and then checked in a 24-hour EPANET run [PP, WI]. The first holds the head tanks only as full as the customer pressure floors need (A11) [WI]; the others start and end the day with both tanks 85% full [PP].</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495"/>
        <w:gridCol w:w="1103"/>
        <w:gridCol w:w="907"/>
        <w:gridCol w:w="1495"/>
        <w:gridCol w:w="809"/>
        <w:gridCol w:w="1103"/>
        <w:gridCol w:w="1103"/>
        <w:gridCol w:w="809"/>
        <w:gridCol w:w="809"/>
      </w:tblGrid>
      <w:tr>
        <w:trPr>
          <w:cantSplit/>
          <w:tblHeader/>
        </w:trPr>
        <w:tc>
          <w:tcPr>
            <w:tcW w:type="dxa" w:w="1496"/>
            <w:shd w:val="clear" w:color="auto" w:fill="DCE6EF"/>
          </w:tcPr>
          <w:p>
            <w:pPr>
              <w:keepNext/>
              <w:spacing w:after="0" w:line="240" w:lineRule="auto"/>
            </w:pPr>
            <w:r>
              <w:rPr>
                <w:b/>
                <w:sz w:val="18"/>
              </w:rPr>
              <w:t>Option</w:t>
            </w:r>
          </w:p>
        </w:tc>
        <w:tc>
          <w:tcPr>
            <w:tcW w:type="dxa" w:w="1104"/>
            <w:shd w:val="clear" w:color="auto" w:fill="DCE6EF"/>
          </w:tcPr>
          <w:p>
            <w:pPr>
              <w:keepNext/>
              <w:spacing w:after="0" w:line="240" w:lineRule="auto"/>
            </w:pPr>
            <w:r>
              <w:rPr>
                <w:b/>
                <w:sz w:val="18"/>
              </w:rPr>
              <w:t>Hydraulic check</w:t>
            </w:r>
          </w:p>
        </w:tc>
        <w:tc>
          <w:tcPr>
            <w:tcW w:type="dxa" w:w="907"/>
            <w:shd w:val="clear" w:color="auto" w:fill="DCE6EF"/>
          </w:tcPr>
          <w:p>
            <w:pPr>
              <w:keepNext/>
              <w:spacing w:after="0" w:line="240" w:lineRule="auto"/>
            </w:pPr>
            <w:r>
              <w:rPr>
                <w:b/>
                <w:sz w:val="18"/>
              </w:rPr>
              <w:t>Energy cost THB/day</w:t>
            </w:r>
          </w:p>
        </w:tc>
        <w:tc>
          <w:tcPr>
            <w:tcW w:type="dxa" w:w="1496"/>
            <w:shd w:val="clear" w:color="auto" w:fill="DCE6EF"/>
          </w:tcPr>
          <w:p>
            <w:pPr>
              <w:keepNext/>
              <w:spacing w:after="0" w:line="240" w:lineRule="auto"/>
            </w:pPr>
            <w:r>
              <w:rPr>
                <w:b/>
                <w:sz w:val="18"/>
              </w:rPr>
              <w:t>Cost vs lowest-energy plan, tanks 85% full</w:t>
            </w:r>
          </w:p>
        </w:tc>
        <w:tc>
          <w:tcPr>
            <w:tcW w:type="dxa" w:w="809"/>
            <w:shd w:val="clear" w:color="auto" w:fill="DCE6EF"/>
          </w:tcPr>
          <w:p>
            <w:pPr>
              <w:keepNext/>
              <w:spacing w:after="0" w:line="240" w:lineRule="auto"/>
            </w:pPr>
            <w:r>
              <w:rPr>
                <w:b/>
                <w:sz w:val="18"/>
              </w:rPr>
              <w:t>THB/m³</w:t>
            </w:r>
          </w:p>
        </w:tc>
        <w:tc>
          <w:tcPr>
            <w:tcW w:type="dxa" w:w="1104"/>
            <w:shd w:val="clear" w:color="auto" w:fill="DCE6EF"/>
          </w:tcPr>
          <w:p>
            <w:pPr>
              <w:keepNext/>
              <w:spacing w:after="0" w:line="240" w:lineRule="auto"/>
            </w:pPr>
            <w:r>
              <w:rPr>
                <w:b/>
                <w:sz w:val="18"/>
              </w:rPr>
              <w:t>Lowest customer pressure, m</w:t>
            </w:r>
          </w:p>
        </w:tc>
        <w:tc>
          <w:tcPr>
            <w:tcW w:type="dxa" w:w="1104"/>
            <w:shd w:val="clear" w:color="auto" w:fill="DCE6EF"/>
          </w:tcPr>
          <w:p>
            <w:pPr>
              <w:keepNext/>
              <w:spacing w:after="0" w:line="240" w:lineRule="auto"/>
            </w:pPr>
            <w:r>
              <w:rPr>
                <w:b/>
                <w:sz w:val="18"/>
              </w:rPr>
              <w:t>Tank reserve</w:t>
            </w:r>
          </w:p>
        </w:tc>
        <w:tc>
          <w:tcPr>
            <w:tcW w:type="dxa" w:w="809"/>
            <w:shd w:val="clear" w:color="auto" w:fill="DCE6EF"/>
          </w:tcPr>
          <w:p>
            <w:pPr>
              <w:keepNext/>
              <w:spacing w:after="0" w:line="240" w:lineRule="auto"/>
            </w:pPr>
            <w:r>
              <w:rPr>
                <w:b/>
                <w:sz w:val="18"/>
              </w:rPr>
              <w:t>Pump starts</w:t>
            </w:r>
          </w:p>
        </w:tc>
        <w:tc>
          <w:tcPr>
            <w:tcW w:type="dxa" w:w="809"/>
            <w:shd w:val="clear" w:color="auto" w:fill="DCE6EF"/>
          </w:tcPr>
          <w:p>
            <w:pPr>
              <w:keepNext/>
              <w:spacing w:after="0" w:line="240" w:lineRule="auto"/>
            </w:pPr>
            <w:r>
              <w:rPr>
                <w:b/>
                <w:sz w:val="18"/>
              </w:rPr>
              <w:t>Source</w:t>
            </w:r>
          </w:p>
        </w:tc>
      </w:tr>
      <w:tr>
        <w:trPr>
          <w:cantSplit/>
        </w:trPr>
        <w:tc>
          <w:tcPr>
            <w:tcW w:type="dxa" w:w="1496"/>
          </w:tcPr>
          <w:p>
            <w:pPr>
              <w:spacing w:after="0" w:line="240" w:lineRule="auto"/>
            </w:pPr>
            <w:r>
              <w:rPr>
                <w:b/>
                <w:sz w:val="18"/>
              </w:rPr>
              <w:t>Lowest-energy plan, tanks held lower (recommended once Eastwater confirms the tank levels)</w:t>
            </w:r>
          </w:p>
        </w:tc>
        <w:tc>
          <w:tcPr>
            <w:tcW w:type="dxa" w:w="1104"/>
          </w:tcPr>
          <w:p>
            <w:pPr>
              <w:spacing w:after="0" w:line="240" w:lineRule="auto"/>
            </w:pPr>
            <w:r>
              <w:rPr>
                <w:sz w:val="18"/>
              </w:rPr>
              <w:t>Pass</w:t>
            </w:r>
          </w:p>
        </w:tc>
        <w:tc>
          <w:tcPr>
            <w:tcW w:type="dxa" w:w="907"/>
          </w:tcPr>
          <w:p>
            <w:pPr>
              <w:spacing w:after="0" w:line="240" w:lineRule="auto"/>
            </w:pPr>
            <w:r>
              <w:rPr>
                <w:sz w:val="18"/>
              </w:rPr>
              <w:t>412,713</w:t>
            </w:r>
          </w:p>
        </w:tc>
        <w:tc>
          <w:tcPr>
            <w:tcW w:type="dxa" w:w="1496"/>
          </w:tcPr>
          <w:p>
            <w:pPr>
              <w:spacing w:after="0" w:line="240" w:lineRule="auto"/>
            </w:pPr>
            <w:r>
              <w:rPr>
                <w:sz w:val="18"/>
              </w:rPr>
              <w:t>−8.0% (derived: 412,713 ÷ 448,393 − 1)</w:t>
            </w:r>
          </w:p>
        </w:tc>
        <w:tc>
          <w:tcPr>
            <w:tcW w:type="dxa" w:w="809"/>
          </w:tcPr>
          <w:p>
            <w:pPr>
              <w:spacing w:after="0" w:line="240" w:lineRule="auto"/>
            </w:pPr>
            <w:r>
              <w:rPr>
                <w:sz w:val="18"/>
              </w:rPr>
              <w:t>0.845</w:t>
            </w:r>
          </w:p>
        </w:tc>
        <w:tc>
          <w:tcPr>
            <w:tcW w:type="dxa" w:w="1104"/>
          </w:tcPr>
          <w:p>
            <w:pPr>
              <w:spacing w:after="0" w:line="240" w:lineRule="auto"/>
            </w:pPr>
            <w:r>
              <w:rPr>
                <w:sz w:val="18"/>
              </w:rPr>
              <w:t>9.9</w:t>
            </w:r>
          </w:p>
        </w:tc>
        <w:tc>
          <w:tcPr>
            <w:tcW w:type="dxa" w:w="1104"/>
          </w:tcPr>
          <w:p>
            <w:pPr>
              <w:spacing w:after="0" w:line="240" w:lineRule="auto"/>
            </w:pPr>
            <w:r>
              <w:rPr>
                <w:sz w:val="18"/>
              </w:rPr>
              <w:t>10%; held at 46–56% (NPL2_HT) and 49–70% (NPL3_HT)</w:t>
            </w:r>
          </w:p>
        </w:tc>
        <w:tc>
          <w:tcPr>
            <w:tcW w:type="dxa" w:w="809"/>
          </w:tcPr>
          <w:p>
            <w:pPr>
              <w:spacing w:after="0" w:line="240" w:lineRule="auto"/>
            </w:pPr>
            <w:r>
              <w:rPr>
                <w:sz w:val="18"/>
              </w:rPr>
              <w:t>6</w:t>
            </w:r>
          </w:p>
        </w:tc>
        <w:tc>
          <w:tcPr>
            <w:tcW w:type="dxa" w:w="809"/>
          </w:tcPr>
          <w:p>
            <w:pPr>
              <w:spacing w:after="0" w:line="240" w:lineRule="auto"/>
            </w:pPr>
            <w:r>
              <w:rPr>
                <w:sz w:val="18"/>
              </w:rPr>
              <w:t>[WK, WI, PK]</w:t>
            </w:r>
          </w:p>
        </w:tc>
      </w:tr>
      <w:tr>
        <w:trPr>
          <w:cantSplit/>
        </w:trPr>
        <w:tc>
          <w:tcPr>
            <w:tcW w:type="dxa" w:w="1496"/>
          </w:tcPr>
          <w:p>
            <w:pPr>
              <w:spacing w:after="0" w:line="240" w:lineRule="auto"/>
            </w:pPr>
            <w:r>
              <w:rPr>
                <w:b/>
                <w:sz w:val="18"/>
              </w:rPr>
              <w:t>Lowest-energy plan, tanks 85% full (until then)</w:t>
            </w:r>
          </w:p>
        </w:tc>
        <w:tc>
          <w:tcPr>
            <w:tcW w:type="dxa" w:w="1104"/>
          </w:tcPr>
          <w:p>
            <w:pPr>
              <w:spacing w:after="0" w:line="240" w:lineRule="auto"/>
            </w:pPr>
            <w:r>
              <w:rPr>
                <w:sz w:val="18"/>
              </w:rPr>
              <w:t>Pass</w:t>
            </w:r>
          </w:p>
        </w:tc>
        <w:tc>
          <w:tcPr>
            <w:tcW w:type="dxa" w:w="907"/>
          </w:tcPr>
          <w:p>
            <w:pPr>
              <w:spacing w:after="0" w:line="240" w:lineRule="auto"/>
            </w:pPr>
            <w:r>
              <w:rPr>
                <w:sz w:val="18"/>
              </w:rPr>
              <w:t>448,393</w:t>
            </w:r>
          </w:p>
        </w:tc>
        <w:tc>
          <w:tcPr>
            <w:tcW w:type="dxa" w:w="1496"/>
          </w:tcPr>
          <w:p>
            <w:pPr>
              <w:spacing w:after="0" w:line="240" w:lineRule="auto"/>
            </w:pPr>
            <w:r>
              <w:rPr>
                <w:sz w:val="18"/>
              </w:rPr>
              <w:t>—</w:t>
            </w:r>
          </w:p>
        </w:tc>
        <w:tc>
          <w:tcPr>
            <w:tcW w:type="dxa" w:w="809"/>
          </w:tcPr>
          <w:p>
            <w:pPr>
              <w:spacing w:after="0" w:line="240" w:lineRule="auto"/>
            </w:pPr>
            <w:r>
              <w:rPr>
                <w:sz w:val="18"/>
              </w:rPr>
              <w:t>0.918</w:t>
            </w:r>
          </w:p>
        </w:tc>
        <w:tc>
          <w:tcPr>
            <w:tcW w:type="dxa" w:w="1104"/>
          </w:tcPr>
          <w:p>
            <w:pPr>
              <w:spacing w:after="0" w:line="240" w:lineRule="auto"/>
            </w:pPr>
            <w:r>
              <w:rPr>
                <w:sz w:val="18"/>
              </w:rPr>
              <w:t>11.7</w:t>
            </w:r>
          </w:p>
        </w:tc>
        <w:tc>
          <w:tcPr>
            <w:tcW w:type="dxa" w:w="1104"/>
          </w:tcPr>
          <w:p>
            <w:pPr>
              <w:spacing w:after="0" w:line="240" w:lineRule="auto"/>
            </w:pPr>
            <w:r>
              <w:rPr>
                <w:sz w:val="18"/>
              </w:rPr>
              <w:t>10%</w:t>
            </w:r>
          </w:p>
        </w:tc>
        <w:tc>
          <w:tcPr>
            <w:tcW w:type="dxa" w:w="809"/>
          </w:tcPr>
          <w:p>
            <w:pPr>
              <w:spacing w:after="0" w:line="240" w:lineRule="auto"/>
            </w:pPr>
            <w:r>
              <w:rPr>
                <w:sz w:val="18"/>
              </w:rPr>
              <w:t>12</w:t>
            </w:r>
          </w:p>
        </w:tc>
        <w:tc>
          <w:tcPr>
            <w:tcW w:type="dxa" w:w="809"/>
          </w:tcPr>
          <w:p>
            <w:pPr>
              <w:spacing w:after="0" w:line="240" w:lineRule="auto"/>
            </w:pPr>
            <w:r>
              <w:rPr>
                <w:sz w:val="18"/>
              </w:rPr>
              <w:t>[PK, PP]</w:t>
            </w:r>
          </w:p>
        </w:tc>
      </w:tr>
      <w:tr>
        <w:trPr>
          <w:cantSplit/>
        </w:trPr>
        <w:tc>
          <w:tcPr>
            <w:tcW w:type="dxa" w:w="1496"/>
          </w:tcPr>
          <w:p>
            <w:pPr>
              <w:spacing w:after="0" w:line="240" w:lineRule="auto"/>
            </w:pPr>
            <w:r>
              <w:rPr>
                <w:sz w:val="18"/>
              </w:rPr>
              <w:t>Plan B, lower risk</w:t>
            </w:r>
          </w:p>
        </w:tc>
        <w:tc>
          <w:tcPr>
            <w:tcW w:type="dxa" w:w="1104"/>
          </w:tcPr>
          <w:p>
            <w:pPr>
              <w:spacing w:after="0" w:line="240" w:lineRule="auto"/>
            </w:pPr>
            <w:r>
              <w:rPr>
                <w:sz w:val="18"/>
              </w:rPr>
              <w:t>Pass</w:t>
            </w:r>
          </w:p>
        </w:tc>
        <w:tc>
          <w:tcPr>
            <w:tcW w:type="dxa" w:w="907"/>
          </w:tcPr>
          <w:p>
            <w:pPr>
              <w:spacing w:after="0" w:line="240" w:lineRule="auto"/>
            </w:pPr>
            <w:r>
              <w:rPr>
                <w:sz w:val="18"/>
              </w:rPr>
              <w:t>449,391</w:t>
            </w:r>
          </w:p>
        </w:tc>
        <w:tc>
          <w:tcPr>
            <w:tcW w:type="dxa" w:w="1496"/>
          </w:tcPr>
          <w:p>
            <w:pPr>
              <w:spacing w:after="0" w:line="240" w:lineRule="auto"/>
            </w:pPr>
            <w:r>
              <w:rPr>
                <w:sz w:val="18"/>
              </w:rPr>
              <w:t>+0.2%</w:t>
            </w:r>
          </w:p>
        </w:tc>
        <w:tc>
          <w:tcPr>
            <w:tcW w:type="dxa" w:w="809"/>
          </w:tcPr>
          <w:p>
            <w:pPr>
              <w:spacing w:after="0" w:line="240" w:lineRule="auto"/>
            </w:pPr>
            <w:r>
              <w:rPr>
                <w:sz w:val="18"/>
              </w:rPr>
              <w:t>0.920</w:t>
            </w:r>
          </w:p>
        </w:tc>
        <w:tc>
          <w:tcPr>
            <w:tcW w:type="dxa" w:w="1104"/>
          </w:tcPr>
          <w:p>
            <w:pPr>
              <w:spacing w:after="0" w:line="240" w:lineRule="auto"/>
            </w:pPr>
            <w:r>
              <w:rPr>
                <w:sz w:val="18"/>
              </w:rPr>
              <w:t>13.7</w:t>
            </w:r>
          </w:p>
        </w:tc>
        <w:tc>
          <w:tcPr>
            <w:tcW w:type="dxa" w:w="1104"/>
          </w:tcPr>
          <w:p>
            <w:pPr>
              <w:spacing w:after="0" w:line="240" w:lineRule="auto"/>
            </w:pPr>
            <w:r>
              <w:rPr>
                <w:sz w:val="18"/>
              </w:rPr>
              <w:t>50%</w:t>
            </w:r>
          </w:p>
        </w:tc>
        <w:tc>
          <w:tcPr>
            <w:tcW w:type="dxa" w:w="809"/>
          </w:tcPr>
          <w:p>
            <w:pPr>
              <w:spacing w:after="0" w:line="240" w:lineRule="auto"/>
            </w:pPr>
            <w:r>
              <w:rPr>
                <w:sz w:val="18"/>
              </w:rPr>
              <w:t>23</w:t>
            </w:r>
          </w:p>
        </w:tc>
        <w:tc>
          <w:tcPr>
            <w:tcW w:type="dxa" w:w="809"/>
          </w:tcPr>
          <w:p>
            <w:pPr>
              <w:spacing w:after="0" w:line="240" w:lineRule="auto"/>
            </w:pPr>
            <w:r>
              <w:rPr>
                <w:sz w:val="18"/>
              </w:rPr>
              <w:t>[PK]</w:t>
            </w:r>
          </w:p>
        </w:tc>
      </w:tr>
      <w:tr>
        <w:trPr>
          <w:cantSplit/>
        </w:trPr>
        <w:tc>
          <w:tcPr>
            <w:tcW w:type="dxa" w:w="1496"/>
          </w:tcPr>
          <w:p>
            <w:pPr>
              <w:spacing w:after="0" w:line="240" w:lineRule="auto"/>
            </w:pPr>
            <w:r>
              <w:rPr>
                <w:sz w:val="18"/>
              </w:rPr>
              <w:t>Plan C, balanced</w:t>
            </w:r>
          </w:p>
        </w:tc>
        <w:tc>
          <w:tcPr>
            <w:tcW w:type="dxa" w:w="1104"/>
          </w:tcPr>
          <w:p>
            <w:pPr>
              <w:spacing w:after="0" w:line="240" w:lineRule="auto"/>
            </w:pPr>
            <w:r>
              <w:rPr>
                <w:b/>
                <w:sz w:val="18"/>
              </w:rPr>
              <w:t>Rejected</w:t>
            </w:r>
          </w:p>
        </w:tc>
        <w:tc>
          <w:tcPr>
            <w:tcW w:type="dxa" w:w="907"/>
          </w:tcPr>
          <w:p>
            <w:pPr>
              <w:spacing w:after="0" w:line="240" w:lineRule="auto"/>
            </w:pPr>
            <w:r>
              <w:rPr>
                <w:sz w:val="18"/>
              </w:rPr>
              <w:t>447,507</w:t>
            </w:r>
          </w:p>
        </w:tc>
        <w:tc>
          <w:tcPr>
            <w:tcW w:type="dxa" w:w="1496"/>
          </w:tcPr>
          <w:p>
            <w:pPr>
              <w:spacing w:after="0" w:line="240" w:lineRule="auto"/>
            </w:pPr>
            <w:r>
              <w:rPr>
                <w:sz w:val="18"/>
              </w:rPr>
              <w:t>−0.2%, not valid (derived: 447,507 ÷ 448,393 − 1)</w:t>
            </w:r>
          </w:p>
        </w:tc>
        <w:tc>
          <w:tcPr>
            <w:tcW w:type="dxa" w:w="809"/>
          </w:tcPr>
          <w:p>
            <w:pPr>
              <w:spacing w:after="0" w:line="240" w:lineRule="auto"/>
            </w:pPr>
            <w:r>
              <w:rPr>
                <w:sz w:val="18"/>
              </w:rPr>
              <w:t>0.916</w:t>
            </w:r>
          </w:p>
        </w:tc>
        <w:tc>
          <w:tcPr>
            <w:tcW w:type="dxa" w:w="1104"/>
          </w:tcPr>
          <w:p>
            <w:pPr>
              <w:spacing w:after="0" w:line="240" w:lineRule="auto"/>
            </w:pPr>
            <w:r>
              <w:rPr>
                <w:sz w:val="18"/>
              </w:rPr>
              <w:t>9.0</w:t>
            </w:r>
          </w:p>
        </w:tc>
        <w:tc>
          <w:tcPr>
            <w:tcW w:type="dxa" w:w="1104"/>
          </w:tcPr>
          <w:p>
            <w:pPr>
              <w:spacing w:after="0" w:line="240" w:lineRule="auto"/>
            </w:pPr>
            <w:r>
              <w:rPr>
                <w:sz w:val="18"/>
              </w:rPr>
              <w:t>30%</w:t>
            </w:r>
          </w:p>
        </w:tc>
        <w:tc>
          <w:tcPr>
            <w:tcW w:type="dxa" w:w="809"/>
          </w:tcPr>
          <w:p>
            <w:pPr>
              <w:spacing w:after="0" w:line="240" w:lineRule="auto"/>
            </w:pPr>
            <w:r>
              <w:rPr>
                <w:sz w:val="18"/>
              </w:rPr>
              <w:t>20</w:t>
            </w:r>
          </w:p>
        </w:tc>
        <w:tc>
          <w:tcPr>
            <w:tcW w:type="dxa" w:w="809"/>
          </w:tcPr>
          <w:p>
            <w:pPr>
              <w:spacing w:after="0" w:line="240" w:lineRule="auto"/>
            </w:pPr>
            <w:r>
              <w:rPr>
                <w:sz w:val="18"/>
              </w:rPr>
              <w:t>[PK, PP]</w:t>
            </w:r>
          </w:p>
        </w:tc>
      </w:tr>
      <w:tr>
        <w:trPr>
          <w:cantSplit/>
        </w:trPr>
        <w:tc>
          <w:tcPr>
            <w:tcW w:type="dxa" w:w="1496"/>
          </w:tcPr>
          <w:p>
            <w:pPr>
              <w:spacing w:after="0" w:line="240" w:lineRule="auto"/>
            </w:pPr>
            <w:r>
              <w:rPr>
                <w:sz w:val="18"/>
              </w:rPr>
              <w:t>Plan A, lowest cost</w:t>
            </w:r>
          </w:p>
        </w:tc>
        <w:tc>
          <w:tcPr>
            <w:tcW w:type="dxa" w:w="1104"/>
          </w:tcPr>
          <w:p>
            <w:pPr>
              <w:spacing w:after="0" w:line="240" w:lineRule="auto"/>
            </w:pPr>
            <w:r>
              <w:rPr>
                <w:b/>
                <w:sz w:val="18"/>
              </w:rPr>
              <w:t>Rejected</w:t>
            </w:r>
          </w:p>
        </w:tc>
        <w:tc>
          <w:tcPr>
            <w:tcW w:type="dxa" w:w="907"/>
          </w:tcPr>
          <w:p>
            <w:pPr>
              <w:spacing w:after="0" w:line="240" w:lineRule="auto"/>
            </w:pPr>
            <w:r>
              <w:rPr>
                <w:sz w:val="18"/>
              </w:rPr>
              <w:t>433,506</w:t>
            </w:r>
          </w:p>
        </w:tc>
        <w:tc>
          <w:tcPr>
            <w:tcW w:type="dxa" w:w="1496"/>
          </w:tcPr>
          <w:p>
            <w:pPr>
              <w:spacing w:after="0" w:line="240" w:lineRule="auto"/>
            </w:pPr>
            <w:r>
              <w:rPr>
                <w:sz w:val="18"/>
              </w:rPr>
              <w:t>−3.3%, not valid</w:t>
            </w:r>
          </w:p>
        </w:tc>
        <w:tc>
          <w:tcPr>
            <w:tcW w:type="dxa" w:w="809"/>
          </w:tcPr>
          <w:p>
            <w:pPr>
              <w:spacing w:after="0" w:line="240" w:lineRule="auto"/>
            </w:pPr>
            <w:r>
              <w:rPr>
                <w:sz w:val="18"/>
              </w:rPr>
              <w:t>0.888</w:t>
            </w:r>
          </w:p>
        </w:tc>
        <w:tc>
          <w:tcPr>
            <w:tcW w:type="dxa" w:w="1104"/>
          </w:tcPr>
          <w:p>
            <w:pPr>
              <w:spacing w:after="0" w:line="240" w:lineRule="auto"/>
            </w:pPr>
            <w:r>
              <w:rPr>
                <w:sz w:val="18"/>
              </w:rPr>
              <w:t>9.0</w:t>
            </w:r>
          </w:p>
        </w:tc>
        <w:tc>
          <w:tcPr>
            <w:tcW w:type="dxa" w:w="1104"/>
          </w:tcPr>
          <w:p>
            <w:pPr>
              <w:spacing w:after="0" w:line="240" w:lineRule="auto"/>
            </w:pPr>
            <w:r>
              <w:rPr>
                <w:sz w:val="18"/>
              </w:rPr>
              <w:t>10%</w:t>
            </w:r>
          </w:p>
        </w:tc>
        <w:tc>
          <w:tcPr>
            <w:tcW w:type="dxa" w:w="809"/>
          </w:tcPr>
          <w:p>
            <w:pPr>
              <w:spacing w:after="0" w:line="240" w:lineRule="auto"/>
            </w:pPr>
            <w:r>
              <w:rPr>
                <w:sz w:val="18"/>
              </w:rPr>
              <w:t>14</w:t>
            </w:r>
          </w:p>
        </w:tc>
        <w:tc>
          <w:tcPr>
            <w:tcW w:type="dxa" w:w="809"/>
          </w:tcPr>
          <w:p>
            <w:pPr>
              <w:spacing w:after="0" w:line="240" w:lineRule="auto"/>
            </w:pPr>
            <w:r>
              <w:rPr>
                <w:sz w:val="18"/>
              </w:rPr>
              <w:t>[PK, PP, RM]</w:t>
            </w:r>
          </w:p>
        </w:tc>
      </w:tr>
    </w:tbl>
    <w:p>
      <w:pPr>
        <w:spacing w:after="40"/>
      </w:pPr>
    </w:p>
    <w:p>
      <w:pPr>
        <w:spacing w:after="160"/>
      </w:pPr>
      <w:r>
        <w:rPr>
          <w:i/>
          <w:color w:val="5B6775"/>
          <w:sz w:val="18"/>
        </w:rPr>
        <w:t>Customer pressure floors are 10 m, or the model's own minimum where it is already lower (A7). Tank reserve: the lowest level each elevated tank may reach, as a share of its range. Rejected: graded Warning, and no version of the plan passed within the optimise-and-check rounds [PP].</w:t>
      </w:r>
    </w:p>
    <w:p>
      <w:r>
        <w:rPr>
          <w:b/>
        </w:rPr>
        <w:t>Recommendation to the operator.</w:t>
      </w:r>
      <w:r>
        <w:rPr/>
        <w:t xml:space="preserve"> Once Eastwater confirms the head tanks may run this low, run the lowest-energy plan with the tanks held lower: 119,510 kWh/day and 0.2447 kWh/m³ (0.845 THB/m³), 8.0% cheaper than holding the tanks 85% full, and it passes the hydraulic check [WK, WI]. NPL3_HT must stay above about 35% full for every customer to keep its pressure floor (55% with no TM Pond pump running) [WI]. A tariff-aware version saves a further 0.2% (411,982 THB/day), within the optimiser's tolerance [WI]. Until the tank levels are confirmed, run the lowest-energy plan with the tanks 85% full (448,393 THB/day, 0.264 kWh/m³) [PK]. Choose Plan B instead if a larger tank buffer is worth about 1,000 THB/day (derived: 449,391 − 448,393): it keeps both tanks at least half full, at the price of 23 pump starts instead of 12 [PK].</w:t>
      </w:r>
    </w:p>
    <w:p>
      <w:r>
        <w:rPr>
          <w:b/>
        </w:rPr>
        <w:t>Why the two lowest-energy plans differ.</w:t>
      </w:r>
      <w:r>
        <w:rPr/>
        <w:t xml:space="preserve"> The pumps lift against less head when the tanks are lower. At 10 times today's storage, the lowest-cost plan costs 9.2% more than the lowest-energy plan for that size when it must start the day 85% full, against 0.9% less when it may choose its start level [WI]. The two runs also model the tanks differently: the what-if lets tank inflows depend on tank level and lets the optimiser choose the start level, while </w:t>
      </w:r>
      <w:r>
        <w:rPr>
          <w:rFonts w:ascii="Consolas" w:hAnsi="Consolas" w:cs="Leelawadee UI"/>
          <w:sz w:val="19"/>
        </w:rPr>
        <w:t>optimize_pumps.m</w:t>
      </w:r>
      <w:r>
        <w:rPr/>
        <w:t xml:space="preserve"> plans on inflows measured near full and starts both tanks at 85% [WI].</w:t>
      </w:r>
    </w:p>
    <w:p>
      <w:r>
        <w:rPr>
          <w:b/>
        </w:rPr>
        <w:t>Why not the cheaper-looking Plans A and C.</w:t>
      </w:r>
      <w:r>
        <w:rPr/>
        <w:t xml:space="preserve"> Plan A would save 3.3% on paper [RM]. In EPANET, tank NPL2_HT ended the day 8.3 m below its starting level, pumps were forced off because they could not deliver the head, and Burapa fell below its pressure target. Plan C also left Burapa below target, and NPL2_HT 2.9 m low [PP]. Both are reported as rejected, not as savings.</w:t>
      </w:r>
    </w:p>
    <w:p>
      <w:r>
        <w:rPr>
          <w:b/>
        </w:rPr>
        <w:t>Why off-peak pumping does not pay here.</w:t>
      </w:r>
      <w:r>
        <w:rPr/>
        <w:t xml:space="preserve"> Pumping ahead of the 09:00–22:00 peak means running more pumps at once off-peak, which raises the head every pump works against and uses up most of the off-peak discount [WI]; the small elevated tanks (about 16,400 m³) and the customer pressure floors limit it further [RM, WI]. Even Plan A only cut the average number of pumps running in peak hours from 10.4 to 9.9 [PK]. Bigger tanks would not change this (Section 6.6).</w:t>
      </w:r>
    </w:p>
    <w:p>
      <w:r>
        <w:rPr>
          <w:b/>
        </w:rPr>
        <w:t>At the model's full demand (688,403 m³/day) there is no recommendation.</w:t>
      </w:r>
      <w:r>
        <w:rPr/>
        <w:t xml:space="preserve"> No schedule keeps the tanks within limits and repeats daily: tank NPL3_HT drains by about 775 m³/h, about 18,600 m³/day, even with all usable pumps running [PP, RM]. That is a capacity question for Eastwater, not a scheduling one (Section 9, risk 4).</w:t>
      </w:r>
    </w:p>
    <w:p>
      <w:r>
        <w:rPr>
          <w:b/>
        </w:rPr>
        <w:t>Still needed for a real recommendation:</w:t>
      </w:r>
      <w:r>
        <w:rPr/>
        <w:t xml:space="preserve"> today's operation as the comparison (the proposal's "current plan = 100%" [DECK 3]), the real tariff, real demand patterns, Eastwater's minimum tank levels and a calibrated model (Section 5). In every pump-plan run, at least 27 junctions at the pump suctions show negative pressure (27 for both passing plans), which traces to the modelled source reservoir heads (A6) [PP, RM].</w:t>
      </w:r>
    </w:p>
    <w:p>
      <w:pPr>
        <w:pStyle w:val="Heading1"/>
      </w:pPr>
      <w:r>
        <w:rPr/>
        <w:t>4. Baseline KPIs</w:t>
      </w:r>
    </w:p>
    <w:p>
      <w:pPr>
        <w:keepNext/>
      </w:pPr>
      <w:r>
        <w:rPr/>
        <w:t>The proposal names four KPIs to agree before the project starts [DECK 4]. The table shows what the POC could measure now, and what cannot be measured until Eastwater's data arrives.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275"/>
        <w:gridCol w:w="5025"/>
        <w:gridCol w:w="1618"/>
        <w:gridCol w:w="1718"/>
      </w:tblGrid>
      <w:tr>
        <w:trPr>
          <w:cantSplit/>
          <w:tblHeader/>
        </w:trPr>
        <w:tc>
          <w:tcPr>
            <w:tcW w:type="dxa" w:w="1276"/>
            <w:shd w:val="clear" w:color="auto" w:fill="DCE6EF"/>
          </w:tcPr>
          <w:p>
            <w:pPr>
              <w:keepNext/>
              <w:spacing w:after="0" w:line="240" w:lineRule="auto"/>
            </w:pPr>
            <w:r>
              <w:rPr>
                <w:b/>
                <w:sz w:val="18"/>
              </w:rPr>
              <w:t>KPI [DECK 4]</w:t>
            </w:r>
          </w:p>
        </w:tc>
        <w:tc>
          <w:tcPr>
            <w:tcW w:type="dxa" w:w="5025"/>
            <w:shd w:val="clear" w:color="auto" w:fill="DCE6EF"/>
          </w:tcPr>
          <w:p>
            <w:pPr>
              <w:keepNext/>
              <w:spacing w:after="0" w:line="240" w:lineRule="auto"/>
            </w:pPr>
            <w:r>
              <w:rPr>
                <w:b/>
                <w:sz w:val="18"/>
              </w:rPr>
              <w:t>Measured in the POC</w:t>
            </w:r>
          </w:p>
        </w:tc>
        <w:tc>
          <w:tcPr>
            <w:tcW w:type="dxa" w:w="1618"/>
            <w:shd w:val="clear" w:color="auto" w:fill="DCE6EF"/>
          </w:tcPr>
          <w:p>
            <w:pPr>
              <w:keepNext/>
              <w:spacing w:after="0" w:line="240" w:lineRule="auto"/>
            </w:pPr>
            <w:r>
              <w:rPr>
                <w:b/>
                <w:sz w:val="18"/>
              </w:rPr>
              <w:t>Basis</w:t>
            </w:r>
          </w:p>
        </w:tc>
        <w:tc>
          <w:tcPr>
            <w:tcW w:type="dxa" w:w="1719"/>
            <w:shd w:val="clear" w:color="auto" w:fill="DCE6EF"/>
          </w:tcPr>
          <w:p>
            <w:pPr>
              <w:keepNext/>
              <w:spacing w:after="0" w:line="240" w:lineRule="auto"/>
            </w:pPr>
            <w:r>
              <w:rPr>
                <w:b/>
                <w:sz w:val="18"/>
              </w:rPr>
              <w:t>Not measurable until Eastwater's data arrives</w:t>
            </w:r>
          </w:p>
        </w:tc>
      </w:tr>
      <w:tr>
        <w:trPr>
          <w:cantSplit/>
        </w:trPr>
        <w:tc>
          <w:tcPr>
            <w:tcW w:type="dxa" w:w="1276"/>
          </w:tcPr>
          <w:p>
            <w:pPr>
              <w:spacing w:after="0" w:line="240" w:lineRule="auto"/>
            </w:pPr>
            <w:r>
              <w:rPr>
                <w:b/>
                <w:sz w:val="18"/>
              </w:rPr>
              <w:t>Cost per m³</w:t>
            </w:r>
            <w:r>
              <w:rPr>
                <w:sz w:val="18"/>
              </w:rPr>
              <w:t xml:space="preserve"> (pumping energy)</w:t>
            </w:r>
          </w:p>
        </w:tc>
        <w:tc>
          <w:tcPr>
            <w:tcW w:type="dxa" w:w="5025"/>
          </w:tcPr>
          <w:p>
            <w:pPr>
              <w:spacing w:after="0" w:line="240" w:lineRule="auto"/>
            </w:pPr>
            <w:r>
              <w:rPr>
                <w:b/>
                <w:sz w:val="18"/>
              </w:rPr>
              <w:t>0.96 THB/m³</w:t>
            </w:r>
            <w:r>
              <w:rPr>
                <w:sz w:val="18"/>
              </w:rPr>
              <w:t xml:space="preserve"> (0.278 kWh/m³; 191,207 kWh and 660,897 THB a day) for the model as supplied at 688,403 m³/day, graded Warning [PK]. </w:t>
            </w:r>
            <w:r>
              <w:rPr>
                <w:b/>
                <w:sz w:val="18"/>
              </w:rPr>
              <w:t>0.918 THB/m³</w:t>
            </w:r>
            <w:r>
              <w:rPr>
                <w:sz w:val="18"/>
              </w:rPr>
              <w:t xml:space="preserve"> (0.264 kWh/m³) for the cheapest plan that passes with the tanks 85% full, at 488,403 m³/day [PK, PP]. </w:t>
            </w:r>
            <w:r>
              <w:rPr>
                <w:b/>
                <w:sz w:val="18"/>
              </w:rPr>
              <w:t>0.845 THB/m³</w:t>
            </w:r>
            <w:r>
              <w:rPr>
                <w:sz w:val="18"/>
              </w:rPr>
              <w:t xml:space="preserve"> (0.2447 kWh/m³) for the lowest-energy plan with the tanks held lower, which also passes (A11) [WK, WI].</w:t>
            </w:r>
          </w:p>
        </w:tc>
        <w:tc>
          <w:tcPr>
            <w:tcW w:type="dxa" w:w="1618"/>
          </w:tcPr>
          <w:p>
            <w:pPr>
              <w:spacing w:after="0" w:line="240" w:lineRule="auto"/>
            </w:pPr>
            <w:r>
              <w:rPr>
                <w:sz w:val="18"/>
              </w:rPr>
              <w:t>Model (A1–A4). Three pump stations: NPL2, NPL3 and TM Pond [EP]. Divided by modelled demand, not metered deliveries.</w:t>
            </w:r>
          </w:p>
        </w:tc>
        <w:tc>
          <w:tcPr>
            <w:tcW w:type="dxa" w:w="1719"/>
          </w:tcPr>
          <w:p>
            <w:pPr>
              <w:spacing w:after="0" w:line="240" w:lineRule="auto"/>
            </w:pPr>
            <w:r>
              <w:rPr>
                <w:sz w:val="18"/>
              </w:rPr>
              <w:t>Today's actual energy cost per delivered m³, the proposal's definition [DECK A9] (items 1–4).</w:t>
            </w:r>
          </w:p>
        </w:tc>
      </w:tr>
      <w:tr>
        <w:trPr>
          <w:cantSplit/>
        </w:trPr>
        <w:tc>
          <w:tcPr>
            <w:tcW w:type="dxa" w:w="1276"/>
          </w:tcPr>
          <w:p>
            <w:pPr>
              <w:spacing w:after="0" w:line="240" w:lineRule="auto"/>
            </w:pPr>
            <w:r>
              <w:rPr>
                <w:b/>
                <w:sz w:val="18"/>
              </w:rPr>
              <w:t>Saving vs today's operation</w:t>
            </w:r>
          </w:p>
        </w:tc>
        <w:tc>
          <w:tcPr>
            <w:tcW w:type="dxa" w:w="5025"/>
          </w:tcPr>
          <w:p>
            <w:pPr>
              <w:spacing w:after="0" w:line="240" w:lineRule="auto"/>
            </w:pPr>
            <w:r>
              <w:rPr>
                <w:b/>
                <w:sz w:val="18"/>
              </w:rPr>
              <w:t>Not measurable.</w:t>
            </w:r>
            <w:r>
              <w:rPr>
                <w:sz w:val="18"/>
              </w:rPr>
              <w:t xml:space="preserve"> Model-only evidence: off-peak shifting saves about 0%. The only valid tariff-aware plan cost 0.2% more than the lowest-energy plan in the final run; −0.4% to +0.6% across all runs [RM, PK]; at most 0.9% even with 10 times the tank storage [WI]. Holding the tanks lower uses 7.5% less energy than holding them 85% full [WI].</w:t>
            </w:r>
          </w:p>
        </w:tc>
        <w:tc>
          <w:tcPr>
            <w:tcW w:type="dxa" w:w="1618"/>
          </w:tcPr>
          <w:p>
            <w:pPr>
              <w:spacing w:after="0" w:line="240" w:lineRule="auto"/>
            </w:pPr>
            <w:r>
              <w:rPr>
                <w:sz w:val="18"/>
              </w:rPr>
              <w:t>Compared with other model plans, because today's operation is unknown.</w:t>
            </w:r>
          </w:p>
        </w:tc>
        <w:tc>
          <w:tcPr>
            <w:tcW w:type="dxa" w:w="1719"/>
          </w:tcPr>
          <w:p>
            <w:pPr>
              <w:spacing w:after="0" w:line="240" w:lineRule="auto"/>
            </w:pPr>
            <w:r>
              <w:rPr>
                <w:sz w:val="18"/>
              </w:rPr>
              <w:t>Today's operation and the real tariff (items 1–3), replayed on real days.</w:t>
            </w:r>
          </w:p>
        </w:tc>
      </w:tr>
      <w:tr>
        <w:trPr>
          <w:cantSplit/>
        </w:trPr>
        <w:tc>
          <w:tcPr>
            <w:tcW w:type="dxa" w:w="1276"/>
          </w:tcPr>
          <w:p>
            <w:pPr>
              <w:spacing w:after="0" w:line="240" w:lineRule="auto"/>
            </w:pPr>
            <w:r>
              <w:rPr>
                <w:b/>
                <w:sz w:val="18"/>
              </w:rPr>
              <w:t>Forecast accuracy</w:t>
            </w:r>
          </w:p>
        </w:tc>
        <w:tc>
          <w:tcPr>
            <w:tcW w:type="dxa" w:w="5025"/>
          </w:tcPr>
          <w:p>
            <w:pPr>
              <w:spacing w:after="0" w:line="240" w:lineRule="auto"/>
            </w:pPr>
            <w:r>
              <w:rPr>
                <w:sz w:val="18"/>
              </w:rPr>
              <w:t xml:space="preserve">Daily draw, PWA Chonburi: </w:t>
            </w:r>
            <w:r>
              <w:rPr>
                <w:b/>
                <w:sz w:val="18"/>
              </w:rPr>
              <w:t>3.4%</w:t>
            </w:r>
            <w:r>
              <w:rPr>
                <w:sz w:val="18"/>
              </w:rPr>
              <w:t xml:space="preserve"> error 1 day ahead, </w:t>
            </w:r>
            <w:r>
              <w:rPr>
                <w:b/>
                <w:sz w:val="18"/>
              </w:rPr>
              <w:t>4.5%</w:t>
            </w:r>
            <w:r>
              <w:rPr>
                <w:sz w:val="18"/>
              </w:rPr>
              <w:t xml:space="preserve"> 7 days ahead. Total daily draw, all users: </w:t>
            </w:r>
            <w:r>
              <w:rPr>
                <w:b/>
                <w:sz w:val="18"/>
              </w:rPr>
              <w:t>5.2%</w:t>
            </w:r>
            <w:r>
              <w:rPr>
                <w:sz w:val="18"/>
              </w:rPr>
              <w:t xml:space="preserve"> (1 day) to </w:t>
            </w:r>
            <w:r>
              <w:rPr>
                <w:b/>
                <w:sz w:val="18"/>
              </w:rPr>
              <w:t>8.8%</w:t>
            </w:r>
            <w:r>
              <w:rPr>
                <w:sz w:val="18"/>
              </w:rPr>
              <w:t xml:space="preserve"> (7 days). Storage 30 days ahead: </w:t>
            </w:r>
            <w:r>
              <w:rPr>
                <w:b/>
                <w:sz w:val="18"/>
              </w:rPr>
              <w:t>3.49 MCM</w:t>
            </w:r>
            <w:r>
              <w:rPr>
                <w:sz w:val="18"/>
              </w:rPr>
              <w:t xml:space="preserve"> average error [BT, SO], 3.0% of the 117 MCM capacity (derived: 3.49 ÷ 117.0) [DQ].</w:t>
            </w:r>
          </w:p>
        </w:tc>
        <w:tc>
          <w:tcPr>
            <w:tcW w:type="dxa" w:w="1618"/>
          </w:tcPr>
          <w:p>
            <w:pPr>
              <w:spacing w:after="0" w:line="240" w:lineRule="auto"/>
            </w:pPr>
            <w:r>
              <w:rPr>
                <w:sz w:val="18"/>
              </w:rPr>
              <w:t>Bang Phra reservoir draws, tested from 2022 (demand) and 2019 (storage) (A8).</w:t>
            </w:r>
          </w:p>
        </w:tc>
        <w:tc>
          <w:tcPr>
            <w:tcW w:type="dxa" w:w="1719"/>
          </w:tcPr>
          <w:p>
            <w:pPr>
              <w:spacing w:after="0" w:line="240" w:lineRule="auto"/>
            </w:pPr>
            <w:r>
              <w:rPr>
                <w:sz w:val="18"/>
              </w:rPr>
              <w:t>Accuracy on the pilot network's customer deliveries, at Eastwater's planning horizons (items 4, 11).</w:t>
            </w:r>
          </w:p>
        </w:tc>
      </w:tr>
      <w:tr>
        <w:trPr>
          <w:cantSplit/>
        </w:trPr>
        <w:tc>
          <w:tcPr>
            <w:tcW w:type="dxa" w:w="1276"/>
          </w:tcPr>
          <w:p>
            <w:pPr>
              <w:spacing w:after="0" w:line="240" w:lineRule="auto"/>
            </w:pPr>
            <w:r>
              <w:rPr>
                <w:b/>
                <w:sz w:val="18"/>
              </w:rPr>
              <w:t>Plans passing the hydraulic check</w:t>
            </w:r>
          </w:p>
        </w:tc>
        <w:tc>
          <w:tcPr>
            <w:tcW w:type="dxa" w:w="5025"/>
          </w:tcPr>
          <w:p>
            <w:pPr>
              <w:spacing w:after="0" w:line="240" w:lineRule="auto"/>
            </w:pPr>
            <w:r>
              <w:rPr>
                <w:sz w:val="18"/>
              </w:rPr>
              <w:t xml:space="preserve">At 488,403 m³/day: </w:t>
            </w:r>
            <w:r>
              <w:rPr>
                <w:b/>
                <w:sz w:val="18"/>
              </w:rPr>
              <w:t>2 of 4</w:t>
            </w:r>
            <w:r>
              <w:rPr>
                <w:sz w:val="18"/>
              </w:rPr>
              <w:t xml:space="preserve"> schedules pass, 50% (lowest-energy plan, Plan B); of Plans A, B and C, </w:t>
            </w:r>
            <w:r>
              <w:rPr>
                <w:b/>
                <w:sz w:val="18"/>
              </w:rPr>
              <w:t>1 of 3</w:t>
            </w:r>
            <w:r>
              <w:rPr>
                <w:sz w:val="18"/>
              </w:rPr>
              <w:t xml:space="preserve">, 33%. At 688,403 m³/day: </w:t>
            </w:r>
            <w:r>
              <w:rPr>
                <w:b/>
                <w:sz w:val="18"/>
              </w:rPr>
              <w:t>0 of 4</w:t>
            </w:r>
            <w:r>
              <w:rPr>
                <w:sz w:val="18"/>
              </w:rPr>
              <w:t xml:space="preserve">, 0% (no feasible schedule); the model's own operation grades Warning [PP]. Storage what-if, which models tank inflows by tank level: </w:t>
            </w:r>
            <w:r>
              <w:rPr>
                <w:b/>
                <w:sz w:val="18"/>
              </w:rPr>
              <w:t>9 of 9</w:t>
            </w:r>
            <w:r>
              <w:rPr>
                <w:sz w:val="18"/>
              </w:rPr>
              <w:t xml:space="preserve"> plans pass on the first EPANET check [WI].</w:t>
            </w:r>
          </w:p>
        </w:tc>
        <w:tc>
          <w:tcPr>
            <w:tcW w:type="dxa" w:w="1618"/>
          </w:tcPr>
          <w:p>
            <w:pPr>
              <w:spacing w:after="0" w:line="240" w:lineRule="auto"/>
            </w:pPr>
            <w:r>
              <w:rPr>
                <w:sz w:val="18"/>
              </w:rPr>
              <w:t>24-hour EPANET check against the A7 limits.</w:t>
            </w:r>
          </w:p>
        </w:tc>
        <w:tc>
          <w:tcPr>
            <w:tcW w:type="dxa" w:w="1719"/>
          </w:tcPr>
          <w:p>
            <w:pPr>
              <w:spacing w:after="0" w:line="240" w:lineRule="auto"/>
            </w:pPr>
            <w:r>
              <w:rPr>
                <w:sz w:val="18"/>
              </w:rPr>
              <w:t>Pass rate on real operating days with a calibrated model (items 5, 7).</w:t>
            </w:r>
          </w:p>
        </w:tc>
      </w:tr>
      <w:tr>
        <w:trPr>
          <w:cantSplit/>
        </w:trPr>
        <w:tc>
          <w:tcPr>
            <w:tcW w:type="dxa" w:w="1276"/>
          </w:tcPr>
          <w:p>
            <w:pPr>
              <w:spacing w:after="0" w:line="240" w:lineRule="auto"/>
            </w:pPr>
            <w:r>
              <w:rPr>
                <w:b/>
                <w:sz w:val="18"/>
              </w:rPr>
              <w:t>Planning time</w:t>
            </w:r>
          </w:p>
        </w:tc>
        <w:tc>
          <w:tcPr>
            <w:tcW w:type="dxa" w:w="5025"/>
          </w:tcPr>
          <w:p>
            <w:pPr>
              <w:spacing w:after="0" w:line="240" w:lineRule="auto"/>
            </w:pPr>
            <w:r>
              <w:rPr>
                <w:sz w:val="18"/>
              </w:rPr>
              <w:t xml:space="preserve">Computer time: </w:t>
            </w:r>
            <w:r>
              <w:rPr>
                <w:b/>
                <w:sz w:val="18"/>
              </w:rPr>
              <w:t>about 25 minutes</w:t>
            </w:r>
            <w:r>
              <w:rPr>
                <w:sz w:val="18"/>
              </w:rPr>
              <w:t xml:space="preserve"> for a full run: two demand scenarios, four schedules each, 343 pump-station combinations simulated per scenario, every plan checked in EPANET [RM, PP]. The storage what-if script (four tank sizes, nine plans, plus the cost tables) ran in 34 minutes [WI].</w:t>
            </w:r>
          </w:p>
        </w:tc>
        <w:tc>
          <w:tcPr>
            <w:tcW w:type="dxa" w:w="1618"/>
          </w:tcPr>
          <w:p>
            <w:pPr>
              <w:spacing w:after="0" w:line="240" w:lineRule="auto"/>
            </w:pPr>
            <w:r>
              <w:rPr>
                <w:sz w:val="18"/>
              </w:rPr>
              <w:t>Analysis PC; optimiser stops within 0.5% of the best cost, 300 s limit per solve [RM].</w:t>
            </w:r>
          </w:p>
        </w:tc>
        <w:tc>
          <w:tcPr>
            <w:tcW w:type="dxa" w:w="1719"/>
          </w:tcPr>
          <w:p>
            <w:pPr>
              <w:spacing w:after="0" w:line="240" w:lineRule="auto"/>
            </w:pPr>
            <w:r>
              <w:rPr>
                <w:sz w:val="18"/>
              </w:rPr>
              <w:t>Today's manual planning time (item 11).</w:t>
            </w:r>
          </w:p>
        </w:tc>
      </w:tr>
    </w:tbl>
    <w:p>
      <w:pPr>
        <w:spacing w:after="40"/>
      </w:pPr>
    </w:p>
    <w:p>
      <w:r>
        <w:rPr>
          <w:b/>
        </w:rPr>
        <w:t>Data readiness:</w:t>
      </w:r>
      <w:r>
        <w:rPr/>
        <w:t xml:space="preserve"> none of the seven priority data items in Section 5 has been received (status at 16 Oct 2026).</w:t>
      </w:r>
    </w:p>
    <w:p>
      <w:pPr>
        <w:pStyle w:val="Heading1"/>
      </w:pPr>
      <w:r>
        <w:rPr/>
        <w:t>5. Data-gap report</w:t>
      </w:r>
    </w:p>
    <w:p>
      <w:r>
        <w:rPr/>
        <w:t>The proposal makes data readiness a key condition for the timeline, and asks the POC to list missing data in a data-gap report [DECK A7]. Owners below are the roles the proposal names [DECK A11] or the likely department; Eastwater should confirm each one.</w:t>
      </w:r>
    </w:p>
    <w:p>
      <w:pPr>
        <w:keepNext/>
      </w:pPr>
      <w:r>
        <w:rPr>
          <w:b/>
        </w:rPr>
        <w:t>Priority items</w:t>
      </w:r>
      <w:r>
        <w:rPr/>
        <w:t xml:space="preserve"> (needed before QW1–QW3 can be judged; the gates in Section 7 refer to these numbers)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368"/>
        <w:gridCol w:w="1842"/>
        <w:gridCol w:w="2988"/>
        <w:gridCol w:w="1615"/>
        <w:gridCol w:w="2822"/>
      </w:tblGrid>
      <w:tr>
        <w:trPr>
          <w:cantSplit/>
          <w:tblHeader/>
        </w:trPr>
        <w:tc>
          <w:tcPr>
            <w:tcW w:type="dxa" w:w="369"/>
            <w:shd w:val="clear" w:color="auto" w:fill="DCE6EF"/>
          </w:tcPr>
          <w:p>
            <w:pPr>
              <w:keepNext/>
              <w:spacing w:after="0" w:line="240" w:lineRule="auto"/>
            </w:pPr>
            <w:r>
              <w:rPr>
                <w:b/>
                <w:sz w:val="18"/>
              </w:rPr>
              <w:t>#</w:t>
            </w:r>
          </w:p>
        </w:tc>
        <w:tc>
          <w:tcPr>
            <w:tcW w:type="dxa" w:w="1843"/>
            <w:shd w:val="clear" w:color="auto" w:fill="DCE6EF"/>
          </w:tcPr>
          <w:p>
            <w:pPr>
              <w:keepNext/>
              <w:spacing w:after="0" w:line="240" w:lineRule="auto"/>
            </w:pPr>
            <w:r>
              <w:rPr>
                <w:b/>
                <w:sz w:val="18"/>
              </w:rPr>
              <w:t>Item</w:t>
            </w:r>
          </w:p>
        </w:tc>
        <w:tc>
          <w:tcPr>
            <w:tcW w:type="dxa" w:w="2989"/>
            <w:shd w:val="clear" w:color="auto" w:fill="DCE6EF"/>
          </w:tcPr>
          <w:p>
            <w:pPr>
              <w:keepNext/>
              <w:spacing w:after="0" w:line="240" w:lineRule="auto"/>
            </w:pPr>
            <w:r>
              <w:rPr>
                <w:b/>
                <w:sz w:val="18"/>
              </w:rPr>
              <w:t>Why it is needed</w:t>
            </w:r>
          </w:p>
        </w:tc>
        <w:tc>
          <w:tcPr>
            <w:tcW w:type="dxa" w:w="1616"/>
            <w:shd w:val="clear" w:color="auto" w:fill="DCE6EF"/>
          </w:tcPr>
          <w:p>
            <w:pPr>
              <w:keepNext/>
              <w:spacing w:after="0" w:line="240" w:lineRule="auto"/>
            </w:pPr>
            <w:r>
              <w:rPr>
                <w:b/>
                <w:sz w:val="18"/>
              </w:rPr>
              <w:t>Likely owner at Eastwater (to confirm)</w:t>
            </w:r>
          </w:p>
        </w:tc>
        <w:tc>
          <w:tcPr>
            <w:tcW w:type="dxa" w:w="2822"/>
            <w:shd w:val="clear" w:color="auto" w:fill="DCE6EF"/>
          </w:tcPr>
          <w:p>
            <w:pPr>
              <w:keepNext/>
              <w:spacing w:after="0" w:line="240" w:lineRule="auto"/>
            </w:pPr>
            <w:r>
              <w:rPr>
                <w:b/>
                <w:sz w:val="18"/>
              </w:rPr>
              <w:t>Format and period wanted</w:t>
            </w:r>
          </w:p>
        </w:tc>
      </w:tr>
      <w:tr>
        <w:trPr>
          <w:cantSplit/>
        </w:trPr>
        <w:tc>
          <w:tcPr>
            <w:tcW w:type="dxa" w:w="369"/>
          </w:tcPr>
          <w:p>
            <w:pPr>
              <w:spacing w:after="0" w:line="240" w:lineRule="auto"/>
            </w:pPr>
            <w:r>
              <w:rPr>
                <w:sz w:val="18"/>
              </w:rPr>
              <w:t>1</w:t>
            </w:r>
          </w:p>
        </w:tc>
        <w:tc>
          <w:tcPr>
            <w:tcW w:type="dxa" w:w="1843"/>
          </w:tcPr>
          <w:p>
            <w:pPr>
              <w:spacing w:after="0" w:line="240" w:lineRule="auto"/>
            </w:pPr>
            <w:r>
              <w:rPr>
                <w:b/>
                <w:sz w:val="18"/>
              </w:rPr>
              <w:t>Today's pump operation logs</w:t>
            </w:r>
          </w:p>
        </w:tc>
        <w:tc>
          <w:tcPr>
            <w:tcW w:type="dxa" w:w="2989"/>
          </w:tcPr>
          <w:p>
            <w:pPr>
              <w:spacing w:after="0" w:line="240" w:lineRule="auto"/>
            </w:pPr>
            <w:r>
              <w:rPr>
                <w:sz w:val="18"/>
              </w:rPr>
              <w:t>Defines "today's operation", the baseline every saving is measured against [DECK 4]. Lets us replay real days through the planner and shows which pumps are really available.</w:t>
            </w:r>
          </w:p>
        </w:tc>
        <w:tc>
          <w:tcPr>
            <w:tcW w:type="dxa" w:w="1616"/>
          </w:tcPr>
          <w:p>
            <w:pPr>
              <w:spacing w:after="0" w:line="240" w:lineRule="auto"/>
            </w:pPr>
            <w:r>
              <w:rPr>
                <w:sz w:val="18"/>
              </w:rPr>
              <w:t>Operation SME / control room (SCADA historian)</w:t>
            </w:r>
          </w:p>
        </w:tc>
        <w:tc>
          <w:tcPr>
            <w:tcW w:type="dxa" w:w="2822"/>
          </w:tcPr>
          <w:p>
            <w:pPr>
              <w:spacing w:after="0" w:line="240" w:lineRule="auto"/>
            </w:pPr>
            <w:r>
              <w:rPr>
                <w:sz w:val="18"/>
              </w:rPr>
              <w:t>One row per pump per hour (15-minute if available): on/off, flow, discharge pressure, power if logged. CSV or Excel. 24 months (12 minimum), same period as item 2.</w:t>
            </w:r>
          </w:p>
        </w:tc>
      </w:tr>
      <w:tr>
        <w:trPr>
          <w:cantSplit/>
        </w:trPr>
        <w:tc>
          <w:tcPr>
            <w:tcW w:type="dxa" w:w="369"/>
          </w:tcPr>
          <w:p>
            <w:pPr>
              <w:spacing w:after="0" w:line="240" w:lineRule="auto"/>
            </w:pPr>
            <w:r>
              <w:rPr>
                <w:sz w:val="18"/>
              </w:rPr>
              <w:t>2</w:t>
            </w:r>
          </w:p>
        </w:tc>
        <w:tc>
          <w:tcPr>
            <w:tcW w:type="dxa" w:w="1843"/>
          </w:tcPr>
          <w:p>
            <w:pPr>
              <w:spacing w:after="0" w:line="240" w:lineRule="auto"/>
            </w:pPr>
            <w:r>
              <w:rPr>
                <w:b/>
                <w:sz w:val="18"/>
              </w:rPr>
              <w:t>Electricity bills or kWh per pump station</w:t>
            </w:r>
          </w:p>
        </w:tc>
        <w:tc>
          <w:tcPr>
            <w:tcW w:type="dxa" w:w="2989"/>
          </w:tcPr>
          <w:p>
            <w:pPr>
              <w:spacing w:after="0" w:line="240" w:lineRule="auto"/>
            </w:pPr>
            <w:r>
              <w:rPr>
                <w:sz w:val="18"/>
              </w:rPr>
              <w:t>Gives the actual energy cost and kWh per m³. Tests the model's 75% pump efficiency (A4) [PP] by comparing modelled with metered kWh.</w:t>
            </w:r>
          </w:p>
        </w:tc>
        <w:tc>
          <w:tcPr>
            <w:tcW w:type="dxa" w:w="1616"/>
          </w:tcPr>
          <w:p>
            <w:pPr>
              <w:spacing w:after="0" w:line="240" w:lineRule="auto"/>
            </w:pPr>
            <w:r>
              <w:rPr>
                <w:sz w:val="18"/>
              </w:rPr>
              <w:t>Finance (bills); electrical or energy engineer (sub-meters)</w:t>
            </w:r>
          </w:p>
        </w:tc>
        <w:tc>
          <w:tcPr>
            <w:tcW w:type="dxa" w:w="2822"/>
          </w:tcPr>
          <w:p>
            <w:pPr>
              <w:spacing w:after="0" w:line="240" w:lineRule="auto"/>
            </w:pPr>
            <w:r>
              <w:rPr>
                <w:sz w:val="18"/>
              </w:rPr>
              <w:t>Monthly bills for every electricity account, 24 months, with a list mapping accounts to stations and any non-pump loads (offices, treatment, lighting) on each meter. Interval meter data (15- or 30-minute) for the latest 3–12 months if available.</w:t>
            </w:r>
          </w:p>
        </w:tc>
      </w:tr>
      <w:tr>
        <w:trPr>
          <w:cantSplit/>
        </w:trPr>
        <w:tc>
          <w:tcPr>
            <w:tcW w:type="dxa" w:w="369"/>
          </w:tcPr>
          <w:p>
            <w:pPr>
              <w:spacing w:after="0" w:line="240" w:lineRule="auto"/>
            </w:pPr>
            <w:r>
              <w:rPr>
                <w:sz w:val="18"/>
              </w:rPr>
              <w:t>3</w:t>
            </w:r>
          </w:p>
        </w:tc>
        <w:tc>
          <w:tcPr>
            <w:tcW w:type="dxa" w:w="1843"/>
          </w:tcPr>
          <w:p>
            <w:pPr>
              <w:spacing w:after="0" w:line="240" w:lineRule="auto"/>
            </w:pPr>
            <w:r>
              <w:rPr>
                <w:b/>
                <w:sz w:val="18"/>
              </w:rPr>
              <w:t>The real tariff</w:t>
            </w:r>
          </w:p>
        </w:tc>
        <w:tc>
          <w:tcPr>
            <w:tcW w:type="dxa" w:w="2989"/>
          </w:tcPr>
          <w:p>
            <w:pPr>
              <w:spacing w:after="0" w:line="240" w:lineRule="auto"/>
            </w:pPr>
            <w:r>
              <w:rPr>
                <w:sz w:val="18"/>
              </w:rPr>
              <w:t>Every THB figure uses an assumed rate (A1). The peak-demand charge and Ft can change which plan is cheapest.</w:t>
            </w:r>
          </w:p>
        </w:tc>
        <w:tc>
          <w:tcPr>
            <w:tcW w:type="dxa" w:w="1616"/>
          </w:tcPr>
          <w:p>
            <w:pPr>
              <w:spacing w:after="0" w:line="240" w:lineRule="auto"/>
            </w:pPr>
            <w:r>
              <w:rPr>
                <w:sz w:val="18"/>
              </w:rPr>
              <w:t>Finance / procurement (electricity supply contract)</w:t>
            </w:r>
          </w:p>
        </w:tc>
        <w:tc>
          <w:tcPr>
            <w:tcW w:type="dxa" w:w="2822"/>
          </w:tcPr>
          <w:p>
            <w:pPr>
              <w:spacing w:after="0" w:line="240" w:lineRule="auto"/>
            </w:pPr>
            <w:r>
              <w:rPr>
                <w:sz w:val="18"/>
              </w:rPr>
              <w:t>Tariff category per account: time-of-use energy rates and hours, peak-demand charge (THB/kW), Ft for each billing period, service charges, holiday calendar. Current, plus the last 24 months.</w:t>
            </w:r>
          </w:p>
        </w:tc>
      </w:tr>
      <w:tr>
        <w:trPr>
          <w:cantSplit/>
        </w:trPr>
        <w:tc>
          <w:tcPr>
            <w:tcW w:type="dxa" w:w="369"/>
          </w:tcPr>
          <w:p>
            <w:pPr>
              <w:spacing w:after="0" w:line="240" w:lineRule="auto"/>
            </w:pPr>
            <w:r>
              <w:rPr>
                <w:sz w:val="18"/>
              </w:rPr>
              <w:t>4</w:t>
            </w:r>
          </w:p>
        </w:tc>
        <w:tc>
          <w:tcPr>
            <w:tcW w:type="dxa" w:w="1843"/>
          </w:tcPr>
          <w:p>
            <w:pPr>
              <w:spacing w:after="0" w:line="240" w:lineRule="auto"/>
            </w:pPr>
            <w:r>
              <w:rPr>
                <w:b/>
                <w:sz w:val="18"/>
              </w:rPr>
              <w:t>Water delivered to each customer</w:t>
            </w:r>
          </w:p>
        </w:tc>
        <w:tc>
          <w:tcPr>
            <w:tcW w:type="dxa" w:w="2989"/>
          </w:tcPr>
          <w:p>
            <w:pPr>
              <w:spacing w:after="0" w:line="240" w:lineRule="auto"/>
            </w:pPr>
            <w:r>
              <w:rPr>
                <w:sz w:val="18"/>
              </w:rPr>
              <w:t>The Excel shows water drawn from reservoirs, not deliveries (A8). Customer meters give the demand to forecast (QW1), the delivered volume for cost per m³ [DECK A9], and real hourly patterns to replace the flat demand (A2).</w:t>
            </w:r>
          </w:p>
        </w:tc>
        <w:tc>
          <w:tcPr>
            <w:tcW w:type="dxa" w:w="1616"/>
          </w:tcPr>
          <w:p>
            <w:pPr>
              <w:spacing w:after="0" w:line="240" w:lineRule="auto"/>
            </w:pPr>
            <w:r>
              <w:rPr>
                <w:sz w:val="18"/>
              </w:rPr>
              <w:t>Commercial / customer billing and metering</w:t>
            </w:r>
          </w:p>
        </w:tc>
        <w:tc>
          <w:tcPr>
            <w:tcW w:type="dxa" w:w="2822"/>
          </w:tcPr>
          <w:p>
            <w:pPr>
              <w:spacing w:after="0" w:line="240" w:lineRule="auto"/>
            </w:pPr>
            <w:r>
              <w:rPr>
                <w:sz w:val="18"/>
              </w:rPr>
              <w:t>Per customer meter: daily for at least 3 years; hourly for at least the latest 3 months. A table mapping each meter to its EPANET node.</w:t>
            </w:r>
          </w:p>
        </w:tc>
      </w:tr>
      <w:tr>
        <w:trPr>
          <w:cantSplit/>
        </w:trPr>
        <w:tc>
          <w:tcPr>
            <w:tcW w:type="dxa" w:w="369"/>
          </w:tcPr>
          <w:p>
            <w:pPr>
              <w:spacing w:after="0" w:line="240" w:lineRule="auto"/>
            </w:pPr>
            <w:r>
              <w:rPr>
                <w:sz w:val="18"/>
              </w:rPr>
              <w:t>5</w:t>
            </w:r>
          </w:p>
        </w:tc>
        <w:tc>
          <w:tcPr>
            <w:tcW w:type="dxa" w:w="1843"/>
          </w:tcPr>
          <w:p>
            <w:pPr>
              <w:spacing w:after="0" w:line="240" w:lineRule="auto"/>
            </w:pPr>
            <w:r>
              <w:rPr>
                <w:b/>
                <w:sz w:val="18"/>
              </w:rPr>
              <w:t>SCADA tank levels and pressures</w:t>
            </w:r>
          </w:p>
        </w:tc>
        <w:tc>
          <w:tcPr>
            <w:tcW w:type="dxa" w:w="2989"/>
          </w:tcPr>
          <w:p>
            <w:pPr>
              <w:spacing w:after="0" w:line="240" w:lineRule="auto"/>
            </w:pPr>
            <w:r>
              <w:rPr>
                <w:sz w:val="18"/>
              </w:rPr>
              <w:t>Calibrates the EPANET model (QW3 gate). Answers whether NPL3_HT really drains, and whether IEAT4/5/6 and Burapa really get less than 10 m [EP, EN].</w:t>
            </w:r>
          </w:p>
        </w:tc>
        <w:tc>
          <w:tcPr>
            <w:tcW w:type="dxa" w:w="1616"/>
          </w:tcPr>
          <w:p>
            <w:pPr>
              <w:spacing w:after="0" w:line="240" w:lineRule="auto"/>
            </w:pPr>
            <w:r>
              <w:rPr>
                <w:sz w:val="18"/>
              </w:rPr>
              <w:t>Operation SME / SCADA team</w:t>
            </w:r>
          </w:p>
        </w:tc>
        <w:tc>
          <w:tcPr>
            <w:tcW w:type="dxa" w:w="2822"/>
          </w:tcPr>
          <w:p>
            <w:pPr>
              <w:spacing w:after="0" w:line="240" w:lineRule="auto"/>
            </w:pPr>
            <w:r>
              <w:rPr>
                <w:sz w:val="18"/>
              </w:rPr>
              <w:t>Hourly (15-minute if available) for tanks NPL2_HT and NPL3_HT, station flows and pressures, and customer-node pressures, with a tag list and units. 12 months (3 minimum), same period as item 1.</w:t>
            </w:r>
          </w:p>
        </w:tc>
      </w:tr>
      <w:tr>
        <w:trPr>
          <w:cantSplit/>
        </w:trPr>
        <w:tc>
          <w:tcPr>
            <w:tcW w:type="dxa" w:w="369"/>
          </w:tcPr>
          <w:p>
            <w:pPr>
              <w:spacing w:after="0" w:line="240" w:lineRule="auto"/>
            </w:pPr>
            <w:r>
              <w:rPr>
                <w:sz w:val="18"/>
              </w:rPr>
              <w:t>6</w:t>
            </w:r>
          </w:p>
        </w:tc>
        <w:tc>
          <w:tcPr>
            <w:tcW w:type="dxa" w:w="1843"/>
          </w:tcPr>
          <w:p>
            <w:pPr>
              <w:spacing w:after="0" w:line="240" w:lineRule="auto"/>
            </w:pPr>
            <w:r>
              <w:rPr>
                <w:b/>
                <w:sz w:val="18"/>
              </w:rPr>
              <w:t>Pump power and efficiency</w:t>
            </w:r>
          </w:p>
        </w:tc>
        <w:tc>
          <w:tcPr>
            <w:tcW w:type="dxa" w:w="2989"/>
          </w:tcPr>
          <w:p>
            <w:pPr>
              <w:spacing w:after="0" w:line="240" w:lineRule="auto"/>
            </w:pPr>
            <w:r>
              <w:rPr>
                <w:sz w:val="18"/>
              </w:rPr>
              <w:t>The model applies one 75% efficiency to every pump (A4) [PP]. Only NPL2 has an efficiency curve in the model, so the cost ranking of NPL3 and TM Pond rests on that 75% [WI]. Real pump curves set kWh per m³ and show which pump combinations are cheapest, a saving lever beyond the tariff.</w:t>
            </w:r>
          </w:p>
        </w:tc>
        <w:tc>
          <w:tcPr>
            <w:tcW w:type="dxa" w:w="1616"/>
          </w:tcPr>
          <w:p>
            <w:pPr>
              <w:spacing w:after="0" w:line="240" w:lineRule="auto"/>
            </w:pPr>
            <w:r>
              <w:rPr>
                <w:sz w:val="18"/>
              </w:rPr>
              <w:t>Mechanical / maintenance engineering (asset register)</w:t>
            </w:r>
          </w:p>
        </w:tc>
        <w:tc>
          <w:tcPr>
            <w:tcW w:type="dxa" w:w="2822"/>
          </w:tcPr>
          <w:p>
            <w:pPr>
              <w:spacing w:after="0" w:line="240" w:lineRule="auto"/>
            </w:pPr>
            <w:r>
              <w:rPr>
                <w:sz w:val="18"/>
              </w:rPr>
              <w:t>Per pump: manufacturer curves (flow, head, efficiency), motor rating, variable-speed drive or not, latest efficiency test, duty or standby, planned maintenance windows.</w:t>
            </w:r>
          </w:p>
        </w:tc>
      </w:tr>
      <w:tr>
        <w:trPr>
          <w:cantSplit/>
        </w:trPr>
        <w:tc>
          <w:tcPr>
            <w:tcW w:type="dxa" w:w="369"/>
          </w:tcPr>
          <w:p>
            <w:pPr>
              <w:spacing w:after="0" w:line="240" w:lineRule="auto"/>
            </w:pPr>
            <w:r>
              <w:rPr>
                <w:sz w:val="18"/>
              </w:rPr>
              <w:t>7</w:t>
            </w:r>
          </w:p>
        </w:tc>
        <w:tc>
          <w:tcPr>
            <w:tcW w:type="dxa" w:w="1843"/>
          </w:tcPr>
          <w:p>
            <w:pPr>
              <w:spacing w:after="0" w:line="240" w:lineRule="auto"/>
            </w:pPr>
            <w:r>
              <w:rPr>
                <w:b/>
                <w:sz w:val="18"/>
              </w:rPr>
              <w:t>Model confirmations: nodes 71/678, TM Pond pumps 3–6, source reservoir heads, head-tank operating range</w:t>
            </w:r>
          </w:p>
        </w:tc>
        <w:tc>
          <w:tcPr>
            <w:tcW w:type="dxa" w:w="2989"/>
          </w:tcPr>
          <w:p>
            <w:pPr>
              <w:spacing w:after="0" w:line="240" w:lineRule="auto"/>
            </w:pPr>
            <w:r>
              <w:rPr>
                <w:sz w:val="18"/>
              </w:rPr>
              <w:t>Nodes 71 and 678 carry 200,000 of the model's 688,403 m³/day and decide whether the NPL3 zone is about 18,600 m³/day short [EN, PP]. TM Pond pumps 3–6 can never run in the model (A5). The source heads (43.41 m and 23 m) sit below the suction pipes, giving 27 junctions negative pressure (A6) [EP, RM]. The lower-tank saving (7.5% of energy in the model) depends on how low operations will let NPL2_HT and NPL3_HT run (A11) [WI].</w:t>
            </w:r>
          </w:p>
        </w:tc>
        <w:tc>
          <w:tcPr>
            <w:tcW w:type="dxa" w:w="1616"/>
          </w:tcPr>
          <w:p>
            <w:pPr>
              <w:spacing w:after="0" w:line="240" w:lineRule="auto"/>
            </w:pPr>
            <w:r>
              <w:rPr>
                <w:sz w:val="18"/>
              </w:rPr>
              <w:t>Hydraulic model owner; operations for the tank levels</w:t>
            </w:r>
          </w:p>
        </w:tc>
        <w:tc>
          <w:tcPr>
            <w:tcW w:type="dxa" w:w="2822"/>
          </w:tcPr>
          <w:p>
            <w:pPr>
              <w:spacing w:after="0" w:line="240" w:lineRule="auto"/>
            </w:pPr>
            <w:r>
              <w:rPr>
                <w:sz w:val="18"/>
              </w:rPr>
              <w:t xml:space="preserve">Written answers plus a corrected </w:t>
            </w:r>
            <w:r>
              <w:rPr>
                <w:rFonts w:ascii="Consolas" w:hAnsi="Consolas" w:cs="Leelawadee UI"/>
                <w:sz w:val="16"/>
              </w:rPr>
              <w:t>.inp</w:t>
            </w:r>
            <w:r>
              <w:rPr>
                <w:sz w:val="18"/>
              </w:rPr>
              <w:t xml:space="preserve"> file; the normal operating level range of each source reservoir; the minimum and maximum operating level of each head tank; any customers the three stations supply that are not among the model's 28 nodes [EP].</w:t>
            </w:r>
          </w:p>
        </w:tc>
      </w:tr>
    </w:tbl>
    <w:p>
      <w:pPr>
        <w:spacing w:after="40"/>
      </w:pPr>
    </w:p>
    <w:p>
      <w:pPr>
        <w:keepNext/>
      </w:pPr>
      <w:r>
        <w:rPr>
          <w:b/>
        </w:rPr>
        <w:t>Supporting items</w:t>
      </w:r>
      <w:r>
        <w:rPr/>
        <w:t xml:space="preserve"> (improve accuracy and widen the saving levers)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481"/>
        <w:gridCol w:w="1988"/>
        <w:gridCol w:w="3896"/>
        <w:gridCol w:w="1388"/>
        <w:gridCol w:w="1881"/>
      </w:tblGrid>
      <w:tr>
        <w:trPr>
          <w:cantSplit/>
          <w:tblHeader/>
        </w:trPr>
        <w:tc>
          <w:tcPr>
            <w:tcW w:type="dxa" w:w="482"/>
            <w:shd w:val="clear" w:color="auto" w:fill="DCE6EF"/>
          </w:tcPr>
          <w:p>
            <w:pPr>
              <w:keepNext/>
              <w:spacing w:after="0" w:line="240" w:lineRule="auto"/>
            </w:pPr>
            <w:r>
              <w:rPr>
                <w:b/>
                <w:sz w:val="18"/>
              </w:rPr>
              <w:t>#</w:t>
            </w:r>
          </w:p>
        </w:tc>
        <w:tc>
          <w:tcPr>
            <w:tcW w:type="dxa" w:w="1989"/>
            <w:shd w:val="clear" w:color="auto" w:fill="DCE6EF"/>
          </w:tcPr>
          <w:p>
            <w:pPr>
              <w:keepNext/>
              <w:spacing w:after="0" w:line="240" w:lineRule="auto"/>
            </w:pPr>
            <w:r>
              <w:rPr>
                <w:b/>
                <w:sz w:val="18"/>
              </w:rPr>
              <w:t>Item</w:t>
            </w:r>
          </w:p>
        </w:tc>
        <w:tc>
          <w:tcPr>
            <w:tcW w:type="dxa" w:w="3897"/>
            <w:shd w:val="clear" w:color="auto" w:fill="DCE6EF"/>
          </w:tcPr>
          <w:p>
            <w:pPr>
              <w:keepNext/>
              <w:spacing w:after="0" w:line="240" w:lineRule="auto"/>
            </w:pPr>
            <w:r>
              <w:rPr>
                <w:b/>
                <w:sz w:val="18"/>
              </w:rPr>
              <w:t>Why it is needed</w:t>
            </w:r>
          </w:p>
        </w:tc>
        <w:tc>
          <w:tcPr>
            <w:tcW w:type="dxa" w:w="1389"/>
            <w:shd w:val="clear" w:color="auto" w:fill="DCE6EF"/>
          </w:tcPr>
          <w:p>
            <w:pPr>
              <w:keepNext/>
              <w:spacing w:after="0" w:line="240" w:lineRule="auto"/>
            </w:pPr>
            <w:r>
              <w:rPr>
                <w:b/>
                <w:sz w:val="18"/>
              </w:rPr>
              <w:t>Likely owner (to confirm)</w:t>
            </w:r>
          </w:p>
        </w:tc>
        <w:tc>
          <w:tcPr>
            <w:tcW w:type="dxa" w:w="1881"/>
            <w:shd w:val="clear" w:color="auto" w:fill="DCE6EF"/>
          </w:tcPr>
          <w:p>
            <w:pPr>
              <w:keepNext/>
              <w:spacing w:after="0" w:line="240" w:lineRule="auto"/>
            </w:pPr>
            <w:r>
              <w:rPr>
                <w:b/>
                <w:sz w:val="18"/>
              </w:rPr>
              <w:t>Format and period wanted</w:t>
            </w:r>
          </w:p>
        </w:tc>
      </w:tr>
      <w:tr>
        <w:trPr>
          <w:cantSplit/>
        </w:trPr>
        <w:tc>
          <w:tcPr>
            <w:tcW w:type="dxa" w:w="482"/>
          </w:tcPr>
          <w:p>
            <w:pPr>
              <w:spacing w:after="0" w:line="240" w:lineRule="auto"/>
            </w:pPr>
            <w:r>
              <w:rPr>
                <w:sz w:val="18"/>
              </w:rPr>
              <w:t>8</w:t>
            </w:r>
          </w:p>
        </w:tc>
        <w:tc>
          <w:tcPr>
            <w:tcW w:type="dxa" w:w="1989"/>
          </w:tcPr>
          <w:p>
            <w:pPr>
              <w:spacing w:after="0" w:line="240" w:lineRule="auto"/>
            </w:pPr>
            <w:r>
              <w:rPr>
                <w:b/>
                <w:sz w:val="18"/>
              </w:rPr>
              <w:t>Known demand changes:</w:t>
            </w:r>
            <w:r>
              <w:rPr>
                <w:sz w:val="18"/>
              </w:rPr>
              <w:t xml:space="preserve"> allocation plans, contract changes, new customers</w:t>
            </w:r>
          </w:p>
        </w:tc>
        <w:tc>
          <w:tcPr>
            <w:tcW w:type="dxa" w:w="3897"/>
          </w:tcPr>
          <w:p>
            <w:pPr>
              <w:spacing w:after="0" w:line="240" w:lineRule="auto"/>
            </w:pPr>
            <w:r>
              <w:rPr>
                <w:sz w:val="18"/>
              </w:rPr>
              <w:t>Most forecast error comes from step changes that history cannot predict, such as PWA Chonburi rising from about 155,000 to 205,000 m³/day in April 2022 [RM].</w:t>
            </w:r>
          </w:p>
        </w:tc>
        <w:tc>
          <w:tcPr>
            <w:tcW w:type="dxa" w:w="1389"/>
          </w:tcPr>
          <w:p>
            <w:pPr>
              <w:spacing w:after="0" w:line="240" w:lineRule="auto"/>
            </w:pPr>
            <w:r>
              <w:rPr>
                <w:sz w:val="18"/>
              </w:rPr>
              <w:t>Commercial / planning</w:t>
            </w:r>
          </w:p>
        </w:tc>
        <w:tc>
          <w:tcPr>
            <w:tcW w:type="dxa" w:w="1881"/>
          </w:tcPr>
          <w:p>
            <w:pPr>
              <w:spacing w:after="0" w:line="240" w:lineRule="auto"/>
            </w:pPr>
            <w:r>
              <w:rPr>
                <w:sz w:val="18"/>
              </w:rPr>
              <w:t>Dated list covering the period of item 4, plus the next 12 months.</w:t>
            </w:r>
          </w:p>
        </w:tc>
      </w:tr>
      <w:tr>
        <w:trPr>
          <w:cantSplit/>
        </w:trPr>
        <w:tc>
          <w:tcPr>
            <w:tcW w:type="dxa" w:w="482"/>
          </w:tcPr>
          <w:p>
            <w:pPr>
              <w:spacing w:after="0" w:line="240" w:lineRule="auto"/>
            </w:pPr>
            <w:r>
              <w:rPr>
                <w:sz w:val="18"/>
              </w:rPr>
              <w:t>9</w:t>
            </w:r>
          </w:p>
        </w:tc>
        <w:tc>
          <w:tcPr>
            <w:tcW w:type="dxa" w:w="1989"/>
          </w:tcPr>
          <w:p>
            <w:pPr>
              <w:spacing w:after="0" w:line="240" w:lineRule="auto"/>
            </w:pPr>
            <w:r>
              <w:rPr>
                <w:b/>
                <w:sz w:val="18"/>
              </w:rPr>
              <w:t>Raw-water storage feeding the pilot network; Bang Phra report after 28 Mar 2025</w:t>
            </w:r>
          </w:p>
        </w:tc>
        <w:tc>
          <w:tcPr>
            <w:tcW w:type="dxa" w:w="3897"/>
          </w:tcPr>
          <w:p>
            <w:pPr>
              <w:spacing w:after="0" w:line="240" w:lineRule="auto"/>
            </w:pPr>
            <w:r>
              <w:rPr>
                <w:sz w:val="18"/>
              </w:rPr>
              <w:t>The pump-plan run pointed to upstream raw-water storage as room to shift pumping [RM]; it is the one storage lever not yet tested, since Section 6.6 rules out bigger head tanks [WI]. Newer Bang Phra data lets us check the 180-day outlook (Section 6.3) against what actually happened.</w:t>
            </w:r>
          </w:p>
        </w:tc>
        <w:tc>
          <w:tcPr>
            <w:tcW w:type="dxa" w:w="1389"/>
          </w:tcPr>
          <w:p>
            <w:pPr>
              <w:spacing w:after="0" w:line="240" w:lineRule="auto"/>
            </w:pPr>
            <w:r>
              <w:rPr>
                <w:sz w:val="18"/>
              </w:rPr>
              <w:t>Water resources / operations planning</w:t>
            </w:r>
          </w:p>
        </w:tc>
        <w:tc>
          <w:tcPr>
            <w:tcW w:type="dxa" w:w="1881"/>
          </w:tcPr>
          <w:p>
            <w:pPr>
              <w:spacing w:after="0" w:line="240" w:lineRule="auto"/>
            </w:pPr>
            <w:r>
              <w:rPr>
                <w:sz w:val="18"/>
              </w:rPr>
              <w:t xml:space="preserve">Daily level, storage and transfers for each source reservoir and raw-water pond (at least 5 years). The Bang Phra sheet </w:t>
            </w:r>
            <w:r>
              <w:rPr>
                <w:rFonts w:ascii="Consolas" w:hAnsi="Consolas" w:cs="Leelawadee UI"/>
                <w:sz w:val="16"/>
              </w:rPr>
              <w:t>WB บางพระ</w:t>
            </w:r>
            <w:r>
              <w:rPr>
                <w:sz w:val="18"/>
              </w:rPr>
              <w:t xml:space="preserve"> from 29 Mar 2025 to date.</w:t>
            </w:r>
          </w:p>
        </w:tc>
      </w:tr>
      <w:tr>
        <w:trPr>
          <w:cantSplit/>
        </w:trPr>
        <w:tc>
          <w:tcPr>
            <w:tcW w:type="dxa" w:w="482"/>
          </w:tcPr>
          <w:p>
            <w:pPr>
              <w:spacing w:after="0" w:line="240" w:lineRule="auto"/>
            </w:pPr>
            <w:r>
              <w:rPr>
                <w:sz w:val="18"/>
              </w:rPr>
              <w:t>10</w:t>
            </w:r>
          </w:p>
        </w:tc>
        <w:tc>
          <w:tcPr>
            <w:tcW w:type="dxa" w:w="1989"/>
          </w:tcPr>
          <w:p>
            <w:pPr>
              <w:spacing w:after="0" w:line="240" w:lineRule="auto"/>
            </w:pPr>
            <w:r>
              <w:rPr>
                <w:b/>
                <w:sz w:val="18"/>
              </w:rPr>
              <w:t>Operating rules and service targets</w:t>
            </w:r>
          </w:p>
        </w:tc>
        <w:tc>
          <w:tcPr>
            <w:tcW w:type="dxa" w:w="3897"/>
          </w:tcPr>
          <w:p>
            <w:pPr>
              <w:spacing w:after="0" w:line="240" w:lineRule="auto"/>
            </w:pPr>
            <w:r>
              <w:rPr>
                <w:sz w:val="18"/>
              </w:rPr>
              <w:t>The optimiser should use Eastwater's limits, not the POC team's (A7): minimum pressure per customer, tank limits, customer priority, maintenance windows [DECK A8].</w:t>
            </w:r>
          </w:p>
        </w:tc>
        <w:tc>
          <w:tcPr>
            <w:tcW w:type="dxa" w:w="1389"/>
          </w:tcPr>
          <w:p>
            <w:pPr>
              <w:spacing w:after="0" w:line="240" w:lineRule="auto"/>
            </w:pPr>
            <w:r>
              <w:rPr>
                <w:sz w:val="18"/>
              </w:rPr>
              <w:t>Operation SME</w:t>
            </w:r>
          </w:p>
        </w:tc>
        <w:tc>
          <w:tcPr>
            <w:tcW w:type="dxa" w:w="1881"/>
          </w:tcPr>
          <w:p>
            <w:pPr>
              <w:spacing w:after="0" w:line="240" w:lineRule="auto"/>
            </w:pPr>
            <w:r>
              <w:rPr>
                <w:sz w:val="18"/>
              </w:rPr>
              <w:t>One page per station and customer group.</w:t>
            </w:r>
          </w:p>
        </w:tc>
      </w:tr>
      <w:tr>
        <w:trPr>
          <w:cantSplit/>
        </w:trPr>
        <w:tc>
          <w:tcPr>
            <w:tcW w:type="dxa" w:w="482"/>
          </w:tcPr>
          <w:p>
            <w:pPr>
              <w:spacing w:after="0" w:line="240" w:lineRule="auto"/>
            </w:pPr>
            <w:r>
              <w:rPr>
                <w:sz w:val="18"/>
              </w:rPr>
              <w:t>11</w:t>
            </w:r>
          </w:p>
        </w:tc>
        <w:tc>
          <w:tcPr>
            <w:tcW w:type="dxa" w:w="1989"/>
          </w:tcPr>
          <w:p>
            <w:pPr>
              <w:spacing w:after="0" w:line="240" w:lineRule="auto"/>
            </w:pPr>
            <w:r>
              <w:rPr>
                <w:b/>
                <w:sz w:val="18"/>
              </w:rPr>
              <w:t>Planning practice</w:t>
            </w:r>
          </w:p>
        </w:tc>
        <w:tc>
          <w:tcPr>
            <w:tcW w:type="dxa" w:w="3897"/>
          </w:tcPr>
          <w:p>
            <w:pPr>
              <w:spacing w:after="0" w:line="240" w:lineRule="auto"/>
            </w:pPr>
            <w:r>
              <w:rPr>
                <w:sz w:val="18"/>
              </w:rPr>
              <w:t>The KPIs need the forecast horizons planners actually use and the time they spend per plan [DECK 4].</w:t>
            </w:r>
          </w:p>
        </w:tc>
        <w:tc>
          <w:tcPr>
            <w:tcW w:type="dxa" w:w="1389"/>
          </w:tcPr>
          <w:p>
            <w:pPr>
              <w:spacing w:after="0" w:line="240" w:lineRule="auto"/>
            </w:pPr>
            <w:r>
              <w:rPr>
                <w:sz w:val="18"/>
              </w:rPr>
              <w:t>Operation planning</w:t>
            </w:r>
          </w:p>
        </w:tc>
        <w:tc>
          <w:tcPr>
            <w:tcW w:type="dxa" w:w="1881"/>
          </w:tcPr>
          <w:p>
            <w:pPr>
              <w:spacing w:after="0" w:line="240" w:lineRule="auto"/>
            </w:pPr>
            <w:r>
              <w:rPr>
                <w:sz w:val="18"/>
              </w:rPr>
              <w:t>A short interview, plus a time log over 2 weeks.</w:t>
            </w:r>
          </w:p>
        </w:tc>
      </w:tr>
    </w:tbl>
    <w:p>
      <w:pPr>
        <w:spacing w:after="40"/>
      </w:pPr>
    </w:p>
    <w:p>
      <w:pPr>
        <w:pStyle w:val="Heading1"/>
      </w:pPr>
      <w:r>
        <w:rPr/>
        <w:t>6. Validation report</w:t>
      </w:r>
    </w:p>
    <w:p>
      <w:pPr>
        <w:pStyle w:val="Heading2"/>
      </w:pPr>
      <w:r>
        <w:rPr/>
        <w:t>6.1 Reservoir data quality (Bang Phra, Chonburi)</w:t>
      </w:r>
    </w:p>
    <w:p>
      <w:pPr>
        <w:pStyle w:val="ListBullet"/>
      </w:pPr>
      <w:r>
        <w:rPr>
          <w:b/>
        </w:rPr>
        <w:t>Coverage and consistency.</w:t>
      </w:r>
      <w:r>
        <w:rPr/>
        <w:t xml:space="preserve"> 12,871 daily records, 1 Jan 1990 to 28 Mar 2025 (278 pre-filled formula rows dropped). The sheet's own sums hold on 100% of days for total use and for outflow, and recomputed natural inflow matches within 1,000 m³ on 99.5% of days [DQ].</w:t>
      </w:r>
    </w:p>
    <w:p>
      <w:pPr>
        <w:pStyle w:val="ListBullet"/>
      </w:pPr>
      <w:r>
        <w:rPr>
          <w:b/>
        </w:rPr>
        <w:t>Errors removed.</w:t>
      </w:r>
      <w:r>
        <w:rPr/>
        <w:t xml:space="preserve"> Negative flows created by missing meter readings (for example PWA −12 million m³ on 28 Mar 2025), and outliers on 255 days of PWA Chonburi data and 158 days of total use [RM, DQ].</w:t>
      </w:r>
    </w:p>
    <w:p>
      <w:pPr>
        <w:pStyle w:val="ListBullet"/>
      </w:pPr>
      <w:r>
        <w:rPr>
          <w:b/>
        </w:rPr>
        <w:t>Known limits.</w:t>
      </w:r>
      <w:r>
        <w:rPr/>
        <w:t xml:space="preserve"> Evaporation is computed (surface area × monthly pan rate), not measured; 1990–99 storage reads 0.4–1.2 MCM higher because the level-to-storage table changed in 2000 [DQ, RM].</w:t>
      </w:r>
    </w:p>
    <w:p>
      <w:pPr>
        <w:pStyle w:val="ListBullet"/>
      </w:pPr>
      <w:r>
        <w:rPr>
          <w:b/>
        </w:rPr>
        <w:t>Plan vs actual.</w:t>
      </w:r>
      <w:r>
        <w:rPr/>
        <w:t xml:space="preserve"> From 1 Nov 2024 to 27 Mar 2025, users drew 78% of the allocation plan; PWA Chonburi drew 99% of its allocation and Eastwater 36% (40,720 against 113,369 m³/day) [DQ, RM]. An outlook built on planned use is therefore about 80,000 m³/day too pessimistic [RM].</w:t>
      </w:r>
    </w:p>
    <w:p>
      <w:pPr>
        <w:pStyle w:val="Heading2"/>
      </w:pPr>
      <w:r>
        <w:rPr/>
        <w:t>6.2 Forecast backtests</w:t>
      </w:r>
    </w:p>
    <w:p>
      <w:pPr>
        <w:keepNext/>
      </w:pPr>
      <w:r>
        <w:rPr>
          <w:b/>
        </w:rPr>
        <w:t>Method.</w:t>
      </w:r>
      <w:r>
        <w:rPr/>
        <w:t xml:space="preserve"> Rolling-origin backtests: every forecast uses only data available on the day it is made. Demand forecasts were tested from 1 Jan 2022 and storage forecasts from 1 Jan 2019, up to the end of the data in March 2025: 1,154 to 1,181 forecasts per demand horizon and 2,189 to 2,272 per storage horizon [BT, BM, DQ]. Demand error is WAPE (total absolute error ÷ total actual); storage error is the average absolute error in million m³ (MCM).</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3167"/>
        <w:gridCol w:w="1048"/>
        <w:gridCol w:w="2558"/>
        <w:gridCol w:w="991"/>
        <w:gridCol w:w="935"/>
        <w:gridCol w:w="935"/>
      </w:tblGrid>
      <w:tr>
        <w:trPr>
          <w:cantSplit/>
          <w:tblHeader/>
        </w:trPr>
        <w:tc>
          <w:tcPr>
            <w:tcW w:type="dxa" w:w="3168"/>
            <w:shd w:val="clear" w:color="auto" w:fill="DCE6EF"/>
          </w:tcPr>
          <w:p>
            <w:pPr>
              <w:keepNext/>
              <w:spacing w:after="0" w:line="240" w:lineRule="auto"/>
            </w:pPr>
            <w:r>
              <w:rPr>
                <w:b/>
                <w:sz w:val="18"/>
              </w:rPr>
              <w:t>Forecast</w:t>
            </w:r>
          </w:p>
        </w:tc>
        <w:tc>
          <w:tcPr>
            <w:tcW w:type="dxa" w:w="1049"/>
            <w:shd w:val="clear" w:color="auto" w:fill="DCE6EF"/>
          </w:tcPr>
          <w:p>
            <w:pPr>
              <w:keepNext/>
              <w:spacing w:after="0" w:line="240" w:lineRule="auto"/>
            </w:pPr>
            <w:r>
              <w:rPr>
                <w:b/>
                <w:sz w:val="18"/>
              </w:rPr>
              <w:t>Horizon</w:t>
            </w:r>
          </w:p>
        </w:tc>
        <w:tc>
          <w:tcPr>
            <w:tcW w:type="dxa" w:w="2559"/>
            <w:shd w:val="clear" w:color="auto" w:fill="DCE6EF"/>
          </w:tcPr>
          <w:p>
            <w:pPr>
              <w:keepNext/>
              <w:spacing w:after="0" w:line="240" w:lineRule="auto"/>
            </w:pPr>
            <w:r>
              <w:rPr>
                <w:b/>
                <w:sz w:val="18"/>
              </w:rPr>
              <w:t>Best simple method</w:t>
            </w:r>
          </w:p>
        </w:tc>
        <w:tc>
          <w:tcPr>
            <w:tcW w:type="dxa" w:w="992"/>
            <w:shd w:val="clear" w:color="auto" w:fill="DCE6EF"/>
          </w:tcPr>
          <w:p>
            <w:pPr>
              <w:keepNext/>
              <w:spacing w:after="0" w:line="240" w:lineRule="auto"/>
            </w:pPr>
            <w:r>
              <w:rPr>
                <w:b/>
                <w:sz w:val="18"/>
              </w:rPr>
              <w:t>AI model (GBM)</w:t>
            </w:r>
          </w:p>
        </w:tc>
        <w:tc>
          <w:tcPr>
            <w:tcW w:type="dxa" w:w="935"/>
            <w:shd w:val="clear" w:color="auto" w:fill="DCE6EF"/>
          </w:tcPr>
          <w:p>
            <w:pPr>
              <w:keepNext/>
              <w:spacing w:after="0" w:line="240" w:lineRule="auto"/>
            </w:pPr>
            <w:r>
              <w:rPr>
                <w:b/>
                <w:sz w:val="18"/>
              </w:rPr>
              <w:t>Better</w:t>
            </w:r>
          </w:p>
        </w:tc>
        <w:tc>
          <w:tcPr>
            <w:tcW w:type="dxa" w:w="935"/>
            <w:shd w:val="clear" w:color="auto" w:fill="DCE6EF"/>
          </w:tcPr>
          <w:p>
            <w:pPr>
              <w:keepNext/>
              <w:spacing w:after="0" w:line="240" w:lineRule="auto"/>
            </w:pPr>
            <w:r>
              <w:rPr>
                <w:b/>
                <w:sz w:val="18"/>
              </w:rPr>
              <w:t>Source</w:t>
            </w:r>
          </w:p>
        </w:tc>
      </w:tr>
      <w:tr>
        <w:trPr>
          <w:cantSplit/>
        </w:trPr>
        <w:tc>
          <w:tcPr>
            <w:tcW w:type="dxa" w:w="3168"/>
          </w:tcPr>
          <w:p>
            <w:pPr>
              <w:spacing w:after="0" w:line="240" w:lineRule="auto"/>
            </w:pPr>
            <w:r>
              <w:rPr>
                <w:sz w:val="18"/>
              </w:rPr>
              <w:t>PWA Chonburi, daily draw</w:t>
            </w:r>
          </w:p>
        </w:tc>
        <w:tc>
          <w:tcPr>
            <w:tcW w:type="dxa" w:w="1049"/>
          </w:tcPr>
          <w:p>
            <w:pPr>
              <w:spacing w:after="0" w:line="240" w:lineRule="auto"/>
            </w:pPr>
            <w:r>
              <w:rPr>
                <w:sz w:val="18"/>
              </w:rPr>
              <w:t>1 day</w:t>
            </w:r>
          </w:p>
        </w:tc>
        <w:tc>
          <w:tcPr>
            <w:tcW w:type="dxa" w:w="2559"/>
          </w:tcPr>
          <w:p>
            <w:pPr>
              <w:spacing w:after="0" w:line="240" w:lineRule="auto"/>
            </w:pPr>
            <w:r>
              <w:rPr>
                <w:sz w:val="18"/>
              </w:rPr>
              <w:t>3.4% (yesterday's value)</w:t>
            </w:r>
          </w:p>
        </w:tc>
        <w:tc>
          <w:tcPr>
            <w:tcW w:type="dxa" w:w="992"/>
          </w:tcPr>
          <w:p>
            <w:pPr>
              <w:spacing w:after="0" w:line="240" w:lineRule="auto"/>
            </w:pPr>
            <w:r>
              <w:rPr>
                <w:sz w:val="18"/>
              </w:rPr>
              <w:t>3.6%</w:t>
            </w:r>
          </w:p>
        </w:tc>
        <w:tc>
          <w:tcPr>
            <w:tcW w:type="dxa" w:w="935"/>
          </w:tcPr>
          <w:p>
            <w:pPr>
              <w:spacing w:after="0" w:line="240" w:lineRule="auto"/>
            </w:pPr>
            <w:r>
              <w:rPr>
                <w:sz w:val="18"/>
              </w:rPr>
              <w:t>Simple</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PWA Chonburi, daily draw</w:t>
            </w:r>
          </w:p>
        </w:tc>
        <w:tc>
          <w:tcPr>
            <w:tcW w:type="dxa" w:w="1049"/>
          </w:tcPr>
          <w:p>
            <w:pPr>
              <w:spacing w:after="0" w:line="240" w:lineRule="auto"/>
            </w:pPr>
            <w:r>
              <w:rPr>
                <w:sz w:val="18"/>
              </w:rPr>
              <w:t>7 days</w:t>
            </w:r>
          </w:p>
        </w:tc>
        <w:tc>
          <w:tcPr>
            <w:tcW w:type="dxa" w:w="2559"/>
          </w:tcPr>
          <w:p>
            <w:pPr>
              <w:spacing w:after="0" w:line="240" w:lineRule="auto"/>
            </w:pPr>
            <w:r>
              <w:rPr>
                <w:sz w:val="18"/>
              </w:rPr>
              <w:t>4.5% (7-day mean)</w:t>
            </w:r>
          </w:p>
        </w:tc>
        <w:tc>
          <w:tcPr>
            <w:tcW w:type="dxa" w:w="992"/>
          </w:tcPr>
          <w:p>
            <w:pPr>
              <w:spacing w:after="0" w:line="240" w:lineRule="auto"/>
            </w:pPr>
            <w:r>
              <w:rPr>
                <w:sz w:val="18"/>
              </w:rPr>
              <w:t>4.6%</w:t>
            </w:r>
          </w:p>
        </w:tc>
        <w:tc>
          <w:tcPr>
            <w:tcW w:type="dxa" w:w="935"/>
          </w:tcPr>
          <w:p>
            <w:pPr>
              <w:spacing w:after="0" w:line="240" w:lineRule="auto"/>
            </w:pPr>
            <w:r>
              <w:rPr>
                <w:sz w:val="18"/>
              </w:rPr>
              <w:t>Simple</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Total daily draw, all users</w:t>
            </w:r>
          </w:p>
        </w:tc>
        <w:tc>
          <w:tcPr>
            <w:tcW w:type="dxa" w:w="1049"/>
          </w:tcPr>
          <w:p>
            <w:pPr>
              <w:spacing w:after="0" w:line="240" w:lineRule="auto"/>
            </w:pPr>
            <w:r>
              <w:rPr>
                <w:sz w:val="18"/>
              </w:rPr>
              <w:t>1 day</w:t>
            </w:r>
          </w:p>
        </w:tc>
        <w:tc>
          <w:tcPr>
            <w:tcW w:type="dxa" w:w="2559"/>
          </w:tcPr>
          <w:p>
            <w:pPr>
              <w:spacing w:after="0" w:line="240" w:lineRule="auto"/>
            </w:pPr>
            <w:r>
              <w:rPr>
                <w:sz w:val="18"/>
              </w:rPr>
              <w:t>5.2% (yesterday's value)</w:t>
            </w:r>
          </w:p>
        </w:tc>
        <w:tc>
          <w:tcPr>
            <w:tcW w:type="dxa" w:w="992"/>
          </w:tcPr>
          <w:p>
            <w:pPr>
              <w:spacing w:after="0" w:line="240" w:lineRule="auto"/>
            </w:pPr>
            <w:r>
              <w:rPr>
                <w:sz w:val="18"/>
              </w:rPr>
              <w:t>5.9%</w:t>
            </w:r>
          </w:p>
        </w:tc>
        <w:tc>
          <w:tcPr>
            <w:tcW w:type="dxa" w:w="935"/>
          </w:tcPr>
          <w:p>
            <w:pPr>
              <w:spacing w:after="0" w:line="240" w:lineRule="auto"/>
            </w:pPr>
            <w:r>
              <w:rPr>
                <w:sz w:val="18"/>
              </w:rPr>
              <w:t>Simple</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Total daily draw, all users</w:t>
            </w:r>
          </w:p>
        </w:tc>
        <w:tc>
          <w:tcPr>
            <w:tcW w:type="dxa" w:w="1049"/>
          </w:tcPr>
          <w:p>
            <w:pPr>
              <w:spacing w:after="0" w:line="240" w:lineRule="auto"/>
            </w:pPr>
            <w:r>
              <w:rPr>
                <w:sz w:val="18"/>
              </w:rPr>
              <w:t>7 days</w:t>
            </w:r>
          </w:p>
        </w:tc>
        <w:tc>
          <w:tcPr>
            <w:tcW w:type="dxa" w:w="2559"/>
          </w:tcPr>
          <w:p>
            <w:pPr>
              <w:spacing w:after="0" w:line="240" w:lineRule="auto"/>
            </w:pPr>
            <w:r>
              <w:rPr>
                <w:sz w:val="18"/>
              </w:rPr>
              <w:t>8.9% (7-day mean)</w:t>
            </w:r>
          </w:p>
        </w:tc>
        <w:tc>
          <w:tcPr>
            <w:tcW w:type="dxa" w:w="992"/>
          </w:tcPr>
          <w:p>
            <w:pPr>
              <w:spacing w:after="0" w:line="240" w:lineRule="auto"/>
            </w:pPr>
            <w:r>
              <w:rPr>
                <w:sz w:val="18"/>
              </w:rPr>
              <w:t>8.8%</w:t>
            </w:r>
          </w:p>
        </w:tc>
        <w:tc>
          <w:tcPr>
            <w:tcW w:type="dxa" w:w="935"/>
          </w:tcPr>
          <w:p>
            <w:pPr>
              <w:spacing w:after="0" w:line="240" w:lineRule="auto"/>
            </w:pPr>
            <w:r>
              <w:rPr>
                <w:sz w:val="18"/>
              </w:rPr>
              <w:t>AI, by 0.1 point</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Total draw over the next 28 days</w:t>
            </w:r>
          </w:p>
        </w:tc>
        <w:tc>
          <w:tcPr>
            <w:tcW w:type="dxa" w:w="1049"/>
          </w:tcPr>
          <w:p>
            <w:pPr>
              <w:spacing w:after="0" w:line="240" w:lineRule="auto"/>
            </w:pPr>
            <w:r>
              <w:rPr>
                <w:sz w:val="18"/>
              </w:rPr>
              <w:t>28 days</w:t>
            </w:r>
          </w:p>
        </w:tc>
        <w:tc>
          <w:tcPr>
            <w:tcW w:type="dxa" w:w="2559"/>
          </w:tcPr>
          <w:p>
            <w:pPr>
              <w:spacing w:after="0" w:line="240" w:lineRule="auto"/>
            </w:pPr>
            <w:r>
              <w:rPr>
                <w:sz w:val="18"/>
              </w:rPr>
              <w:t>8.5% (28-day mean)</w:t>
            </w:r>
          </w:p>
        </w:tc>
        <w:tc>
          <w:tcPr>
            <w:tcW w:type="dxa" w:w="992"/>
          </w:tcPr>
          <w:p>
            <w:pPr>
              <w:spacing w:after="0" w:line="240" w:lineRule="auto"/>
            </w:pPr>
            <w:r>
              <w:rPr>
                <w:sz w:val="18"/>
              </w:rPr>
              <w:t>9.2%</w:t>
            </w:r>
          </w:p>
        </w:tc>
        <w:tc>
          <w:tcPr>
            <w:tcW w:type="dxa" w:w="935"/>
          </w:tcPr>
          <w:p>
            <w:pPr>
              <w:spacing w:after="0" w:line="240" w:lineRule="auto"/>
            </w:pPr>
            <w:r>
              <w:rPr>
                <w:sz w:val="18"/>
              </w:rPr>
              <w:t>Simple</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Thai Oil, total over the next 28 days</w:t>
            </w:r>
          </w:p>
        </w:tc>
        <w:tc>
          <w:tcPr>
            <w:tcW w:type="dxa" w:w="1049"/>
          </w:tcPr>
          <w:p>
            <w:pPr>
              <w:spacing w:after="0" w:line="240" w:lineRule="auto"/>
            </w:pPr>
            <w:r>
              <w:rPr>
                <w:sz w:val="18"/>
              </w:rPr>
              <w:t>28 days</w:t>
            </w:r>
          </w:p>
        </w:tc>
        <w:tc>
          <w:tcPr>
            <w:tcW w:type="dxa" w:w="2559"/>
          </w:tcPr>
          <w:p>
            <w:pPr>
              <w:spacing w:after="0" w:line="240" w:lineRule="auto"/>
            </w:pPr>
            <w:r>
              <w:rPr>
                <w:sz w:val="18"/>
              </w:rPr>
              <w:t>11.6% (91-day mean)</w:t>
            </w:r>
          </w:p>
        </w:tc>
        <w:tc>
          <w:tcPr>
            <w:tcW w:type="dxa" w:w="992"/>
          </w:tcPr>
          <w:p>
            <w:pPr>
              <w:spacing w:after="0" w:line="240" w:lineRule="auto"/>
            </w:pPr>
            <w:r>
              <w:rPr>
                <w:sz w:val="18"/>
              </w:rPr>
              <w:t>17.8%</w:t>
            </w:r>
          </w:p>
        </w:tc>
        <w:tc>
          <w:tcPr>
            <w:tcW w:type="dxa" w:w="935"/>
          </w:tcPr>
          <w:p>
            <w:pPr>
              <w:spacing w:after="0" w:line="240" w:lineRule="auto"/>
            </w:pPr>
            <w:r>
              <w:rPr>
                <w:sz w:val="18"/>
              </w:rPr>
              <w:t>Simple</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EGAT Bang Pakong, total over the next 28 days</w:t>
            </w:r>
          </w:p>
        </w:tc>
        <w:tc>
          <w:tcPr>
            <w:tcW w:type="dxa" w:w="1049"/>
          </w:tcPr>
          <w:p>
            <w:pPr>
              <w:spacing w:after="0" w:line="240" w:lineRule="auto"/>
            </w:pPr>
            <w:r>
              <w:rPr>
                <w:sz w:val="18"/>
              </w:rPr>
              <w:t>28 days</w:t>
            </w:r>
          </w:p>
        </w:tc>
        <w:tc>
          <w:tcPr>
            <w:tcW w:type="dxa" w:w="2559"/>
          </w:tcPr>
          <w:p>
            <w:pPr>
              <w:spacing w:after="0" w:line="240" w:lineRule="auto"/>
            </w:pPr>
            <w:r>
              <w:rPr>
                <w:sz w:val="18"/>
              </w:rPr>
              <w:t>17.5% (28-day mean)</w:t>
            </w:r>
          </w:p>
        </w:tc>
        <w:tc>
          <w:tcPr>
            <w:tcW w:type="dxa" w:w="992"/>
          </w:tcPr>
          <w:p>
            <w:pPr>
              <w:spacing w:after="0" w:line="240" w:lineRule="auto"/>
            </w:pPr>
            <w:r>
              <w:rPr>
                <w:sz w:val="18"/>
              </w:rPr>
              <w:t>21.5%</w:t>
            </w:r>
          </w:p>
        </w:tc>
        <w:tc>
          <w:tcPr>
            <w:tcW w:type="dxa" w:w="935"/>
          </w:tcPr>
          <w:p>
            <w:pPr>
              <w:spacing w:after="0" w:line="240" w:lineRule="auto"/>
            </w:pPr>
            <w:r>
              <w:rPr>
                <w:sz w:val="18"/>
              </w:rPr>
              <w:t>Simple</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Bang Phra storage</w:t>
            </w:r>
          </w:p>
        </w:tc>
        <w:tc>
          <w:tcPr>
            <w:tcW w:type="dxa" w:w="1049"/>
          </w:tcPr>
          <w:p>
            <w:pPr>
              <w:spacing w:after="0" w:line="240" w:lineRule="auto"/>
            </w:pPr>
            <w:r>
              <w:rPr>
                <w:sz w:val="18"/>
              </w:rPr>
              <w:t>7 days</w:t>
            </w:r>
          </w:p>
        </w:tc>
        <w:tc>
          <w:tcPr>
            <w:tcW w:type="dxa" w:w="2559"/>
          </w:tcPr>
          <w:p>
            <w:pPr>
              <w:spacing w:after="0" w:line="240" w:lineRule="auto"/>
            </w:pPr>
            <w:r>
              <w:rPr>
                <w:sz w:val="18"/>
              </w:rPr>
              <w:t>1.05 MCM (7-day trend)</w:t>
            </w:r>
          </w:p>
        </w:tc>
        <w:tc>
          <w:tcPr>
            <w:tcW w:type="dxa" w:w="992"/>
          </w:tcPr>
          <w:p>
            <w:pPr>
              <w:spacing w:after="0" w:line="240" w:lineRule="auto"/>
            </w:pPr>
            <w:r>
              <w:rPr>
                <w:sz w:val="18"/>
              </w:rPr>
              <w:t>1.23 MCM</w:t>
            </w:r>
          </w:p>
        </w:tc>
        <w:tc>
          <w:tcPr>
            <w:tcW w:type="dxa" w:w="935"/>
          </w:tcPr>
          <w:p>
            <w:pPr>
              <w:spacing w:after="0" w:line="240" w:lineRule="auto"/>
            </w:pPr>
            <w:r>
              <w:rPr>
                <w:sz w:val="18"/>
              </w:rPr>
              <w:t>Simple</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Bang Phra storage</w:t>
            </w:r>
          </w:p>
        </w:tc>
        <w:tc>
          <w:tcPr>
            <w:tcW w:type="dxa" w:w="1049"/>
          </w:tcPr>
          <w:p>
            <w:pPr>
              <w:spacing w:after="0" w:line="240" w:lineRule="auto"/>
            </w:pPr>
            <w:r>
              <w:rPr>
                <w:sz w:val="18"/>
              </w:rPr>
              <w:t>30 days</w:t>
            </w:r>
          </w:p>
        </w:tc>
        <w:tc>
          <w:tcPr>
            <w:tcW w:type="dxa" w:w="2559"/>
          </w:tcPr>
          <w:p>
            <w:pPr>
              <w:spacing w:after="0" w:line="240" w:lineRule="auto"/>
            </w:pPr>
            <w:r>
              <w:rPr>
                <w:sz w:val="18"/>
              </w:rPr>
              <w:t>5.08 MCM (seasonal average)</w:t>
            </w:r>
          </w:p>
        </w:tc>
        <w:tc>
          <w:tcPr>
            <w:tcW w:type="dxa" w:w="992"/>
          </w:tcPr>
          <w:p>
            <w:pPr>
              <w:spacing w:after="0" w:line="240" w:lineRule="auto"/>
            </w:pPr>
            <w:r>
              <w:rPr>
                <w:sz w:val="18"/>
              </w:rPr>
              <w:t>3.60 MCM</w:t>
            </w:r>
          </w:p>
        </w:tc>
        <w:tc>
          <w:tcPr>
            <w:tcW w:type="dxa" w:w="935"/>
          </w:tcPr>
          <w:p>
            <w:pPr>
              <w:spacing w:after="0" w:line="240" w:lineRule="auto"/>
            </w:pPr>
            <w:r>
              <w:rPr>
                <w:sz w:val="18"/>
              </w:rPr>
              <w:t>AI</w:t>
            </w:r>
          </w:p>
        </w:tc>
        <w:tc>
          <w:tcPr>
            <w:tcW w:type="dxa" w:w="935"/>
          </w:tcPr>
          <w:p>
            <w:pPr>
              <w:spacing w:after="0" w:line="240" w:lineRule="auto"/>
            </w:pPr>
            <w:r>
              <w:rPr>
                <w:sz w:val="18"/>
              </w:rPr>
              <w:t>[BT]</w:t>
            </w:r>
          </w:p>
        </w:tc>
      </w:tr>
      <w:tr>
        <w:trPr>
          <w:cantSplit/>
        </w:trPr>
        <w:tc>
          <w:tcPr>
            <w:tcW w:type="dxa" w:w="3168"/>
          </w:tcPr>
          <w:p>
            <w:pPr>
              <w:spacing w:after="0" w:line="240" w:lineRule="auto"/>
            </w:pPr>
            <w:r>
              <w:rPr>
                <w:sz w:val="18"/>
              </w:rPr>
              <w:t>Bang Phra storage</w:t>
            </w:r>
          </w:p>
        </w:tc>
        <w:tc>
          <w:tcPr>
            <w:tcW w:type="dxa" w:w="1049"/>
          </w:tcPr>
          <w:p>
            <w:pPr>
              <w:spacing w:after="0" w:line="240" w:lineRule="auto"/>
            </w:pPr>
            <w:r>
              <w:rPr>
                <w:sz w:val="18"/>
              </w:rPr>
              <w:t>90 days</w:t>
            </w:r>
          </w:p>
        </w:tc>
        <w:tc>
          <w:tcPr>
            <w:tcW w:type="dxa" w:w="2559"/>
          </w:tcPr>
          <w:p>
            <w:pPr>
              <w:spacing w:after="0" w:line="240" w:lineRule="auto"/>
            </w:pPr>
            <w:r>
              <w:rPr>
                <w:sz w:val="18"/>
              </w:rPr>
              <w:t>12.32 MCM (seasonal average)</w:t>
            </w:r>
          </w:p>
        </w:tc>
        <w:tc>
          <w:tcPr>
            <w:tcW w:type="dxa" w:w="992"/>
          </w:tcPr>
          <w:p>
            <w:pPr>
              <w:spacing w:after="0" w:line="240" w:lineRule="auto"/>
            </w:pPr>
            <w:r>
              <w:rPr>
                <w:sz w:val="18"/>
              </w:rPr>
              <w:t>9.29 MCM</w:t>
            </w:r>
          </w:p>
        </w:tc>
        <w:tc>
          <w:tcPr>
            <w:tcW w:type="dxa" w:w="935"/>
          </w:tcPr>
          <w:p>
            <w:pPr>
              <w:spacing w:after="0" w:line="240" w:lineRule="auto"/>
            </w:pPr>
            <w:r>
              <w:rPr>
                <w:sz w:val="18"/>
              </w:rPr>
              <w:t>AI</w:t>
            </w:r>
          </w:p>
        </w:tc>
        <w:tc>
          <w:tcPr>
            <w:tcW w:type="dxa" w:w="935"/>
          </w:tcPr>
          <w:p>
            <w:pPr>
              <w:spacing w:after="0" w:line="240" w:lineRule="auto"/>
            </w:pPr>
            <w:r>
              <w:rPr>
                <w:sz w:val="18"/>
              </w:rPr>
              <w:t>[BT]</w:t>
            </w:r>
          </w:p>
        </w:tc>
      </w:tr>
    </w:tbl>
    <w:p>
      <w:pPr>
        <w:spacing w:after="40"/>
      </w:pPr>
    </w:p>
    <w:p>
      <w:pPr>
        <w:pStyle w:val="ListBullet"/>
      </w:pPr>
      <w:r>
        <w:rPr>
          <w:b/>
        </w:rPr>
        <w:t>Demand: simple methods are hard to beat.</w:t>
      </w:r>
      <w:r>
        <w:rPr/>
        <w:t xml:space="preserve"> Most error comes from step changes in allocation that history cannot predict, such as PWA Chonburi rising from about 155,000 to 205,000 m³/day in April 2022; the AI model needs known future events (item 8) to add value [RM]. Thai Oil and EGAT draw in bursts and can only be forecast as weekly or 4-weekly totals, with 12–21% error [RM, BT].</w:t>
      </w:r>
    </w:p>
    <w:p>
      <w:pPr>
        <w:pStyle w:val="ListBullet"/>
      </w:pPr>
      <w:r>
        <w:rPr>
          <w:b/>
        </w:rPr>
        <w:t>Storage: the AI model beats the seasonal average</w:t>
      </w:r>
      <w:r>
        <w:rPr/>
        <w:t xml:space="preserve"> at 30 and 90 days (3.60 against 5.08 MCM; 9.29 against 12.32 MCM) [BT].</w:t>
      </w:r>
    </w:p>
    <w:p>
      <w:pPr>
        <w:pStyle w:val="ListBullet"/>
      </w:pPr>
      <w:r>
        <w:rPr>
          <w:b/>
        </w:rPr>
        <w:t>Ranges and reproducibility.</w:t>
      </w:r>
      <w:r>
        <w:rPr/>
        <w:t xml:space="preserve"> The MATLAB P10–P90 ranges contain 78–82% of actual values for daily demand and storage, close to the 80% target. MATLAB reproduces all 111 Python baseline results exactly, and the AI model to within about 0.1 error points for daily demand [RM, BT].</w:t>
      </w:r>
    </w:p>
    <w:p>
      <w:pPr>
        <w:pStyle w:val="Heading2"/>
      </w:pPr>
      <w:r>
        <w:rPr/>
        <w:t>6.3 Supply risk outlook (Bang Phra)</w:t>
      </w:r>
    </w:p>
    <w:p>
      <w:r>
        <w:rPr/>
        <w:t>The outlook simulates storage day by day once for each of the 35 past years' inflows (1990–2024), with use, diversions and releases set by scenario (A9) [SO, RM].</w:t>
      </w:r>
    </w:p>
    <w:p>
      <w:pPr>
        <w:pStyle w:val="ListBullet"/>
      </w:pPr>
      <w:r>
        <w:rPr>
          <w:b/>
        </w:rPr>
        <w:t>Accuracy (backtest 2019–2025).</w:t>
      </w:r>
      <w:r>
        <w:rPr/>
        <w:t xml:space="preserve"> Average error of the median outlook: 1.12, 3.49 and 8.15 MCM at 7, 30 and 90 days, against 1.23 / 3.60 / 9.29 for the AI model and 1.43 / 5.08 / 12.32 for the seasonal average [SO]. At 7 days the simple 7-day trend is still slightly better, at 1.05 MCM [BT].</w:t>
      </w:r>
    </w:p>
    <w:p>
      <w:pPr>
        <w:pStyle w:val="ListBullet"/>
      </w:pPr>
      <w:r>
        <w:rPr>
          <w:b/>
        </w:rPr>
        <w:t>The shortage warning works.</w:t>
      </w:r>
      <w:r>
        <w:rPr/>
        <w:t xml:space="preserve"> "Below 30% of capacity within 90 days" has a Brier skill of 0.62 over the historical base rate (0.93 at 30 days, 0.99 at 7 days) [SO].</w:t>
      </w:r>
    </w:p>
    <w:p>
      <w:pPr>
        <w:pStyle w:val="ListBullet"/>
      </w:pPr>
      <w:r>
        <w:rPr>
          <w:b/>
        </w:rPr>
        <w:t>Limits.</w:t>
      </w:r>
      <w:r>
        <w:rPr/>
        <w:t xml:space="preserve"> The ranges are too narrow: 63–65% of outcomes fall inside P10–P90, against an 80% target. The 90-day outlook runs about 4 MCM pessimistic (bias −4.27 MCM), probably because in practice diversions increase when storage is low [SO, RM].</w:t>
      </w:r>
    </w:p>
    <w:p>
      <w:pPr>
        <w:keepNext/>
      </w:pPr>
      <w:r>
        <w:rPr>
          <w:b/>
        </w:rPr>
        <w:t>Outlook from 28 Mar 2025</w:t>
      </w:r>
      <w:r>
        <w:rPr/>
        <w:t xml:space="preserve"> (storage 72.3 MCM, 62% full; recent use 243,049 m³/day, the 28-day mean) for the next 180 days [SO]:</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4754"/>
        <w:gridCol w:w="1048"/>
        <w:gridCol w:w="1048"/>
        <w:gridCol w:w="2785"/>
      </w:tblGrid>
      <w:tr>
        <w:trPr>
          <w:cantSplit/>
          <w:tblHeader/>
        </w:trPr>
        <w:tc>
          <w:tcPr>
            <w:tcW w:type="dxa" w:w="4755"/>
            <w:shd w:val="clear" w:color="auto" w:fill="DCE6EF"/>
          </w:tcPr>
          <w:p>
            <w:pPr>
              <w:keepNext/>
              <w:spacing w:after="0" w:line="240" w:lineRule="auto"/>
            </w:pPr>
            <w:r>
              <w:rPr>
                <w:b/>
                <w:sz w:val="18"/>
              </w:rPr>
              <w:t>Scenario</w:t>
            </w:r>
          </w:p>
        </w:tc>
        <w:tc>
          <w:tcPr>
            <w:tcW w:type="dxa" w:w="1049"/>
            <w:shd w:val="clear" w:color="auto" w:fill="DCE6EF"/>
          </w:tcPr>
          <w:p>
            <w:pPr>
              <w:keepNext/>
              <w:spacing w:after="0" w:line="240" w:lineRule="auto"/>
            </w:pPr>
            <w:r>
              <w:rPr>
                <w:b/>
                <w:sz w:val="18"/>
              </w:rPr>
              <w:t>Median storage at 90 days, MCM</w:t>
            </w:r>
          </w:p>
        </w:tc>
        <w:tc>
          <w:tcPr>
            <w:tcW w:type="dxa" w:w="1049"/>
            <w:shd w:val="clear" w:color="auto" w:fill="DCE6EF"/>
          </w:tcPr>
          <w:p>
            <w:pPr>
              <w:keepNext/>
              <w:spacing w:after="0" w:line="240" w:lineRule="auto"/>
            </w:pPr>
            <w:r>
              <w:rPr>
                <w:b/>
                <w:sz w:val="18"/>
              </w:rPr>
              <w:t>Chance of falling below 30% (35.1 MCM) within 180 days</w:t>
            </w:r>
          </w:p>
        </w:tc>
        <w:tc>
          <w:tcPr>
            <w:tcW w:type="dxa" w:w="2785"/>
            <w:shd w:val="clear" w:color="auto" w:fill="DCE6EF"/>
          </w:tcPr>
          <w:p>
            <w:pPr>
              <w:keepNext/>
              <w:spacing w:after="0" w:line="240" w:lineRule="auto"/>
            </w:pPr>
            <w:r>
              <w:rPr>
                <w:b/>
                <w:sz w:val="18"/>
              </w:rPr>
              <w:t>First day the P10 path is below 30%</w:t>
            </w:r>
          </w:p>
        </w:tc>
      </w:tr>
      <w:tr>
        <w:trPr>
          <w:cantSplit/>
        </w:trPr>
        <w:tc>
          <w:tcPr>
            <w:tcW w:type="dxa" w:w="4755"/>
          </w:tcPr>
          <w:p>
            <w:pPr>
              <w:spacing w:after="0" w:line="240" w:lineRule="auto"/>
            </w:pPr>
            <w:r>
              <w:rPr>
                <w:sz w:val="18"/>
              </w:rPr>
              <w:t>Recent use, typical diversions</w:t>
            </w:r>
          </w:p>
        </w:tc>
        <w:tc>
          <w:tcPr>
            <w:tcW w:type="dxa" w:w="1049"/>
          </w:tcPr>
          <w:p>
            <w:pPr>
              <w:spacing w:after="0" w:line="240" w:lineRule="auto"/>
            </w:pPr>
            <w:r>
              <w:rPr>
                <w:sz w:val="18"/>
              </w:rPr>
              <w:t>56.4</w:t>
            </w:r>
          </w:p>
        </w:tc>
        <w:tc>
          <w:tcPr>
            <w:tcW w:type="dxa" w:w="1049"/>
          </w:tcPr>
          <w:p>
            <w:pPr>
              <w:spacing w:after="0" w:line="240" w:lineRule="auto"/>
            </w:pPr>
            <w:r>
              <w:rPr>
                <w:sz w:val="18"/>
              </w:rPr>
              <w:t>0%</w:t>
            </w:r>
          </w:p>
        </w:tc>
        <w:tc>
          <w:tcPr>
            <w:tcW w:type="dxa" w:w="2785"/>
          </w:tcPr>
          <w:p>
            <w:pPr>
              <w:spacing w:after="0" w:line="240" w:lineRule="auto"/>
            </w:pPr>
            <w:r>
              <w:rPr>
                <w:sz w:val="18"/>
              </w:rPr>
              <w:t>Not within 180 days</w:t>
            </w:r>
          </w:p>
        </w:tc>
      </w:tr>
      <w:tr>
        <w:trPr>
          <w:cantSplit/>
        </w:trPr>
        <w:tc>
          <w:tcPr>
            <w:tcW w:type="dxa" w:w="4755"/>
          </w:tcPr>
          <w:p>
            <w:pPr>
              <w:spacing w:after="0" w:line="240" w:lineRule="auto"/>
            </w:pPr>
            <w:r>
              <w:rPr>
                <w:sz w:val="18"/>
              </w:rPr>
              <w:t>Allocation-plan use, typical diversions</w:t>
            </w:r>
          </w:p>
        </w:tc>
        <w:tc>
          <w:tcPr>
            <w:tcW w:type="dxa" w:w="1049"/>
          </w:tcPr>
          <w:p>
            <w:pPr>
              <w:spacing w:after="0" w:line="240" w:lineRule="auto"/>
            </w:pPr>
            <w:r>
              <w:rPr>
                <w:sz w:val="18"/>
              </w:rPr>
              <w:t>50.5</w:t>
            </w:r>
          </w:p>
        </w:tc>
        <w:tc>
          <w:tcPr>
            <w:tcW w:type="dxa" w:w="1049"/>
          </w:tcPr>
          <w:p>
            <w:pPr>
              <w:spacing w:after="0" w:line="240" w:lineRule="auto"/>
            </w:pPr>
            <w:r>
              <w:rPr>
                <w:sz w:val="18"/>
              </w:rPr>
              <w:t>6%</w:t>
            </w:r>
          </w:p>
        </w:tc>
        <w:tc>
          <w:tcPr>
            <w:tcW w:type="dxa" w:w="2785"/>
          </w:tcPr>
          <w:p>
            <w:pPr>
              <w:spacing w:after="0" w:line="240" w:lineRule="auto"/>
            </w:pPr>
            <w:r>
              <w:rPr>
                <w:sz w:val="18"/>
              </w:rPr>
              <w:t>Not within 180 days</w:t>
            </w:r>
          </w:p>
        </w:tc>
      </w:tr>
      <w:tr>
        <w:trPr>
          <w:cantSplit/>
        </w:trPr>
        <w:tc>
          <w:tcPr>
            <w:tcW w:type="dxa" w:w="4755"/>
          </w:tcPr>
          <w:p>
            <w:pPr>
              <w:spacing w:after="0" w:line="240" w:lineRule="auto"/>
            </w:pPr>
            <w:r>
              <w:rPr>
                <w:sz w:val="18"/>
              </w:rPr>
              <w:t>Recent use, no diversions</w:t>
            </w:r>
          </w:p>
        </w:tc>
        <w:tc>
          <w:tcPr>
            <w:tcW w:type="dxa" w:w="1049"/>
          </w:tcPr>
          <w:p>
            <w:pPr>
              <w:spacing w:after="0" w:line="240" w:lineRule="auto"/>
            </w:pPr>
            <w:r>
              <w:rPr>
                <w:sz w:val="18"/>
              </w:rPr>
              <w:t>52.8</w:t>
            </w:r>
          </w:p>
        </w:tc>
        <w:tc>
          <w:tcPr>
            <w:tcW w:type="dxa" w:w="1049"/>
          </w:tcPr>
          <w:p>
            <w:pPr>
              <w:spacing w:after="0" w:line="240" w:lineRule="auto"/>
            </w:pPr>
            <w:r>
              <w:rPr>
                <w:sz w:val="18"/>
              </w:rPr>
              <w:t>43%</w:t>
            </w:r>
          </w:p>
        </w:tc>
        <w:tc>
          <w:tcPr>
            <w:tcW w:type="dxa" w:w="2785"/>
          </w:tcPr>
          <w:p>
            <w:pPr>
              <w:spacing w:after="0" w:line="240" w:lineRule="auto"/>
            </w:pPr>
            <w:r>
              <w:rPr>
                <w:sz w:val="18"/>
              </w:rPr>
              <w:t>6 Aug 2025</w:t>
            </w:r>
          </w:p>
        </w:tc>
      </w:tr>
      <w:tr>
        <w:trPr>
          <w:cantSplit/>
        </w:trPr>
        <w:tc>
          <w:tcPr>
            <w:tcW w:type="dxa" w:w="4755"/>
          </w:tcPr>
          <w:p>
            <w:pPr>
              <w:spacing w:after="0" w:line="240" w:lineRule="auto"/>
            </w:pPr>
            <w:r>
              <w:rPr>
                <w:sz w:val="18"/>
              </w:rPr>
              <w:t>Allocation-plan use, no diversions</w:t>
            </w:r>
          </w:p>
        </w:tc>
        <w:tc>
          <w:tcPr>
            <w:tcW w:type="dxa" w:w="1049"/>
          </w:tcPr>
          <w:p>
            <w:pPr>
              <w:spacing w:after="0" w:line="240" w:lineRule="auto"/>
            </w:pPr>
            <w:r>
              <w:rPr>
                <w:sz w:val="18"/>
              </w:rPr>
              <w:t>46.9</w:t>
            </w:r>
          </w:p>
        </w:tc>
        <w:tc>
          <w:tcPr>
            <w:tcW w:type="dxa" w:w="1049"/>
          </w:tcPr>
          <w:p>
            <w:pPr>
              <w:spacing w:after="0" w:line="240" w:lineRule="auto"/>
            </w:pPr>
            <w:r>
              <w:rPr>
                <w:sz w:val="18"/>
              </w:rPr>
              <w:t>60%</w:t>
            </w:r>
          </w:p>
        </w:tc>
        <w:tc>
          <w:tcPr>
            <w:tcW w:type="dxa" w:w="2785"/>
          </w:tcPr>
          <w:p>
            <w:pPr>
              <w:spacing w:after="0" w:line="240" w:lineRule="auto"/>
            </w:pPr>
            <w:r>
              <w:rPr>
                <w:sz w:val="18"/>
              </w:rPr>
              <w:t>13 Jul 2025</w:t>
            </w:r>
          </w:p>
        </w:tc>
      </w:tr>
    </w:tbl>
    <w:p>
      <w:pPr>
        <w:spacing w:after="40"/>
      </w:pPr>
    </w:p>
    <w:p>
      <w:r>
        <w:rPr/>
        <w:t>Diversions from Bang Pakong and Phra Ong are what keep Bang Phra safe [RM]. The data end on 28 Mar 2025, so this outlook demonstrates the method. With data to date (item 9) it can be checked against what actually happened, and rerun for today.</w:t>
      </w:r>
    </w:p>
    <w:p>
      <w:pPr>
        <w:keepNext/>
        <w:jc w:val="center"/>
      </w:pPr>
      <w:r>
        <w:drawing>
          <wp:inline xmlns:a="http://schemas.openxmlformats.org/drawingml/2006/main" xmlns:pic="http://schemas.openxmlformats.org/drawingml/2006/picture">
            <wp:extent cx="5580000" cy="3930765"/>
            <wp:docPr id="1" name="Picture 1"/>
            <wp:cNvGraphicFramePr>
              <a:graphicFrameLocks noChangeAspect="1"/>
            </wp:cNvGraphicFramePr>
            <a:graphic>
              <a:graphicData uri="http://schemas.openxmlformats.org/drawingml/2006/picture">
                <pic:pic>
                  <pic:nvPicPr>
                    <pic:cNvPr id="0" name="supply_outlook_fan.png"/>
                    <pic:cNvPicPr/>
                  </pic:nvPicPr>
                  <pic:blipFill>
                    <a:blip r:embed="rId10"/>
                    <a:stretch>
                      <a:fillRect/>
                    </a:stretch>
                  </pic:blipFill>
                  <pic:spPr>
                    <a:xfrm>
                      <a:off x="0" y="0"/>
                      <a:ext cx="5580000" cy="3930765"/>
                    </a:xfrm>
                    <a:prstGeom prst="rect"/>
                  </pic:spPr>
                </pic:pic>
              </a:graphicData>
            </a:graphic>
          </wp:inline>
        </w:drawing>
      </w:r>
    </w:p>
    <w:p>
      <w:pPr>
        <w:spacing w:after="160"/>
      </w:pPr>
      <w:r>
        <w:rPr>
          <w:i/>
          <w:color w:val="5B6775"/>
          <w:sz w:val="18"/>
        </w:rPr>
        <w:t>Figure 1. Bang Phra storage outlook from 28 Mar 2025 [SO].</w:t>
      </w:r>
    </w:p>
    <w:p>
      <w:pPr>
        <w:pStyle w:val="Heading2"/>
      </w:pPr>
      <w:r>
        <w:rPr/>
        <w:t>6.4 EPANET network check (Rayong)</w:t>
      </w:r>
    </w:p>
    <w:p>
      <w:pPr>
        <w:pStyle w:val="ListBullet"/>
      </w:pPr>
      <w:r>
        <w:rPr>
          <w:b/>
        </w:rPr>
        <w:t>The model runs.</w:t>
      </w:r>
      <w:r>
        <w:rPr/>
        <w:t xml:space="preserve"> 48 simulated hours with no EPANET warnings [EP]. Python and MATLAB agree within 0.005 m at all 28 customer nodes, and both EPANET back-ends give the same 191,207 kWh/day [RM].</w:t>
      </w:r>
    </w:p>
    <w:p>
      <w:pPr>
        <w:pStyle w:val="ListBullet"/>
      </w:pPr>
      <w:r>
        <w:rPr>
          <w:b/>
        </w:rPr>
        <w:t>It is not yet an operating model.</w:t>
      </w:r>
    </w:p>
    <w:p>
      <w:pPr>
        <w:pStyle w:val="ListBullet2"/>
      </w:pPr>
      <w:r>
        <w:rPr/>
        <w:t>No demand patterns, controls or energy prices, so every hour is identical and 14 pumps run continuously (A2) [EP, RM].</w:t>
      </w:r>
    </w:p>
    <w:p>
      <w:pPr>
        <w:pStyle w:val="ListBullet2"/>
      </w:pPr>
      <w:r>
        <w:rPr/>
        <w:t>Both elevated tanks drain and never refill: NPL3_HT from 24.80 to 16.46 m, NPL2_HT from 20.00 to 17.93 m over 48 hours [EP].</w:t>
      </w:r>
    </w:p>
    <w:p>
      <w:pPr>
        <w:pStyle w:val="ListBullet2"/>
      </w:pPr>
      <w:r>
        <w:rPr/>
        <w:t>Four customers on high ground get less than 10 m of pressure: IEAT4, IEAT5 and IEAT6 (6.6 m, at 58.6 m elevation) and Burapa (9.8 m, at 74.7 m) [EN].</w:t>
      </w:r>
    </w:p>
    <w:p>
      <w:pPr>
        <w:pStyle w:val="ListBullet2"/>
      </w:pPr>
      <w:r>
        <w:rPr/>
        <w:t>27 junctions at the NPL3 and TM Pond pump suctions show negative pressure (−1.6 m at NPL3, down to −5.65 m at TM Pond), because the source reservoir heads (43.41 m and 23 m) sit below the suction pipes (A6) [EP, RM]. EPANET does not warn about these junctions because they have no demand [EP].</w:t>
      </w:r>
    </w:p>
    <w:p>
      <w:pPr>
        <w:pStyle w:val="ListBullet2"/>
      </w:pPr>
      <w:r>
        <w:rPr/>
        <w:t>TM Pond pumps 3–6 never run (A5) [EP]. Nodes 71 and 678 carry 100,000 m³/day each and, unlike the other 26 demand nodes, have numeric IDs instead of customer names (A3) [EN].</w:t>
      </w:r>
    </w:p>
    <w:p>
      <w:pPr>
        <w:pStyle w:val="ListBullet"/>
      </w:pPr>
      <w:r>
        <w:rPr>
          <w:b/>
        </w:rPr>
        <w:t>The plan checker grades the model's own operation Warning:</w:t>
      </w:r>
      <w:r>
        <w:rPr/>
        <w:t xml:space="preserve"> four customers below 10 m, and both tanks end lower than they start, so the schedule cannot repeat daily. Switching off the TM Pond pumps grades Fail: customers get negative pressure and both tanks empty within 3 hours [RM].</w:t>
      </w:r>
    </w:p>
    <w:p>
      <w:pPr>
        <w:pStyle w:val="Heading2"/>
      </w:pPr>
      <w:r>
        <w:rPr/>
        <w:t>6.5 Pump plans checked in EPANET (QW2 prototype with the QW3 check)</w:t>
      </w:r>
    </w:p>
    <w:p>
      <w:pPr>
        <w:pStyle w:val="ListBullet"/>
      </w:pPr>
      <w:r>
        <w:rPr>
          <w:b/>
        </w:rPr>
        <w:t>Method.</w:t>
      </w:r>
      <w:r>
        <w:rPr/>
        <w:t xml:space="preserve"> For each hour, the optimiser (a mixed-integer linear program) chooses how many pumps run at each station, keeping the tanks between their reserve and 90% full. Each plan is then simulated in EPANET for 24 hours and graded Pass, Warning or Fail. If a plan misses, its reserve is raised and it is re-optimised, for up to six rounds [RM]. 343 station combinations were simulated per demand scenario; 105 are hydraulically valid, and at most 2 TM Pond pumps can run [PP].</w:t>
      </w:r>
    </w:p>
    <w:p>
      <w:pPr>
        <w:pStyle w:val="ListBullet"/>
      </w:pPr>
      <w:r>
        <w:rPr>
          <w:b/>
        </w:rPr>
        <w:t>At 488,403 m³/day (A3)</w:t>
      </w:r>
      <w:r>
        <w:rPr/>
        <w:t xml:space="preserve"> the lowest-energy plan and Plan B pass. </w:t>
      </w:r>
      <w:r>
        <w:rPr>
          <w:b/>
        </w:rPr>
        <w:t>Plans A and C were rejected by the hydraulic check</w:t>
      </w:r>
      <w:r>
        <w:rPr/>
        <w:t xml:space="preserve"> (Section 3) [PP].</w:t>
      </w:r>
    </w:p>
    <w:p>
      <w:pPr>
        <w:pStyle w:val="ListBullet"/>
      </w:pPr>
      <w:r>
        <w:rPr>
          <w:b/>
        </w:rPr>
        <w:t>Off-peak shifting saves about 0%.</w:t>
      </w:r>
      <w:r>
        <w:rPr/>
        <w:t xml:space="preserve"> In the final run the only tariff-aware plan that passed (Plan B) cost 0.2% more than the lowest-energy plan; across all runs, valid tariff-aware plans ranged from −0.4% to +0.6% [RM, PK]. The pump-plan run put this down to the small elevated tanks (about 16,400 m³) and pointed to upstream storage or better pump efficiency [RM]. The storage what-if (Section 6.6) refines this: bigger head tanks would not help, because the limit is the head the pumps work against at high flow, and the level the tanks are held at is a larger lever [WI].</w:t>
      </w:r>
    </w:p>
    <w:p>
      <w:pPr>
        <w:pStyle w:val="ListBullet"/>
      </w:pPr>
      <w:r>
        <w:rPr>
          <w:b/>
        </w:rPr>
        <w:t>At 688,403 m³/day no plan is feasible.</w:t>
      </w:r>
      <w:r>
        <w:rPr/>
        <w:t xml:space="preserve"> With all usable pumps running (6 NPL2 + 6 NPL3 + 2 TM Pond), tank NPL2_HT gains about 7,110 m³/day but NPL3_HT loses about 18,591 m³/day [PP].</w:t>
      </w:r>
    </w:p>
    <w:p>
      <w:pPr>
        <w:pStyle w:val="ListBullet"/>
      </w:pPr>
      <w:r>
        <w:rPr>
          <w:b/>
        </w:rPr>
        <w:t>Solver limits.</w:t>
      </w:r>
      <w:r>
        <w:rPr/>
        <w:t xml:space="preserve"> The optimiser stops within 0.5% of the best possible cost. Some solves hit the 300-second safety limit, so exact figures can differ slightly between runs; the conclusions held in every run [RM].</w:t>
      </w:r>
    </w:p>
    <w:p>
      <w:pPr>
        <w:keepNext/>
        <w:jc w:val="center"/>
      </w:pPr>
      <w:r>
        <w:drawing>
          <wp:inline xmlns:a="http://schemas.openxmlformats.org/drawingml/2006/main" xmlns:pic="http://schemas.openxmlformats.org/drawingml/2006/picture">
            <wp:extent cx="5580000" cy="4515154"/>
            <wp:docPr id="2" name="Picture 2"/>
            <wp:cNvGraphicFramePr>
              <a:graphicFrameLocks noChangeAspect="1"/>
            </wp:cNvGraphicFramePr>
            <a:graphic>
              <a:graphicData uri="http://schemas.openxmlformats.org/drawingml/2006/picture">
                <pic:pic>
                  <pic:nvPicPr>
                    <pic:cNvPr id="0" name="pump_plans_no_placeholders.png"/>
                    <pic:cNvPicPr/>
                  </pic:nvPicPr>
                  <pic:blipFill>
                    <a:blip r:embed="rId11"/>
                    <a:stretch>
                      <a:fillRect/>
                    </a:stretch>
                  </pic:blipFill>
                  <pic:spPr>
                    <a:xfrm>
                      <a:off x="0" y="0"/>
                      <a:ext cx="5580000" cy="4515154"/>
                    </a:xfrm>
                    <a:prstGeom prst="rect"/>
                  </pic:spPr>
                </pic:pic>
              </a:graphicData>
            </a:graphic>
          </wp:inline>
        </w:drawing>
      </w:r>
    </w:p>
    <w:p>
      <w:pPr>
        <w:spacing w:after="160"/>
      </w:pPr>
      <w:r>
        <w:rPr>
          <w:i/>
          <w:color w:val="5B6775"/>
          <w:sz w:val="18"/>
        </w:rPr>
        <w:t>Figure 2. Pumps running (left) and tank levels in EPANET (right) for each plan at 488,403 m³/day; shading marks the peak tariff [PP].</w:t>
      </w:r>
    </w:p>
    <w:p>
      <w:pPr>
        <w:pStyle w:val="Heading2"/>
      </w:pPr>
      <w:r>
        <w:rPr/>
        <w:t>6.6 Storage what-if and cost per m³ by source</w:t>
      </w:r>
    </w:p>
    <w:p>
      <w:pPr>
        <w:keepNext/>
      </w:pPr>
      <w:r>
        <w:rPr>
          <w:b/>
        </w:rPr>
        <w:t>Question and method.</w:t>
      </w:r>
      <w:r>
        <w:rPr/>
        <w:t xml:space="preserve"> Would bigger head tanks make off-peak pumping pay, and which source gives the cheapest water? The what-if re-plans the 488,403 m³/day weekday (A2, A3) at 1, 2, 5 and 10 times today's tank storage, at the assumed tariff (A1), and checks every plan in a 24-hour EPANET run [WI]. Today's tanks hold 16,431 m³ between their minimum and maximum levels: 48 minutes of this demand, or 34 minutes of the model's full 688,403 m³/day [WI, RM, EP]. Unlike Section 6.5, tank inflows, pump power and customer pressures depend on both tank levels (fitted on 16,464 EPANET snapshots), and the optimiser chooses the level the day starts at; the day must end at least as full [WI].</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2230"/>
        <w:gridCol w:w="1690"/>
        <w:gridCol w:w="1162"/>
        <w:gridCol w:w="1729"/>
        <w:gridCol w:w="1729"/>
        <w:gridCol w:w="1096"/>
      </w:tblGrid>
      <w:tr>
        <w:trPr>
          <w:cantSplit/>
          <w:tblHeader/>
        </w:trPr>
        <w:tc>
          <w:tcPr>
            <w:tcW w:type="dxa" w:w="2230"/>
            <w:shd w:val="clear" w:color="auto" w:fill="DCE6EF"/>
          </w:tcPr>
          <w:p>
            <w:pPr>
              <w:keepNext/>
              <w:spacing w:after="0" w:line="240" w:lineRule="auto"/>
            </w:pPr>
            <w:r>
              <w:rPr>
                <w:b/>
                <w:sz w:val="18"/>
              </w:rPr>
              <w:t>Tank storage</w:t>
            </w:r>
          </w:p>
        </w:tc>
        <w:tc>
          <w:tcPr>
            <w:tcW w:type="dxa" w:w="1690"/>
            <w:shd w:val="clear" w:color="auto" w:fill="DCE6EF"/>
          </w:tcPr>
          <w:p>
            <w:pPr>
              <w:keepNext/>
              <w:spacing w:after="0" w:line="240" w:lineRule="auto"/>
            </w:pPr>
            <w:r>
              <w:rPr>
                <w:b/>
                <w:sz w:val="18"/>
              </w:rPr>
              <w:t>Usable volume, m³</w:t>
            </w:r>
          </w:p>
        </w:tc>
        <w:tc>
          <w:tcPr>
            <w:tcW w:type="dxa" w:w="1162"/>
            <w:shd w:val="clear" w:color="auto" w:fill="DCE6EF"/>
          </w:tcPr>
          <w:p>
            <w:pPr>
              <w:keepNext/>
              <w:spacing w:after="0" w:line="240" w:lineRule="auto"/>
            </w:pPr>
            <w:r>
              <w:rPr>
                <w:b/>
                <w:sz w:val="18"/>
              </w:rPr>
              <w:t>Saving from off-peak pumping, same storage</w:t>
            </w:r>
          </w:p>
        </w:tc>
        <w:tc>
          <w:tcPr>
            <w:tcW w:type="dxa" w:w="1729"/>
            <w:shd w:val="clear" w:color="auto" w:fill="DCE6EF"/>
          </w:tcPr>
          <w:p>
            <w:pPr>
              <w:keepNext/>
              <w:spacing w:after="0" w:line="240" w:lineRule="auto"/>
            </w:pPr>
            <w:r>
              <w:rPr>
                <w:b/>
                <w:sz w:val="18"/>
              </w:rPr>
              <w:t>Lowest-cost plan vs today's lowest-energy plan</w:t>
            </w:r>
          </w:p>
        </w:tc>
        <w:tc>
          <w:tcPr>
            <w:tcW w:type="dxa" w:w="1729"/>
            <w:shd w:val="clear" w:color="auto" w:fill="DCE6EF"/>
          </w:tcPr>
          <w:p>
            <w:pPr>
              <w:keepNext/>
              <w:spacing w:after="0" w:line="240" w:lineRule="auto"/>
            </w:pPr>
            <w:r>
              <w:rPr>
                <w:b/>
                <w:sz w:val="18"/>
              </w:rPr>
              <w:t>kWh/m³, lowest-energy plan</w:t>
            </w:r>
          </w:p>
        </w:tc>
        <w:tc>
          <w:tcPr>
            <w:tcW w:type="dxa" w:w="1097"/>
            <w:shd w:val="clear" w:color="auto" w:fill="DCE6EF"/>
          </w:tcPr>
          <w:p>
            <w:pPr>
              <w:keepNext/>
              <w:spacing w:after="0" w:line="240" w:lineRule="auto"/>
            </w:pPr>
            <w:r>
              <w:rPr>
                <w:b/>
                <w:sz w:val="18"/>
              </w:rPr>
              <w:t>Source</w:t>
            </w:r>
          </w:p>
        </w:tc>
      </w:tr>
      <w:tr>
        <w:trPr>
          <w:cantSplit/>
        </w:trPr>
        <w:tc>
          <w:tcPr>
            <w:tcW w:type="dxa" w:w="2230"/>
          </w:tcPr>
          <w:p>
            <w:pPr>
              <w:spacing w:after="0" w:line="240" w:lineRule="auto"/>
            </w:pPr>
            <w:r>
              <w:rPr>
                <w:sz w:val="18"/>
              </w:rPr>
              <w:t>1× (today)</w:t>
            </w:r>
          </w:p>
        </w:tc>
        <w:tc>
          <w:tcPr>
            <w:tcW w:type="dxa" w:w="1690"/>
          </w:tcPr>
          <w:p>
            <w:pPr>
              <w:spacing w:after="0" w:line="240" w:lineRule="auto"/>
            </w:pPr>
            <w:r>
              <w:rPr>
                <w:sz w:val="18"/>
              </w:rPr>
              <w:t>16,431</w:t>
            </w:r>
          </w:p>
        </w:tc>
        <w:tc>
          <w:tcPr>
            <w:tcW w:type="dxa" w:w="1162"/>
          </w:tcPr>
          <w:p>
            <w:pPr>
              <w:spacing w:after="0" w:line="240" w:lineRule="auto"/>
            </w:pPr>
            <w:r>
              <w:rPr>
                <w:sz w:val="18"/>
              </w:rPr>
              <w:t>0.2%</w:t>
            </w:r>
          </w:p>
        </w:tc>
        <w:tc>
          <w:tcPr>
            <w:tcW w:type="dxa" w:w="1729"/>
          </w:tcPr>
          <w:p>
            <w:pPr>
              <w:spacing w:after="0" w:line="240" w:lineRule="auto"/>
            </w:pPr>
            <w:r>
              <w:rPr>
                <w:sz w:val="18"/>
              </w:rPr>
              <w:t>0.2%</w:t>
            </w:r>
          </w:p>
        </w:tc>
        <w:tc>
          <w:tcPr>
            <w:tcW w:type="dxa" w:w="1729"/>
          </w:tcPr>
          <w:p>
            <w:pPr>
              <w:spacing w:after="0" w:line="240" w:lineRule="auto"/>
            </w:pPr>
            <w:r>
              <w:rPr>
                <w:sz w:val="18"/>
              </w:rPr>
              <w:t>0.2447</w:t>
            </w:r>
          </w:p>
        </w:tc>
        <w:tc>
          <w:tcPr>
            <w:tcW w:type="dxa" w:w="1097"/>
          </w:tcPr>
          <w:p>
            <w:pPr>
              <w:spacing w:after="0" w:line="240" w:lineRule="auto"/>
            </w:pPr>
            <w:r>
              <w:rPr>
                <w:sz w:val="18"/>
              </w:rPr>
              <w:t>[WI]</w:t>
            </w:r>
          </w:p>
        </w:tc>
      </w:tr>
      <w:tr>
        <w:trPr>
          <w:cantSplit/>
        </w:trPr>
        <w:tc>
          <w:tcPr>
            <w:tcW w:type="dxa" w:w="2230"/>
          </w:tcPr>
          <w:p>
            <w:pPr>
              <w:spacing w:after="0" w:line="240" w:lineRule="auto"/>
            </w:pPr>
            <w:r>
              <w:rPr>
                <w:sz w:val="18"/>
              </w:rPr>
              <w:t>2×</w:t>
            </w:r>
          </w:p>
        </w:tc>
        <w:tc>
          <w:tcPr>
            <w:tcW w:type="dxa" w:w="1690"/>
          </w:tcPr>
          <w:p>
            <w:pPr>
              <w:spacing w:after="0" w:line="240" w:lineRule="auto"/>
            </w:pPr>
            <w:r>
              <w:rPr>
                <w:sz w:val="18"/>
              </w:rPr>
              <w:t>32,862</w:t>
            </w:r>
          </w:p>
        </w:tc>
        <w:tc>
          <w:tcPr>
            <w:tcW w:type="dxa" w:w="1162"/>
          </w:tcPr>
          <w:p>
            <w:pPr>
              <w:spacing w:after="0" w:line="240" w:lineRule="auto"/>
            </w:pPr>
            <w:r>
              <w:rPr>
                <w:sz w:val="18"/>
              </w:rPr>
              <w:t>0.4%</w:t>
            </w:r>
          </w:p>
        </w:tc>
        <w:tc>
          <w:tcPr>
            <w:tcW w:type="dxa" w:w="1729"/>
          </w:tcPr>
          <w:p>
            <w:pPr>
              <w:spacing w:after="0" w:line="240" w:lineRule="auto"/>
            </w:pPr>
            <w:r>
              <w:rPr>
                <w:sz w:val="18"/>
              </w:rPr>
              <w:t>1.5%</w:t>
            </w:r>
          </w:p>
        </w:tc>
        <w:tc>
          <w:tcPr>
            <w:tcW w:type="dxa" w:w="1729"/>
          </w:tcPr>
          <w:p>
            <w:pPr>
              <w:spacing w:after="0" w:line="240" w:lineRule="auto"/>
            </w:pPr>
            <w:r>
              <w:rPr>
                <w:sz w:val="18"/>
              </w:rPr>
              <w:t>0.2417</w:t>
            </w:r>
          </w:p>
        </w:tc>
        <w:tc>
          <w:tcPr>
            <w:tcW w:type="dxa" w:w="1097"/>
          </w:tcPr>
          <w:p>
            <w:pPr>
              <w:spacing w:after="0" w:line="240" w:lineRule="auto"/>
            </w:pPr>
            <w:r>
              <w:rPr>
                <w:sz w:val="18"/>
              </w:rPr>
              <w:t>[WI]</w:t>
            </w:r>
          </w:p>
        </w:tc>
      </w:tr>
      <w:tr>
        <w:trPr>
          <w:cantSplit/>
        </w:trPr>
        <w:tc>
          <w:tcPr>
            <w:tcW w:type="dxa" w:w="2230"/>
          </w:tcPr>
          <w:p>
            <w:pPr>
              <w:spacing w:after="0" w:line="240" w:lineRule="auto"/>
            </w:pPr>
            <w:r>
              <w:rPr>
                <w:sz w:val="18"/>
              </w:rPr>
              <w:t>5×</w:t>
            </w:r>
          </w:p>
        </w:tc>
        <w:tc>
          <w:tcPr>
            <w:tcW w:type="dxa" w:w="1690"/>
          </w:tcPr>
          <w:p>
            <w:pPr>
              <w:spacing w:after="0" w:line="240" w:lineRule="auto"/>
            </w:pPr>
            <w:r>
              <w:rPr>
                <w:sz w:val="18"/>
              </w:rPr>
              <w:t>82,156</w:t>
            </w:r>
          </w:p>
        </w:tc>
        <w:tc>
          <w:tcPr>
            <w:tcW w:type="dxa" w:w="1162"/>
          </w:tcPr>
          <w:p>
            <w:pPr>
              <w:spacing w:after="0" w:line="240" w:lineRule="auto"/>
            </w:pPr>
            <w:r>
              <w:rPr>
                <w:sz w:val="18"/>
              </w:rPr>
              <w:t>0.3%</w:t>
            </w:r>
          </w:p>
        </w:tc>
        <w:tc>
          <w:tcPr>
            <w:tcW w:type="dxa" w:w="1729"/>
          </w:tcPr>
          <w:p>
            <w:pPr>
              <w:spacing w:after="0" w:line="240" w:lineRule="auto"/>
            </w:pPr>
            <w:r>
              <w:rPr>
                <w:sz w:val="18"/>
              </w:rPr>
              <w:t>2.4%</w:t>
            </w:r>
          </w:p>
        </w:tc>
        <w:tc>
          <w:tcPr>
            <w:tcW w:type="dxa" w:w="1729"/>
          </w:tcPr>
          <w:p>
            <w:pPr>
              <w:spacing w:after="0" w:line="240" w:lineRule="auto"/>
            </w:pPr>
            <w:r>
              <w:rPr>
                <w:sz w:val="18"/>
              </w:rPr>
              <w:t>0.2388</w:t>
            </w:r>
          </w:p>
        </w:tc>
        <w:tc>
          <w:tcPr>
            <w:tcW w:type="dxa" w:w="1097"/>
          </w:tcPr>
          <w:p>
            <w:pPr>
              <w:spacing w:after="0" w:line="240" w:lineRule="auto"/>
            </w:pPr>
            <w:r>
              <w:rPr>
                <w:sz w:val="18"/>
              </w:rPr>
              <w:t>[WI]</w:t>
            </w:r>
          </w:p>
        </w:tc>
      </w:tr>
      <w:tr>
        <w:trPr>
          <w:cantSplit/>
        </w:trPr>
        <w:tc>
          <w:tcPr>
            <w:tcW w:type="dxa" w:w="2230"/>
          </w:tcPr>
          <w:p>
            <w:pPr>
              <w:spacing w:after="0" w:line="240" w:lineRule="auto"/>
            </w:pPr>
            <w:r>
              <w:rPr>
                <w:sz w:val="18"/>
              </w:rPr>
              <w:t>10×</w:t>
            </w:r>
          </w:p>
        </w:tc>
        <w:tc>
          <w:tcPr>
            <w:tcW w:type="dxa" w:w="1690"/>
          </w:tcPr>
          <w:p>
            <w:pPr>
              <w:spacing w:after="0" w:line="240" w:lineRule="auto"/>
            </w:pPr>
            <w:r>
              <w:rPr>
                <w:sz w:val="18"/>
              </w:rPr>
              <w:t>164,312</w:t>
            </w:r>
          </w:p>
        </w:tc>
        <w:tc>
          <w:tcPr>
            <w:tcW w:type="dxa" w:w="1162"/>
          </w:tcPr>
          <w:p>
            <w:pPr>
              <w:spacing w:after="0" w:line="240" w:lineRule="auto"/>
            </w:pPr>
            <w:r>
              <w:rPr>
                <w:sz w:val="18"/>
              </w:rPr>
              <w:t>0.9%</w:t>
            </w:r>
          </w:p>
        </w:tc>
        <w:tc>
          <w:tcPr>
            <w:tcW w:type="dxa" w:w="1729"/>
          </w:tcPr>
          <w:p>
            <w:pPr>
              <w:spacing w:after="0" w:line="240" w:lineRule="auto"/>
            </w:pPr>
            <w:r>
              <w:rPr>
                <w:sz w:val="18"/>
              </w:rPr>
              <w:t>3.4%</w:t>
            </w:r>
          </w:p>
        </w:tc>
        <w:tc>
          <w:tcPr>
            <w:tcW w:type="dxa" w:w="1729"/>
          </w:tcPr>
          <w:p>
            <w:pPr>
              <w:spacing w:after="0" w:line="240" w:lineRule="auto"/>
            </w:pPr>
            <w:r>
              <w:rPr>
                <w:sz w:val="18"/>
              </w:rPr>
              <w:t>0.2386</w:t>
            </w:r>
          </w:p>
        </w:tc>
        <w:tc>
          <w:tcPr>
            <w:tcW w:type="dxa" w:w="1097"/>
          </w:tcPr>
          <w:p>
            <w:pPr>
              <w:spacing w:after="0" w:line="240" w:lineRule="auto"/>
            </w:pPr>
            <w:r>
              <w:rPr>
                <w:sz w:val="18"/>
              </w:rPr>
              <w:t>[WI]</w:t>
            </w:r>
          </w:p>
        </w:tc>
      </w:tr>
    </w:tbl>
    <w:p>
      <w:pPr>
        <w:spacing w:after="40"/>
      </w:pPr>
    </w:p>
    <w:p>
      <w:pPr>
        <w:spacing w:after="160"/>
      </w:pPr>
      <w:r>
        <w:rPr>
          <w:i/>
          <w:color w:val="5B6775"/>
          <w:sz w:val="18"/>
        </w:rPr>
        <w:t>Every plan passes EPANET. Savings under about 0.5% are within the optimiser's tolerance. With today's tanks the solves stop at the 300-second limit with a 2–3% gap; that is a weak bound rather than a poor plan, since a 20-minute solve improved the 1× lowest-energy plan by only 0.1% [WI].</w:t>
      </w:r>
    </w:p>
    <w:p>
      <w:pPr>
        <w:pStyle w:val="ListBullet"/>
      </w:pPr>
      <w:r>
        <w:rPr>
          <w:b/>
        </w:rPr>
        <w:t>Bigger tanks would not make off-peak pumping pay.</w:t>
      </w:r>
      <w:r>
        <w:rPr/>
        <w:t xml:space="preserve"> The best case, 10 times today's storage (about 148,000 m³ more), saves 0.9%, about 1.3 million THB a year at the assumed tariff, before the cost of building it; no size reaches the 3–5% hoped for [WI].</w:t>
      </w:r>
    </w:p>
    <w:p>
      <w:pPr>
        <w:pStyle w:val="ListBullet"/>
      </w:pPr>
      <w:r>
        <w:rPr>
          <w:b/>
        </w:rPr>
        <w:t>The pumps, not the tanks, limit the shift.</w:t>
      </w:r>
      <w:r>
        <w:rPr/>
        <w:t xml:space="preserve"> Pumping more in the 11 off-peak hours means running more pumps at once, and more flow through the same discharge mains raises the head every pump works against: NPL3 lifts 60 m with one pump and 86 m with six. The last pump at each station adds water at 0.30 (NPL2), 0.47 (NPL3) and 0.46 (TM Pond) kWh/m³, against 0.245 on average in the lowest-energy plan, which uses up most of the 38% off-peak discount [WI].</w:t>
      </w:r>
    </w:p>
    <w:p>
      <w:pPr>
        <w:pStyle w:val="ListBullet"/>
      </w:pPr>
      <w:r>
        <w:rPr>
          <w:b/>
        </w:rPr>
        <w:t>What extra storage buys is steadier pumping.</w:t>
      </w:r>
      <w:r>
        <w:rPr/>
        <w:t xml:space="preserve"> The 10× lowest-cost plan costs 3.4% less per day than the lowest-energy plan for today's tanks (about 5.1 million THB a year), of which only 0.9 points come from off-peak pumping [WI].</w:t>
      </w:r>
    </w:p>
    <w:p>
      <w:pPr>
        <w:pStyle w:val="ListBullet"/>
      </w:pPr>
      <w:r>
        <w:rPr>
          <w:b/>
        </w:rPr>
        <w:t>Holding the tanks lower is the larger lever, and needs no new assets.</w:t>
      </w:r>
      <w:r>
        <w:rPr/>
        <w:t xml:space="preserve"> The lowest-energy plan for today's tanks keeps them only as full as the customer floors need (NPL2_HT 46–56%, NPL3_HT 49–70%) and uses 0.2447 kWh/m³, 7.5% less than the Section 6.5 plan that starts and ends the day 85% full (0.2644) [WI]. Customer pressure sets the limit: NPL3_HT must stay above about 35% full (55% with no TM Pond pump running) [WI].</w:t>
      </w:r>
    </w:p>
    <w:p>
      <w:pPr>
        <w:keepNext/>
      </w:pPr>
      <w:r>
        <w:rPr>
          <w:b/>
        </w:rPr>
        <w:t>Cost per m³ by source and pump count.</w:t>
      </w:r>
      <w:r>
        <w:rPr/>
        <w:t xml:space="preserve"> EPANET snapshots of each station with both head tanks 85% full; energy only, at the assumed tariff [WI].</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629"/>
        <w:gridCol w:w="1048"/>
        <w:gridCol w:w="1502"/>
        <w:gridCol w:w="1275"/>
        <w:gridCol w:w="1275"/>
        <w:gridCol w:w="1970"/>
        <w:gridCol w:w="935"/>
      </w:tblGrid>
      <w:tr>
        <w:trPr>
          <w:cantSplit/>
          <w:tblHeader/>
        </w:trPr>
        <w:tc>
          <w:tcPr>
            <w:tcW w:type="dxa" w:w="1630"/>
            <w:shd w:val="clear" w:color="auto" w:fill="DCE6EF"/>
          </w:tcPr>
          <w:p>
            <w:pPr>
              <w:keepNext/>
              <w:spacing w:after="0" w:line="240" w:lineRule="auto"/>
            </w:pPr>
            <w:r>
              <w:rPr>
                <w:b/>
                <w:sz w:val="18"/>
              </w:rPr>
              <w:t>Station (source level)</w:t>
            </w:r>
          </w:p>
        </w:tc>
        <w:tc>
          <w:tcPr>
            <w:tcW w:type="dxa" w:w="1049"/>
            <w:shd w:val="clear" w:color="auto" w:fill="DCE6EF"/>
          </w:tcPr>
          <w:p>
            <w:pPr>
              <w:keepNext/>
              <w:spacing w:after="0" w:line="240" w:lineRule="auto"/>
            </w:pPr>
            <w:r>
              <w:rPr>
                <w:b/>
                <w:sz w:val="18"/>
              </w:rPr>
              <w:t>Pumps running</w:t>
            </w:r>
          </w:p>
        </w:tc>
        <w:tc>
          <w:tcPr>
            <w:tcW w:type="dxa" w:w="1502"/>
            <w:shd w:val="clear" w:color="auto" w:fill="DCE6EF"/>
          </w:tcPr>
          <w:p>
            <w:pPr>
              <w:keepNext/>
              <w:spacing w:after="0" w:line="240" w:lineRule="auto"/>
            </w:pPr>
            <w:r>
              <w:rPr>
                <w:b/>
                <w:sz w:val="18"/>
              </w:rPr>
              <w:t>kWh/m³</w:t>
            </w:r>
          </w:p>
        </w:tc>
        <w:tc>
          <w:tcPr>
            <w:tcW w:type="dxa" w:w="1276"/>
            <w:shd w:val="clear" w:color="auto" w:fill="DCE6EF"/>
          </w:tcPr>
          <w:p>
            <w:pPr>
              <w:keepNext/>
              <w:spacing w:after="0" w:line="240" w:lineRule="auto"/>
            </w:pPr>
            <w:r>
              <w:rPr>
                <w:b/>
                <w:sz w:val="18"/>
              </w:rPr>
              <w:t>THB/m³ off-peak</w:t>
            </w:r>
          </w:p>
        </w:tc>
        <w:tc>
          <w:tcPr>
            <w:tcW w:type="dxa" w:w="1276"/>
            <w:shd w:val="clear" w:color="auto" w:fill="DCE6EF"/>
          </w:tcPr>
          <w:p>
            <w:pPr>
              <w:keepNext/>
              <w:spacing w:after="0" w:line="240" w:lineRule="auto"/>
            </w:pPr>
            <w:r>
              <w:rPr>
                <w:b/>
                <w:sz w:val="18"/>
              </w:rPr>
              <w:t>THB/m³ peak</w:t>
            </w:r>
          </w:p>
        </w:tc>
        <w:tc>
          <w:tcPr>
            <w:tcW w:type="dxa" w:w="1970"/>
            <w:shd w:val="clear" w:color="auto" w:fill="DCE6EF"/>
          </w:tcPr>
          <w:p>
            <w:pPr>
              <w:keepNext/>
              <w:spacing w:after="0" w:line="240" w:lineRule="auto"/>
            </w:pPr>
            <w:r>
              <w:rPr>
                <w:b/>
                <w:sz w:val="18"/>
              </w:rPr>
              <w:t>Pump efficiency used</w:t>
            </w:r>
          </w:p>
        </w:tc>
        <w:tc>
          <w:tcPr>
            <w:tcW w:type="dxa" w:w="935"/>
            <w:shd w:val="clear" w:color="auto" w:fill="DCE6EF"/>
          </w:tcPr>
          <w:p>
            <w:pPr>
              <w:keepNext/>
              <w:spacing w:after="0" w:line="240" w:lineRule="auto"/>
            </w:pPr>
            <w:r>
              <w:rPr>
                <w:b/>
                <w:sz w:val="18"/>
              </w:rPr>
              <w:t>Source</w:t>
            </w:r>
          </w:p>
        </w:tc>
      </w:tr>
      <w:tr>
        <w:trPr>
          <w:cantSplit/>
        </w:trPr>
        <w:tc>
          <w:tcPr>
            <w:tcW w:type="dxa" w:w="1630"/>
          </w:tcPr>
          <w:p>
            <w:pPr>
              <w:spacing w:after="0" w:line="240" w:lineRule="auto"/>
            </w:pPr>
            <w:r>
              <w:rPr>
                <w:sz w:val="18"/>
              </w:rPr>
              <w:t>NPL2 (43.41 m)</w:t>
            </w:r>
          </w:p>
        </w:tc>
        <w:tc>
          <w:tcPr>
            <w:tcW w:type="dxa" w:w="1049"/>
          </w:tcPr>
          <w:p>
            <w:pPr>
              <w:spacing w:after="0" w:line="240" w:lineRule="auto"/>
            </w:pPr>
            <w:r>
              <w:rPr>
                <w:sz w:val="18"/>
              </w:rPr>
              <w:t>3–6</w:t>
            </w:r>
          </w:p>
        </w:tc>
        <w:tc>
          <w:tcPr>
            <w:tcW w:type="dxa" w:w="1502"/>
          </w:tcPr>
          <w:p>
            <w:pPr>
              <w:spacing w:after="0" w:line="240" w:lineRule="auto"/>
            </w:pPr>
            <w:r>
              <w:rPr>
                <w:sz w:val="18"/>
              </w:rPr>
              <w:t>0.230–0.251</w:t>
            </w:r>
          </w:p>
        </w:tc>
        <w:tc>
          <w:tcPr>
            <w:tcW w:type="dxa" w:w="1276"/>
          </w:tcPr>
          <w:p>
            <w:pPr>
              <w:spacing w:after="0" w:line="240" w:lineRule="auto"/>
            </w:pPr>
            <w:r>
              <w:rPr>
                <w:sz w:val="18"/>
              </w:rPr>
              <w:t>0.60–0.65</w:t>
            </w:r>
          </w:p>
        </w:tc>
        <w:tc>
          <w:tcPr>
            <w:tcW w:type="dxa" w:w="1276"/>
          </w:tcPr>
          <w:p>
            <w:pPr>
              <w:spacing w:after="0" w:line="240" w:lineRule="auto"/>
            </w:pPr>
            <w:r>
              <w:rPr>
                <w:sz w:val="18"/>
              </w:rPr>
              <w:t>0.96–1.05</w:t>
            </w:r>
          </w:p>
        </w:tc>
        <w:tc>
          <w:tcPr>
            <w:tcW w:type="dxa" w:w="1970"/>
          </w:tcPr>
          <w:p>
            <w:pPr>
              <w:spacing w:after="0" w:line="240" w:lineRule="auto"/>
            </w:pPr>
            <w:r>
              <w:rPr>
                <w:sz w:val="18"/>
              </w:rPr>
              <w:t>Model's NPL_2-Eff curve, 74–82%</w:t>
            </w:r>
          </w:p>
        </w:tc>
        <w:tc>
          <w:tcPr>
            <w:tcW w:type="dxa" w:w="935"/>
          </w:tcPr>
          <w:p>
            <w:pPr>
              <w:spacing w:after="0" w:line="240" w:lineRule="auto"/>
            </w:pPr>
            <w:r>
              <w:rPr>
                <w:sz w:val="18"/>
              </w:rPr>
              <w:t>[WI]</w:t>
            </w:r>
          </w:p>
        </w:tc>
      </w:tr>
      <w:tr>
        <w:trPr>
          <w:cantSplit/>
        </w:trPr>
        <w:tc>
          <w:tcPr>
            <w:tcW w:type="dxa" w:w="1630"/>
          </w:tcPr>
          <w:p>
            <w:pPr>
              <w:spacing w:after="0" w:line="240" w:lineRule="auto"/>
            </w:pPr>
            <w:r>
              <w:rPr>
                <w:sz w:val="18"/>
              </w:rPr>
              <w:t>NPL3 (43.41 m)</w:t>
            </w:r>
          </w:p>
        </w:tc>
        <w:tc>
          <w:tcPr>
            <w:tcW w:type="dxa" w:w="1049"/>
          </w:tcPr>
          <w:p>
            <w:pPr>
              <w:spacing w:after="0" w:line="240" w:lineRule="auto"/>
            </w:pPr>
            <w:r>
              <w:rPr>
                <w:sz w:val="18"/>
              </w:rPr>
              <w:t>1–6</w:t>
            </w:r>
          </w:p>
        </w:tc>
        <w:tc>
          <w:tcPr>
            <w:tcW w:type="dxa" w:w="1502"/>
          </w:tcPr>
          <w:p>
            <w:pPr>
              <w:spacing w:after="0" w:line="240" w:lineRule="auto"/>
            </w:pPr>
            <w:r>
              <w:rPr>
                <w:sz w:val="18"/>
              </w:rPr>
              <w:t>0.219–0.313</w:t>
            </w:r>
          </w:p>
        </w:tc>
        <w:tc>
          <w:tcPr>
            <w:tcW w:type="dxa" w:w="1276"/>
          </w:tcPr>
          <w:p>
            <w:pPr>
              <w:spacing w:after="0" w:line="240" w:lineRule="auto"/>
            </w:pPr>
            <w:r>
              <w:rPr>
                <w:sz w:val="18"/>
              </w:rPr>
              <w:t>0.57–0.82</w:t>
            </w:r>
          </w:p>
        </w:tc>
        <w:tc>
          <w:tcPr>
            <w:tcW w:type="dxa" w:w="1276"/>
          </w:tcPr>
          <w:p>
            <w:pPr>
              <w:spacing w:after="0" w:line="240" w:lineRule="auto"/>
            </w:pPr>
            <w:r>
              <w:rPr>
                <w:sz w:val="18"/>
              </w:rPr>
              <w:t>0.92–1.31</w:t>
            </w:r>
          </w:p>
        </w:tc>
        <w:tc>
          <w:tcPr>
            <w:tcW w:type="dxa" w:w="1970"/>
          </w:tcPr>
          <w:p>
            <w:pPr>
              <w:spacing w:after="0" w:line="240" w:lineRule="auto"/>
            </w:pPr>
            <w:r>
              <w:rPr>
                <w:sz w:val="18"/>
              </w:rPr>
              <w:t>75% assumed (A4)</w:t>
            </w:r>
          </w:p>
        </w:tc>
        <w:tc>
          <w:tcPr>
            <w:tcW w:type="dxa" w:w="935"/>
          </w:tcPr>
          <w:p>
            <w:pPr>
              <w:spacing w:after="0" w:line="240" w:lineRule="auto"/>
            </w:pPr>
            <w:r>
              <w:rPr>
                <w:sz w:val="18"/>
              </w:rPr>
              <w:t>[WI]</w:t>
            </w:r>
          </w:p>
        </w:tc>
      </w:tr>
      <w:tr>
        <w:trPr>
          <w:cantSplit/>
        </w:trPr>
        <w:tc>
          <w:tcPr>
            <w:tcW w:type="dxa" w:w="1630"/>
          </w:tcPr>
          <w:p>
            <w:pPr>
              <w:spacing w:after="0" w:line="240" w:lineRule="auto"/>
            </w:pPr>
            <w:r>
              <w:rPr>
                <w:sz w:val="18"/>
              </w:rPr>
              <w:t>TM Pond (23.00 m)</w:t>
            </w:r>
          </w:p>
        </w:tc>
        <w:tc>
          <w:tcPr>
            <w:tcW w:type="dxa" w:w="1049"/>
          </w:tcPr>
          <w:p>
            <w:pPr>
              <w:spacing w:after="0" w:line="240" w:lineRule="auto"/>
            </w:pPr>
            <w:r>
              <w:rPr>
                <w:sz w:val="18"/>
              </w:rPr>
              <w:t>1–2</w:t>
            </w:r>
          </w:p>
        </w:tc>
        <w:tc>
          <w:tcPr>
            <w:tcW w:type="dxa" w:w="1502"/>
          </w:tcPr>
          <w:p>
            <w:pPr>
              <w:spacing w:after="0" w:line="240" w:lineRule="auto"/>
            </w:pPr>
            <w:r>
              <w:rPr>
                <w:sz w:val="18"/>
              </w:rPr>
              <w:t>0.273–0.348</w:t>
            </w:r>
          </w:p>
        </w:tc>
        <w:tc>
          <w:tcPr>
            <w:tcW w:type="dxa" w:w="1276"/>
          </w:tcPr>
          <w:p>
            <w:pPr>
              <w:spacing w:after="0" w:line="240" w:lineRule="auto"/>
            </w:pPr>
            <w:r>
              <w:rPr>
                <w:sz w:val="18"/>
              </w:rPr>
              <w:t>0.71–0.91</w:t>
            </w:r>
          </w:p>
        </w:tc>
        <w:tc>
          <w:tcPr>
            <w:tcW w:type="dxa" w:w="1276"/>
          </w:tcPr>
          <w:p>
            <w:pPr>
              <w:spacing w:after="0" w:line="240" w:lineRule="auto"/>
            </w:pPr>
            <w:r>
              <w:rPr>
                <w:sz w:val="18"/>
              </w:rPr>
              <w:t>1.14–1.46</w:t>
            </w:r>
          </w:p>
        </w:tc>
        <w:tc>
          <w:tcPr>
            <w:tcW w:type="dxa" w:w="1970"/>
          </w:tcPr>
          <w:p>
            <w:pPr>
              <w:spacing w:after="0" w:line="240" w:lineRule="auto"/>
            </w:pPr>
            <w:r>
              <w:rPr>
                <w:sz w:val="18"/>
              </w:rPr>
              <w:t>75% assumed (A4)</w:t>
            </w:r>
          </w:p>
        </w:tc>
        <w:tc>
          <w:tcPr>
            <w:tcW w:type="dxa" w:w="935"/>
          </w:tcPr>
          <w:p>
            <w:pPr>
              <w:spacing w:after="0" w:line="240" w:lineRule="auto"/>
            </w:pPr>
            <w:r>
              <w:rPr>
                <w:sz w:val="18"/>
              </w:rPr>
              <w:t>[WI]</w:t>
            </w:r>
          </w:p>
        </w:tc>
      </w:tr>
    </w:tbl>
    <w:p>
      <w:pPr>
        <w:spacing w:after="40"/>
      </w:pPr>
    </w:p>
    <w:p>
      <w:pPr>
        <w:pStyle w:val="ListBullet"/>
      </w:pPr>
      <w:r>
        <w:rPr>
          <w:b/>
        </w:rPr>
        <w:t>Cheapest water: NPL3 with one pump,</w:t>
      </w:r>
      <w:r>
        <w:rPr/>
        <w:t xml:space="preserve"> 0.219 kWh/m³ (0.57 THB/m³ off-peak, 0.92 at peak). </w:t>
      </w:r>
      <w:r>
        <w:rPr>
          <w:b/>
        </w:rPr>
        <w:t>Dearest: TM Pond with two pumps,</w:t>
      </w:r>
      <w:r>
        <w:rPr/>
        <w:t xml:space="preserve"> 0.348 kWh/m³ (0.91 / 1.46 THB/m³). TM Pond draws from a reservoir at 23.00 m, 20 m below the other stations' sources, so it lifts further [WI].</w:t>
      </w:r>
    </w:p>
    <w:p>
      <w:pPr>
        <w:pStyle w:val="ListBullet"/>
      </w:pPr>
      <w:r>
        <w:rPr>
          <w:b/>
        </w:rPr>
        <w:t>Energy per m³ rises with the number of pumps running,</w:t>
      </w:r>
      <w:r>
        <w:rPr/>
        <w:t xml:space="preserve"> for the same reason as above. At full output NPL2 is the cheapest source and TM Pond the dearest [WI].</w:t>
      </w:r>
    </w:p>
    <w:p>
      <w:pPr>
        <w:pStyle w:val="ListBullet"/>
      </w:pPr>
      <w:r>
        <w:rPr>
          <w:b/>
        </w:rPr>
        <w:t>The ranking rests on an assumed 75% efficiency for NPL3 and TM Pond</w:t>
      </w:r>
      <w:r>
        <w:rPr/>
        <w:t xml:space="preserve"> (A4); pump tests (item 6) would confirm it [WI].</w:t>
      </w:r>
    </w:p>
    <w:p>
      <w:pPr>
        <w:keepNext/>
        <w:jc w:val="center"/>
      </w:pPr>
      <w:r>
        <w:drawing>
          <wp:inline xmlns:a="http://schemas.openxmlformats.org/drawingml/2006/main" xmlns:pic="http://schemas.openxmlformats.org/drawingml/2006/picture">
            <wp:extent cx="6120000" cy="2009265"/>
            <wp:docPr id="3" name="Picture 3"/>
            <wp:cNvGraphicFramePr>
              <a:graphicFrameLocks noChangeAspect="1"/>
            </wp:cNvGraphicFramePr>
            <a:graphic>
              <a:graphicData uri="http://schemas.openxmlformats.org/drawingml/2006/picture">
                <pic:pic>
                  <pic:nvPicPr>
                    <pic:cNvPr id="0" name="whatif_storage_sources.png"/>
                    <pic:cNvPicPr/>
                  </pic:nvPicPr>
                  <pic:blipFill>
                    <a:blip r:embed="rId12"/>
                    <a:stretch>
                      <a:fillRect/>
                    </a:stretch>
                  </pic:blipFill>
                  <pic:spPr>
                    <a:xfrm>
                      <a:off x="0" y="0"/>
                      <a:ext cx="6120000" cy="2009265"/>
                    </a:xfrm>
                    <a:prstGeom prst="rect"/>
                  </pic:spPr>
                </pic:pic>
              </a:graphicData>
            </a:graphic>
          </wp:inline>
        </w:drawing>
      </w:r>
    </w:p>
    <w:p>
      <w:pPr>
        <w:spacing w:after="160"/>
      </w:pPr>
      <w:r>
        <w:rPr>
          <w:i/>
          <w:color w:val="5B6775"/>
          <w:sz w:val="18"/>
        </w:rPr>
        <w:t>Figure 3. Saving by storage size (left), water stored over the day in the lowest-cost plans (middle), and energy per m³ by source and pump count (right) [WI].</w:t>
      </w:r>
    </w:p>
    <w:p>
      <w:pPr>
        <w:pStyle w:val="Heading1"/>
      </w:pPr>
      <w:r>
        <w:rPr/>
        <w:t>7. Go/No-Go criteria for QW1–QW4</w:t>
      </w:r>
    </w:p>
    <w:p>
      <w:pPr>
        <w:pStyle w:val="Heading2"/>
        <w:keepNext/>
      </w:pPr>
      <w:r>
        <w:rPr/>
        <w:t>7.1 Where the POC stands against its own exit criteria</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784"/>
        <w:gridCol w:w="935"/>
        <w:gridCol w:w="6917"/>
      </w:tblGrid>
      <w:tr>
        <w:trPr>
          <w:cantSplit/>
          <w:tblHeader/>
        </w:trPr>
        <w:tc>
          <w:tcPr>
            <w:tcW w:type="dxa" w:w="1785"/>
            <w:shd w:val="clear" w:color="auto" w:fill="DCE6EF"/>
          </w:tcPr>
          <w:p>
            <w:pPr>
              <w:keepNext/>
              <w:spacing w:after="0" w:line="240" w:lineRule="auto"/>
            </w:pPr>
            <w:r>
              <w:rPr>
                <w:b/>
                <w:sz w:val="18"/>
              </w:rPr>
              <w:t>POC exit criterion [DECK A2]</w:t>
            </w:r>
          </w:p>
        </w:tc>
        <w:tc>
          <w:tcPr>
            <w:tcW w:type="dxa" w:w="935"/>
            <w:shd w:val="clear" w:color="auto" w:fill="DCE6EF"/>
          </w:tcPr>
          <w:p>
            <w:pPr>
              <w:keepNext/>
              <w:spacing w:after="0" w:line="240" w:lineRule="auto"/>
            </w:pPr>
            <w:r>
              <w:rPr>
                <w:b/>
                <w:sz w:val="18"/>
              </w:rPr>
              <w:t>Status</w:t>
            </w:r>
          </w:p>
        </w:tc>
        <w:tc>
          <w:tcPr>
            <w:tcW w:type="dxa" w:w="6918"/>
            <w:shd w:val="clear" w:color="auto" w:fill="DCE6EF"/>
          </w:tcPr>
          <w:p>
            <w:pPr>
              <w:keepNext/>
              <w:spacing w:after="0" w:line="240" w:lineRule="auto"/>
            </w:pPr>
            <w:r>
              <w:rPr>
                <w:b/>
                <w:sz w:val="18"/>
              </w:rPr>
              <w:t>Evidence</w:t>
            </w:r>
          </w:p>
        </w:tc>
      </w:tr>
      <w:tr>
        <w:trPr>
          <w:cantSplit/>
        </w:trPr>
        <w:tc>
          <w:tcPr>
            <w:tcW w:type="dxa" w:w="1785"/>
          </w:tcPr>
          <w:p>
            <w:pPr>
              <w:spacing w:after="0" w:line="240" w:lineRule="auto"/>
            </w:pPr>
            <w:r>
              <w:rPr>
                <w:sz w:val="18"/>
              </w:rPr>
              <w:t>Enough data to do the calculation</w:t>
            </w:r>
          </w:p>
        </w:tc>
        <w:tc>
          <w:tcPr>
            <w:tcW w:type="dxa" w:w="935"/>
          </w:tcPr>
          <w:p>
            <w:pPr>
              <w:spacing w:after="0" w:line="240" w:lineRule="auto"/>
            </w:pPr>
            <w:r>
              <w:rPr>
                <w:b/>
                <w:sz w:val="18"/>
              </w:rPr>
              <w:t>Partly met</w:t>
            </w:r>
          </w:p>
        </w:tc>
        <w:tc>
          <w:tcPr>
            <w:tcW w:type="dxa" w:w="6918"/>
          </w:tcPr>
          <w:p>
            <w:pPr>
              <w:spacing w:after="0" w:line="240" w:lineRule="auto"/>
            </w:pPr>
            <w:r>
              <w:rPr>
                <w:sz w:val="18"/>
              </w:rPr>
              <w:t>Enough to test forecasting (Chonburi) and the hydraulic check (Rayong); not enough for today's cost per m³ or the saving (Section 5, items 1–4).</w:t>
            </w:r>
          </w:p>
        </w:tc>
      </w:tr>
      <w:tr>
        <w:trPr>
          <w:cantSplit/>
        </w:trPr>
        <w:tc>
          <w:tcPr>
            <w:tcW w:type="dxa" w:w="1785"/>
          </w:tcPr>
          <w:p>
            <w:pPr>
              <w:spacing w:after="0" w:line="240" w:lineRule="auto"/>
            </w:pPr>
            <w:r>
              <w:rPr>
                <w:sz w:val="18"/>
              </w:rPr>
              <w:t>Model results can be explained</w:t>
            </w:r>
          </w:p>
        </w:tc>
        <w:tc>
          <w:tcPr>
            <w:tcW w:type="dxa" w:w="935"/>
          </w:tcPr>
          <w:p>
            <w:pPr>
              <w:spacing w:after="0" w:line="240" w:lineRule="auto"/>
            </w:pPr>
            <w:r>
              <w:rPr>
                <w:b/>
                <w:sz w:val="18"/>
              </w:rPr>
              <w:t>Met</w:t>
            </w:r>
          </w:p>
        </w:tc>
        <w:tc>
          <w:tcPr>
            <w:tcW w:type="dxa" w:w="6918"/>
          </w:tcPr>
          <w:p>
            <w:pPr>
              <w:spacing w:after="0" w:line="240" w:lineRule="auto"/>
            </w:pPr>
            <w:r>
              <w:rPr>
                <w:sz w:val="18"/>
              </w:rPr>
              <w:t>Every forecast is benchmarked against simple methods (Section 6.2); every plan carries Pass, Warning or Fail and the node or tank at fault (Section 6.5).</w:t>
            </w:r>
          </w:p>
        </w:tc>
      </w:tr>
      <w:tr>
        <w:trPr>
          <w:cantSplit/>
        </w:trPr>
        <w:tc>
          <w:tcPr>
            <w:tcW w:type="dxa" w:w="1785"/>
          </w:tcPr>
          <w:p>
            <w:pPr>
              <w:spacing w:after="0" w:line="240" w:lineRule="auto"/>
            </w:pPr>
            <w:r>
              <w:rPr>
                <w:sz w:val="18"/>
              </w:rPr>
              <w:t>Users accept the first workflow</w:t>
            </w:r>
          </w:p>
        </w:tc>
        <w:tc>
          <w:tcPr>
            <w:tcW w:type="dxa" w:w="935"/>
          </w:tcPr>
          <w:p>
            <w:pPr>
              <w:spacing w:after="0" w:line="240" w:lineRule="auto"/>
            </w:pPr>
            <w:r>
              <w:rPr>
                <w:b/>
                <w:sz w:val="18"/>
              </w:rPr>
              <w:t>Not yet tested</w:t>
            </w:r>
          </w:p>
        </w:tc>
        <w:tc>
          <w:tcPr>
            <w:tcW w:type="dxa" w:w="6918"/>
          </w:tcPr>
          <w:p>
            <w:pPr>
              <w:spacing w:after="0" w:line="240" w:lineRule="auto"/>
            </w:pPr>
            <w:r>
              <w:rPr>
                <w:sz w:val="18"/>
              </w:rPr>
              <w:t>Needs an operator walkthrough of Section 3 and the POC dashboard (</w:t>
            </w:r>
            <w:r>
              <w:rPr>
                <w:rFonts w:ascii="Consolas" w:hAnsi="Consolas" w:cs="Leelawadee UI"/>
                <w:sz w:val="16"/>
              </w:rPr>
              <w:t>dashboard/poc_dashboard.html</w:t>
            </w:r>
            <w:r>
              <w:rPr>
                <w:sz w:val="18"/>
              </w:rPr>
              <w:t>).</w:t>
            </w:r>
          </w:p>
        </w:tc>
      </w:tr>
    </w:tbl>
    <w:p>
      <w:pPr>
        <w:spacing w:after="40"/>
      </w:pPr>
    </w:p>
    <w:p>
      <w:pPr>
        <w:pStyle w:val="Heading2"/>
      </w:pPr>
      <w:r>
        <w:rPr/>
        <w:t>7.2 Phase gates</w:t>
      </w:r>
    </w:p>
    <w:p>
      <w:r>
        <w:rPr/>
        <w:t>Each phase has an entry gate (Go to start) and an exit gate (success). The thresholds are proposals anchored on POC results; the proposal itself says KPI targets should be confirmed from the pilot area's baseline [DECK 4]. Durations are the proposal's [DECK 2].</w:t>
      </w:r>
    </w:p>
    <w:p>
      <w:pPr>
        <w:pStyle w:val="Heading3"/>
        <w:keepNext/>
      </w:pPr>
      <w:r>
        <w:rPr/>
        <w:t>QW1: see demand ahead (8–10 weeks)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822"/>
        <w:gridCol w:w="1615"/>
        <w:gridCol w:w="4198"/>
        <w:gridCol w:w="1162"/>
        <w:gridCol w:w="1839"/>
      </w:tblGrid>
      <w:tr>
        <w:trPr>
          <w:cantSplit/>
          <w:tblHeader/>
        </w:trPr>
        <w:tc>
          <w:tcPr>
            <w:tcW w:type="dxa" w:w="822"/>
            <w:shd w:val="clear" w:color="auto" w:fill="DCE6EF"/>
          </w:tcPr>
          <w:p>
            <w:pPr>
              <w:keepNext/>
              <w:spacing w:after="0" w:line="240" w:lineRule="auto"/>
            </w:pPr>
            <w:r>
              <w:rPr>
                <w:b/>
                <w:sz w:val="18"/>
              </w:rPr>
              <w:t>Gate</w:t>
            </w:r>
          </w:p>
        </w:tc>
        <w:tc>
          <w:tcPr>
            <w:tcW w:type="dxa" w:w="1616"/>
            <w:shd w:val="clear" w:color="auto" w:fill="DCE6EF"/>
          </w:tcPr>
          <w:p>
            <w:pPr>
              <w:keepNext/>
              <w:spacing w:after="0" w:line="240" w:lineRule="auto"/>
            </w:pPr>
            <w:r>
              <w:rPr>
                <w:b/>
                <w:sz w:val="18"/>
              </w:rPr>
              <w:t>Criterion</w:t>
            </w:r>
          </w:p>
        </w:tc>
        <w:tc>
          <w:tcPr>
            <w:tcW w:type="dxa" w:w="4198"/>
            <w:shd w:val="clear" w:color="auto" w:fill="DCE6EF"/>
          </w:tcPr>
          <w:p>
            <w:pPr>
              <w:keepNext/>
              <w:spacing w:after="0" w:line="240" w:lineRule="auto"/>
            </w:pPr>
            <w:r>
              <w:rPr>
                <w:b/>
                <w:sz w:val="18"/>
              </w:rPr>
              <w:t>Proposed threshold</w:t>
            </w:r>
          </w:p>
        </w:tc>
        <w:tc>
          <w:tcPr>
            <w:tcW w:type="dxa" w:w="1162"/>
            <w:shd w:val="clear" w:color="auto" w:fill="DCE6EF"/>
          </w:tcPr>
          <w:p>
            <w:pPr>
              <w:keepNext/>
              <w:spacing w:after="0" w:line="240" w:lineRule="auto"/>
            </w:pPr>
            <w:r>
              <w:rPr>
                <w:b/>
                <w:sz w:val="18"/>
              </w:rPr>
              <w:t>Status today</w:t>
            </w:r>
          </w:p>
        </w:tc>
        <w:tc>
          <w:tcPr>
            <w:tcW w:type="dxa" w:w="1840"/>
            <w:shd w:val="clear" w:color="auto" w:fill="DCE6EF"/>
          </w:tcPr>
          <w:p>
            <w:pPr>
              <w:keepNext/>
              <w:spacing w:after="0" w:line="240" w:lineRule="auto"/>
            </w:pPr>
            <w:r>
              <w:rPr>
                <w:b/>
                <w:sz w:val="18"/>
              </w:rPr>
              <w:t>Evidence</w:t>
            </w:r>
          </w:p>
        </w:tc>
      </w:tr>
      <w:tr>
        <w:trPr>
          <w:cantSplit/>
        </w:trPr>
        <w:tc>
          <w:tcPr>
            <w:tcW w:type="dxa" w:w="822"/>
          </w:tcPr>
          <w:p>
            <w:pPr>
              <w:spacing w:after="0" w:line="240" w:lineRule="auto"/>
            </w:pPr>
            <w:r>
              <w:rPr>
                <w:sz w:val="18"/>
              </w:rPr>
              <w:t>Entry</w:t>
            </w:r>
          </w:p>
        </w:tc>
        <w:tc>
          <w:tcPr>
            <w:tcW w:type="dxa" w:w="1616"/>
          </w:tcPr>
          <w:p>
            <w:pPr>
              <w:spacing w:after="0" w:line="240" w:lineRule="auto"/>
            </w:pPr>
            <w:r>
              <w:rPr>
                <w:sz w:val="18"/>
              </w:rPr>
              <w:t>Delivery data</w:t>
            </w:r>
          </w:p>
        </w:tc>
        <w:tc>
          <w:tcPr>
            <w:tcW w:type="dxa" w:w="4198"/>
          </w:tcPr>
          <w:p>
            <w:pPr>
              <w:spacing w:after="0" w:line="240" w:lineRule="auto"/>
            </w:pPr>
            <w:r>
              <w:rPr>
                <w:sz w:val="18"/>
              </w:rPr>
              <w:t>Daily metered deliveries for customers making up at least 90% of pilot-network demand, at least 24 months, mapped to EPANET nodes</w:t>
            </w:r>
          </w:p>
        </w:tc>
        <w:tc>
          <w:tcPr>
            <w:tcW w:type="dxa" w:w="1162"/>
          </w:tcPr>
          <w:p>
            <w:pPr>
              <w:spacing w:after="0" w:line="240" w:lineRule="auto"/>
            </w:pPr>
            <w:r>
              <w:rPr>
                <w:sz w:val="18"/>
              </w:rPr>
              <w:t>Not met</w:t>
            </w:r>
          </w:p>
        </w:tc>
        <w:tc>
          <w:tcPr>
            <w:tcW w:type="dxa" w:w="1840"/>
          </w:tcPr>
          <w:p>
            <w:pPr>
              <w:spacing w:after="0" w:line="240" w:lineRule="auto"/>
            </w:pPr>
            <w:r>
              <w:rPr>
                <w:sz w:val="18"/>
              </w:rPr>
              <w:t>Item 4 not received</w:t>
            </w:r>
          </w:p>
        </w:tc>
      </w:tr>
      <w:tr>
        <w:trPr>
          <w:cantSplit/>
        </w:trPr>
        <w:tc>
          <w:tcPr>
            <w:tcW w:type="dxa" w:w="822"/>
          </w:tcPr>
          <w:p>
            <w:pPr>
              <w:spacing w:after="0" w:line="240" w:lineRule="auto"/>
            </w:pPr>
            <w:r>
              <w:rPr>
                <w:sz w:val="18"/>
              </w:rPr>
              <w:t>Entry</w:t>
            </w:r>
          </w:p>
        </w:tc>
        <w:tc>
          <w:tcPr>
            <w:tcW w:type="dxa" w:w="1616"/>
          </w:tcPr>
          <w:p>
            <w:pPr>
              <w:spacing w:after="0" w:line="240" w:lineRule="auto"/>
            </w:pPr>
            <w:r>
              <w:rPr>
                <w:sz w:val="18"/>
              </w:rPr>
              <w:t>Data completeness</w:t>
            </w:r>
          </w:p>
        </w:tc>
        <w:tc>
          <w:tcPr>
            <w:tcW w:type="dxa" w:w="4198"/>
          </w:tcPr>
          <w:p>
            <w:pPr>
              <w:spacing w:after="0" w:line="240" w:lineRule="auto"/>
            </w:pPr>
            <w:r>
              <w:rPr>
                <w:sz w:val="18"/>
              </w:rPr>
              <w:t>At least 95% of days usable per customer after cleaning</w:t>
            </w:r>
          </w:p>
        </w:tc>
        <w:tc>
          <w:tcPr>
            <w:tcW w:type="dxa" w:w="1162"/>
          </w:tcPr>
          <w:p>
            <w:pPr>
              <w:spacing w:after="0" w:line="240" w:lineRule="auto"/>
            </w:pPr>
            <w:r>
              <w:rPr>
                <w:sz w:val="18"/>
              </w:rPr>
              <w:t>Not assessed</w:t>
            </w:r>
          </w:p>
        </w:tc>
        <w:tc>
          <w:tcPr>
            <w:tcW w:type="dxa" w:w="1840"/>
          </w:tcPr>
          <w:p>
            <w:pPr>
              <w:spacing w:after="0" w:line="240" w:lineRule="auto"/>
            </w:pPr>
            <w:r>
              <w:rPr>
                <w:sz w:val="18"/>
              </w:rPr>
              <w:t>Benchmark: Bang Phra total use had no missing days in 2022–2024 [DQ]</w:t>
            </w:r>
          </w:p>
        </w:tc>
      </w:tr>
      <w:tr>
        <w:trPr>
          <w:cantSplit/>
        </w:trPr>
        <w:tc>
          <w:tcPr>
            <w:tcW w:type="dxa" w:w="822"/>
          </w:tcPr>
          <w:p>
            <w:pPr>
              <w:spacing w:after="0" w:line="240" w:lineRule="auto"/>
            </w:pPr>
            <w:r>
              <w:rPr>
                <w:sz w:val="18"/>
              </w:rPr>
              <w:t>Entry</w:t>
            </w:r>
          </w:p>
        </w:tc>
        <w:tc>
          <w:tcPr>
            <w:tcW w:type="dxa" w:w="1616"/>
          </w:tcPr>
          <w:p>
            <w:pPr>
              <w:spacing w:after="0" w:line="240" w:lineRule="auto"/>
            </w:pPr>
            <w:r>
              <w:rPr>
                <w:sz w:val="18"/>
              </w:rPr>
              <w:t>Known events</w:t>
            </w:r>
          </w:p>
        </w:tc>
        <w:tc>
          <w:tcPr>
            <w:tcW w:type="dxa" w:w="4198"/>
          </w:tcPr>
          <w:p>
            <w:pPr>
              <w:spacing w:after="0" w:line="240" w:lineRule="auto"/>
            </w:pPr>
            <w:r>
              <w:rPr>
                <w:sz w:val="18"/>
              </w:rPr>
              <w:t>Allocation plans, contract changes and new customers listed for the data period and the next 12 months</w:t>
            </w:r>
          </w:p>
        </w:tc>
        <w:tc>
          <w:tcPr>
            <w:tcW w:type="dxa" w:w="1162"/>
          </w:tcPr>
          <w:p>
            <w:pPr>
              <w:spacing w:after="0" w:line="240" w:lineRule="auto"/>
            </w:pPr>
            <w:r>
              <w:rPr>
                <w:sz w:val="18"/>
              </w:rPr>
              <w:t>Not met</w:t>
            </w:r>
          </w:p>
        </w:tc>
        <w:tc>
          <w:tcPr>
            <w:tcW w:type="dxa" w:w="1840"/>
          </w:tcPr>
          <w:p>
            <w:pPr>
              <w:spacing w:after="0" w:line="240" w:lineRule="auto"/>
            </w:pPr>
            <w:r>
              <w:rPr>
                <w:sz w:val="18"/>
              </w:rPr>
              <w:t>Item 8</w:t>
            </w:r>
          </w:p>
        </w:tc>
      </w:tr>
      <w:tr>
        <w:trPr>
          <w:cantSplit/>
        </w:trPr>
        <w:tc>
          <w:tcPr>
            <w:tcW w:type="dxa" w:w="822"/>
          </w:tcPr>
          <w:p>
            <w:pPr>
              <w:spacing w:after="0" w:line="240" w:lineRule="auto"/>
            </w:pPr>
            <w:r>
              <w:rPr>
                <w:sz w:val="18"/>
              </w:rPr>
              <w:t>Exit</w:t>
            </w:r>
          </w:p>
        </w:tc>
        <w:tc>
          <w:tcPr>
            <w:tcW w:type="dxa" w:w="1616"/>
          </w:tcPr>
          <w:p>
            <w:pPr>
              <w:spacing w:after="0" w:line="240" w:lineRule="auto"/>
            </w:pPr>
            <w:r>
              <w:rPr>
                <w:sz w:val="18"/>
              </w:rPr>
              <w:t>Accuracy</w:t>
            </w:r>
          </w:p>
        </w:tc>
        <w:tc>
          <w:tcPr>
            <w:tcW w:type="dxa" w:w="4198"/>
          </w:tcPr>
          <w:p>
            <w:pPr>
              <w:spacing w:after="0" w:line="240" w:lineRule="auto"/>
            </w:pPr>
            <w:r>
              <w:rPr>
                <w:sz w:val="18"/>
              </w:rPr>
              <w:t>Total pilot-network demand: WAPE at most 5% one day ahead and at most 9% seven days ahead, over a 12-month rolling backtest</w:t>
            </w:r>
          </w:p>
        </w:tc>
        <w:tc>
          <w:tcPr>
            <w:tcW w:type="dxa" w:w="1162"/>
          </w:tcPr>
          <w:p>
            <w:pPr>
              <w:spacing w:after="0" w:line="240" w:lineRule="auto"/>
            </w:pPr>
            <w:r>
              <w:rPr>
                <w:sz w:val="18"/>
              </w:rPr>
              <w:t>Not measured on Rayong</w:t>
            </w:r>
          </w:p>
        </w:tc>
        <w:tc>
          <w:tcPr>
            <w:tcW w:type="dxa" w:w="1840"/>
          </w:tcPr>
          <w:p>
            <w:pPr>
              <w:spacing w:after="0" w:line="240" w:lineRule="auto"/>
            </w:pPr>
            <w:r>
              <w:rPr>
                <w:sz w:val="18"/>
              </w:rPr>
              <w:t>POC benchmark on Bang Phra total draw: 5.2% and 8.8% [BT]</w:t>
            </w:r>
          </w:p>
        </w:tc>
      </w:tr>
      <w:tr>
        <w:trPr>
          <w:cantSplit/>
        </w:trPr>
        <w:tc>
          <w:tcPr>
            <w:tcW w:type="dxa" w:w="822"/>
          </w:tcPr>
          <w:p>
            <w:pPr>
              <w:spacing w:after="0" w:line="240" w:lineRule="auto"/>
            </w:pPr>
            <w:r>
              <w:rPr>
                <w:sz w:val="18"/>
              </w:rPr>
              <w:t>Exit</w:t>
            </w:r>
          </w:p>
        </w:tc>
        <w:tc>
          <w:tcPr>
            <w:tcW w:type="dxa" w:w="1616"/>
          </w:tcPr>
          <w:p>
            <w:pPr>
              <w:spacing w:after="0" w:line="240" w:lineRule="auto"/>
            </w:pPr>
            <w:r>
              <w:rPr>
                <w:sz w:val="18"/>
              </w:rPr>
              <w:t>AI adds value</w:t>
            </w:r>
          </w:p>
        </w:tc>
        <w:tc>
          <w:tcPr>
            <w:tcW w:type="dxa" w:w="4198"/>
          </w:tcPr>
          <w:p>
            <w:pPr>
              <w:spacing w:after="0" w:line="240" w:lineRule="auto"/>
            </w:pPr>
            <w:r>
              <w:rPr>
                <w:sz w:val="18"/>
              </w:rPr>
              <w:t>AI forecast WAPE at least 10% lower than the best simple method at the agreed horizon; otherwise the simple method feeds QW2</w:t>
            </w:r>
          </w:p>
        </w:tc>
        <w:tc>
          <w:tcPr>
            <w:tcW w:type="dxa" w:w="1162"/>
          </w:tcPr>
          <w:p>
            <w:pPr>
              <w:spacing w:after="0" w:line="240" w:lineRule="auto"/>
            </w:pPr>
            <w:r>
              <w:rPr>
                <w:sz w:val="18"/>
              </w:rPr>
              <w:t>Not met in POC</w:t>
            </w:r>
          </w:p>
        </w:tc>
        <w:tc>
          <w:tcPr>
            <w:tcW w:type="dxa" w:w="1840"/>
          </w:tcPr>
          <w:p>
            <w:pPr>
              <w:spacing w:after="0" w:line="240" w:lineRule="auto"/>
            </w:pPr>
            <w:r>
              <w:rPr>
                <w:sz w:val="18"/>
              </w:rPr>
              <w:t>The AI model tied the simple methods [BT]</w:t>
            </w:r>
          </w:p>
        </w:tc>
      </w:tr>
      <w:tr>
        <w:trPr>
          <w:cantSplit/>
        </w:trPr>
        <w:tc>
          <w:tcPr>
            <w:tcW w:type="dxa" w:w="822"/>
          </w:tcPr>
          <w:p>
            <w:pPr>
              <w:spacing w:after="0" w:line="240" w:lineRule="auto"/>
            </w:pPr>
            <w:r>
              <w:rPr>
                <w:sz w:val="18"/>
              </w:rPr>
              <w:t>Exit</w:t>
            </w:r>
          </w:p>
        </w:tc>
        <w:tc>
          <w:tcPr>
            <w:tcW w:type="dxa" w:w="1616"/>
          </w:tcPr>
          <w:p>
            <w:pPr>
              <w:spacing w:after="0" w:line="240" w:lineRule="auto"/>
            </w:pPr>
            <w:r>
              <w:rPr>
                <w:sz w:val="18"/>
              </w:rPr>
              <w:t>Uncertainty ranges</w:t>
            </w:r>
          </w:p>
        </w:tc>
        <w:tc>
          <w:tcPr>
            <w:tcW w:type="dxa" w:w="4198"/>
          </w:tcPr>
          <w:p>
            <w:pPr>
              <w:spacing w:after="0" w:line="240" w:lineRule="auto"/>
            </w:pPr>
            <w:r>
              <w:rPr>
                <w:sz w:val="18"/>
              </w:rPr>
              <w:t>P10–P90 range holds 75–85% of actual values</w:t>
            </w:r>
          </w:p>
        </w:tc>
        <w:tc>
          <w:tcPr>
            <w:tcW w:type="dxa" w:w="1162"/>
          </w:tcPr>
          <w:p>
            <w:pPr>
              <w:spacing w:after="0" w:line="240" w:lineRule="auto"/>
            </w:pPr>
            <w:r>
              <w:rPr>
                <w:sz w:val="18"/>
              </w:rPr>
              <w:t>Met on Bang Phra</w:t>
            </w:r>
          </w:p>
        </w:tc>
        <w:tc>
          <w:tcPr>
            <w:tcW w:type="dxa" w:w="1840"/>
          </w:tcPr>
          <w:p>
            <w:pPr>
              <w:spacing w:after="0" w:line="240" w:lineRule="auto"/>
            </w:pPr>
            <w:r>
              <w:rPr>
                <w:sz w:val="18"/>
              </w:rPr>
              <w:t>78–82% [RM, BT]</w:t>
            </w:r>
          </w:p>
        </w:tc>
      </w:tr>
    </w:tbl>
    <w:p>
      <w:pPr>
        <w:spacing w:after="40"/>
      </w:pPr>
    </w:p>
    <w:p>
      <w:pPr>
        <w:pStyle w:val="Heading3"/>
        <w:keepNext/>
      </w:pPr>
      <w:r>
        <w:rPr/>
        <w:t>QW2: lower pumping cost (8–10 weeks)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822"/>
        <w:gridCol w:w="1513"/>
        <w:gridCol w:w="3654"/>
        <w:gridCol w:w="1388"/>
        <w:gridCol w:w="2259"/>
      </w:tblGrid>
      <w:tr>
        <w:trPr>
          <w:cantSplit/>
          <w:tblHeader/>
        </w:trPr>
        <w:tc>
          <w:tcPr>
            <w:tcW w:type="dxa" w:w="822"/>
            <w:shd w:val="clear" w:color="auto" w:fill="DCE6EF"/>
          </w:tcPr>
          <w:p>
            <w:pPr>
              <w:keepNext/>
              <w:spacing w:after="0" w:line="240" w:lineRule="auto"/>
            </w:pPr>
            <w:r>
              <w:rPr>
                <w:b/>
                <w:sz w:val="18"/>
              </w:rPr>
              <w:t>Gate</w:t>
            </w:r>
          </w:p>
        </w:tc>
        <w:tc>
          <w:tcPr>
            <w:tcW w:type="dxa" w:w="1513"/>
            <w:shd w:val="clear" w:color="auto" w:fill="DCE6EF"/>
          </w:tcPr>
          <w:p>
            <w:pPr>
              <w:keepNext/>
              <w:spacing w:after="0" w:line="240" w:lineRule="auto"/>
            </w:pPr>
            <w:r>
              <w:rPr>
                <w:b/>
                <w:sz w:val="18"/>
              </w:rPr>
              <w:t>Criterion</w:t>
            </w:r>
          </w:p>
        </w:tc>
        <w:tc>
          <w:tcPr>
            <w:tcW w:type="dxa" w:w="3654"/>
            <w:shd w:val="clear" w:color="auto" w:fill="DCE6EF"/>
          </w:tcPr>
          <w:p>
            <w:pPr>
              <w:keepNext/>
              <w:spacing w:after="0" w:line="240" w:lineRule="auto"/>
            </w:pPr>
            <w:r>
              <w:rPr>
                <w:b/>
                <w:sz w:val="18"/>
              </w:rPr>
              <w:t>Proposed threshold</w:t>
            </w:r>
          </w:p>
        </w:tc>
        <w:tc>
          <w:tcPr>
            <w:tcW w:type="dxa" w:w="1389"/>
            <w:shd w:val="clear" w:color="auto" w:fill="DCE6EF"/>
          </w:tcPr>
          <w:p>
            <w:pPr>
              <w:keepNext/>
              <w:spacing w:after="0" w:line="240" w:lineRule="auto"/>
            </w:pPr>
            <w:r>
              <w:rPr>
                <w:b/>
                <w:sz w:val="18"/>
              </w:rPr>
              <w:t>Status today</w:t>
            </w:r>
          </w:p>
        </w:tc>
        <w:tc>
          <w:tcPr>
            <w:tcW w:type="dxa" w:w="2259"/>
            <w:shd w:val="clear" w:color="auto" w:fill="DCE6EF"/>
          </w:tcPr>
          <w:p>
            <w:pPr>
              <w:keepNext/>
              <w:spacing w:after="0" w:line="240" w:lineRule="auto"/>
            </w:pPr>
            <w:r>
              <w:rPr>
                <w:b/>
                <w:sz w:val="18"/>
              </w:rPr>
              <w:t>Evidence</w:t>
            </w:r>
          </w:p>
        </w:tc>
      </w:tr>
      <w:tr>
        <w:trPr>
          <w:cantSplit/>
        </w:trPr>
        <w:tc>
          <w:tcPr>
            <w:tcW w:type="dxa" w:w="822"/>
          </w:tcPr>
          <w:p>
            <w:pPr>
              <w:spacing w:after="0" w:line="240" w:lineRule="auto"/>
            </w:pPr>
            <w:r>
              <w:rPr>
                <w:sz w:val="18"/>
              </w:rPr>
              <w:t>Entry</w:t>
            </w:r>
          </w:p>
        </w:tc>
        <w:tc>
          <w:tcPr>
            <w:tcW w:type="dxa" w:w="1513"/>
          </w:tcPr>
          <w:p>
            <w:pPr>
              <w:spacing w:after="0" w:line="240" w:lineRule="auto"/>
            </w:pPr>
            <w:r>
              <w:rPr>
                <w:sz w:val="18"/>
              </w:rPr>
              <w:t>Baseline cost established</w:t>
            </w:r>
          </w:p>
        </w:tc>
        <w:tc>
          <w:tcPr>
            <w:tcW w:type="dxa" w:w="3654"/>
          </w:tcPr>
          <w:p>
            <w:pPr>
              <w:spacing w:after="0" w:line="240" w:lineRule="auto"/>
            </w:pPr>
            <w:r>
              <w:rPr>
                <w:sz w:val="18"/>
              </w:rPr>
              <w:t>Today's energy cost per delivered m³, from at least 12 months of bills or station kWh and the actual tariff</w:t>
            </w:r>
          </w:p>
        </w:tc>
        <w:tc>
          <w:tcPr>
            <w:tcW w:type="dxa" w:w="1389"/>
          </w:tcPr>
          <w:p>
            <w:pPr>
              <w:spacing w:after="0" w:line="240" w:lineRule="auto"/>
            </w:pPr>
            <w:r>
              <w:rPr>
                <w:sz w:val="18"/>
              </w:rPr>
              <w:t>Not met</w:t>
            </w:r>
          </w:p>
        </w:tc>
        <w:tc>
          <w:tcPr>
            <w:tcW w:type="dxa" w:w="2259"/>
          </w:tcPr>
          <w:p>
            <w:pPr>
              <w:spacing w:after="0" w:line="240" w:lineRule="auto"/>
            </w:pPr>
            <w:r>
              <w:rPr>
                <w:sz w:val="18"/>
              </w:rPr>
              <w:t>Assumed tariff only (A1) [PP]</w:t>
            </w:r>
          </w:p>
        </w:tc>
      </w:tr>
      <w:tr>
        <w:trPr>
          <w:cantSplit/>
        </w:trPr>
        <w:tc>
          <w:tcPr>
            <w:tcW w:type="dxa" w:w="822"/>
          </w:tcPr>
          <w:p>
            <w:pPr>
              <w:spacing w:after="0" w:line="240" w:lineRule="auto"/>
            </w:pPr>
            <w:r>
              <w:rPr>
                <w:sz w:val="18"/>
              </w:rPr>
              <w:t>Entry</w:t>
            </w:r>
          </w:p>
        </w:tc>
        <w:tc>
          <w:tcPr>
            <w:tcW w:type="dxa" w:w="1513"/>
          </w:tcPr>
          <w:p>
            <w:pPr>
              <w:spacing w:after="0" w:line="240" w:lineRule="auto"/>
            </w:pPr>
            <w:r>
              <w:rPr>
                <w:sz w:val="18"/>
              </w:rPr>
              <w:t>Today's operation known</w:t>
            </w:r>
          </w:p>
        </w:tc>
        <w:tc>
          <w:tcPr>
            <w:tcW w:type="dxa" w:w="3654"/>
          </w:tcPr>
          <w:p>
            <w:pPr>
              <w:spacing w:after="0" w:line="240" w:lineRule="auto"/>
            </w:pPr>
            <w:r>
              <w:rPr>
                <w:sz w:val="18"/>
              </w:rPr>
              <w:t>At least 3 months of hourly pump logs for all pilot stations, overlapping the bills</w:t>
            </w:r>
          </w:p>
        </w:tc>
        <w:tc>
          <w:tcPr>
            <w:tcW w:type="dxa" w:w="1389"/>
          </w:tcPr>
          <w:p>
            <w:pPr>
              <w:spacing w:after="0" w:line="240" w:lineRule="auto"/>
            </w:pPr>
            <w:r>
              <w:rPr>
                <w:sz w:val="18"/>
              </w:rPr>
              <w:t>Not met</w:t>
            </w:r>
          </w:p>
        </w:tc>
        <w:tc>
          <w:tcPr>
            <w:tcW w:type="dxa" w:w="2259"/>
          </w:tcPr>
          <w:p>
            <w:pPr>
              <w:spacing w:after="0" w:line="240" w:lineRule="auto"/>
            </w:pPr>
            <w:r>
              <w:rPr>
                <w:sz w:val="18"/>
              </w:rPr>
              <w:t>Item 1</w:t>
            </w:r>
          </w:p>
        </w:tc>
      </w:tr>
      <w:tr>
        <w:trPr>
          <w:cantSplit/>
        </w:trPr>
        <w:tc>
          <w:tcPr>
            <w:tcW w:type="dxa" w:w="822"/>
          </w:tcPr>
          <w:p>
            <w:pPr>
              <w:spacing w:after="0" w:line="240" w:lineRule="auto"/>
            </w:pPr>
            <w:r>
              <w:rPr>
                <w:sz w:val="18"/>
              </w:rPr>
              <w:t>Entry</w:t>
            </w:r>
          </w:p>
        </w:tc>
        <w:tc>
          <w:tcPr>
            <w:tcW w:type="dxa" w:w="1513"/>
          </w:tcPr>
          <w:p>
            <w:pPr>
              <w:spacing w:after="0" w:line="240" w:lineRule="auto"/>
            </w:pPr>
            <w:r>
              <w:rPr>
                <w:sz w:val="18"/>
              </w:rPr>
              <w:t>Model energy is right</w:t>
            </w:r>
          </w:p>
        </w:tc>
        <w:tc>
          <w:tcPr>
            <w:tcW w:type="dxa" w:w="3654"/>
          </w:tcPr>
          <w:p>
            <w:pPr>
              <w:spacing w:after="0" w:line="240" w:lineRule="auto"/>
            </w:pPr>
            <w:r>
              <w:rPr>
                <w:sz w:val="18"/>
              </w:rPr>
              <w:t>Modelled kWh within ±10% of metered kWh for the same days</w:t>
            </w:r>
          </w:p>
        </w:tc>
        <w:tc>
          <w:tcPr>
            <w:tcW w:type="dxa" w:w="1389"/>
          </w:tcPr>
          <w:p>
            <w:pPr>
              <w:spacing w:after="0" w:line="240" w:lineRule="auto"/>
            </w:pPr>
            <w:r>
              <w:rPr>
                <w:sz w:val="18"/>
              </w:rPr>
              <w:t>Not tested</w:t>
            </w:r>
          </w:p>
        </w:tc>
        <w:tc>
          <w:tcPr>
            <w:tcW w:type="dxa" w:w="2259"/>
          </w:tcPr>
          <w:p>
            <w:pPr>
              <w:spacing w:after="0" w:line="240" w:lineRule="auto"/>
            </w:pPr>
            <w:r>
              <w:rPr>
                <w:sz w:val="18"/>
              </w:rPr>
              <w:t>75% pump efficiency assumed (A4) [PP]</w:t>
            </w:r>
          </w:p>
        </w:tc>
      </w:tr>
      <w:tr>
        <w:trPr>
          <w:cantSplit/>
        </w:trPr>
        <w:tc>
          <w:tcPr>
            <w:tcW w:type="dxa" w:w="822"/>
          </w:tcPr>
          <w:p>
            <w:pPr>
              <w:spacing w:after="0" w:line="240" w:lineRule="auto"/>
            </w:pPr>
            <w:r>
              <w:rPr>
                <w:sz w:val="18"/>
              </w:rPr>
              <w:t>Entry</w:t>
            </w:r>
          </w:p>
        </w:tc>
        <w:tc>
          <w:tcPr>
            <w:tcW w:type="dxa" w:w="1513"/>
          </w:tcPr>
          <w:p>
            <w:pPr>
              <w:spacing w:after="0" w:line="240" w:lineRule="auto"/>
            </w:pPr>
            <w:r>
              <w:rPr>
                <w:sz w:val="18"/>
              </w:rPr>
              <w:t>Model questions answered</w:t>
            </w:r>
          </w:p>
        </w:tc>
        <w:tc>
          <w:tcPr>
            <w:tcW w:type="dxa" w:w="3654"/>
          </w:tcPr>
          <w:p>
            <w:pPr>
              <w:spacing w:after="0" w:line="240" w:lineRule="auto"/>
            </w:pPr>
            <w:r>
              <w:rPr>
                <w:sz w:val="18"/>
              </w:rPr>
              <w:t>Nodes 71/678, TM Pond pumps 3–6 and source heads confirmed</w:t>
            </w:r>
          </w:p>
        </w:tc>
        <w:tc>
          <w:tcPr>
            <w:tcW w:type="dxa" w:w="1389"/>
          </w:tcPr>
          <w:p>
            <w:pPr>
              <w:spacing w:after="0" w:line="240" w:lineRule="auto"/>
            </w:pPr>
            <w:r>
              <w:rPr>
                <w:sz w:val="18"/>
              </w:rPr>
              <w:t>Open</w:t>
            </w:r>
          </w:p>
        </w:tc>
        <w:tc>
          <w:tcPr>
            <w:tcW w:type="dxa" w:w="2259"/>
          </w:tcPr>
          <w:p>
            <w:pPr>
              <w:spacing w:after="0" w:line="240" w:lineRule="auto"/>
            </w:pPr>
            <w:r>
              <w:rPr>
                <w:sz w:val="18"/>
              </w:rPr>
              <w:t>Item 7</w:t>
            </w:r>
          </w:p>
        </w:tc>
      </w:tr>
      <w:tr>
        <w:trPr>
          <w:cantSplit/>
        </w:trPr>
        <w:tc>
          <w:tcPr>
            <w:tcW w:type="dxa" w:w="822"/>
          </w:tcPr>
          <w:p>
            <w:pPr>
              <w:spacing w:after="0" w:line="240" w:lineRule="auto"/>
            </w:pPr>
            <w:r>
              <w:rPr>
                <w:sz w:val="18"/>
              </w:rPr>
              <w:t>Entry</w:t>
            </w:r>
          </w:p>
        </w:tc>
        <w:tc>
          <w:tcPr>
            <w:tcW w:type="dxa" w:w="1513"/>
          </w:tcPr>
          <w:p>
            <w:pPr>
              <w:spacing w:after="0" w:line="240" w:lineRule="auto"/>
            </w:pPr>
            <w:r>
              <w:rPr>
                <w:sz w:val="18"/>
              </w:rPr>
              <w:t>Tank operating range agreed</w:t>
            </w:r>
          </w:p>
        </w:tc>
        <w:tc>
          <w:tcPr>
            <w:tcW w:type="dxa" w:w="3654"/>
          </w:tcPr>
          <w:p>
            <w:pPr>
              <w:spacing w:after="0" w:line="240" w:lineRule="auto"/>
            </w:pPr>
            <w:r>
              <w:rPr>
                <w:sz w:val="18"/>
              </w:rPr>
              <w:t>Minimum and maximum operating level of each head tank set by operations</w:t>
            </w:r>
          </w:p>
        </w:tc>
        <w:tc>
          <w:tcPr>
            <w:tcW w:type="dxa" w:w="1389"/>
          </w:tcPr>
          <w:p>
            <w:pPr>
              <w:spacing w:after="0" w:line="240" w:lineRule="auto"/>
            </w:pPr>
            <w:r>
              <w:rPr>
                <w:sz w:val="18"/>
              </w:rPr>
              <w:t>Not met</w:t>
            </w:r>
          </w:p>
        </w:tc>
        <w:tc>
          <w:tcPr>
            <w:tcW w:type="dxa" w:w="2259"/>
          </w:tcPr>
          <w:p>
            <w:pPr>
              <w:spacing w:after="0" w:line="240" w:lineRule="auto"/>
            </w:pPr>
            <w:r>
              <w:rPr>
                <w:sz w:val="18"/>
              </w:rPr>
              <w:t>The lower-tank plan needs NPL3_HT above about 35% full [WI]; item 7</w:t>
            </w:r>
          </w:p>
        </w:tc>
      </w:tr>
      <w:tr>
        <w:trPr>
          <w:cantSplit/>
        </w:trPr>
        <w:tc>
          <w:tcPr>
            <w:tcW w:type="dxa" w:w="822"/>
          </w:tcPr>
          <w:p>
            <w:pPr>
              <w:spacing w:after="0" w:line="240" w:lineRule="auto"/>
            </w:pPr>
            <w:r>
              <w:rPr>
                <w:sz w:val="18"/>
              </w:rPr>
              <w:t>Exit</w:t>
            </w:r>
          </w:p>
        </w:tc>
        <w:tc>
          <w:tcPr>
            <w:tcW w:type="dxa" w:w="1513"/>
          </w:tcPr>
          <w:p>
            <w:pPr>
              <w:spacing w:after="0" w:line="240" w:lineRule="auto"/>
            </w:pPr>
            <w:r>
              <w:rPr>
                <w:sz w:val="18"/>
              </w:rPr>
              <w:t>Saving vs today</w:t>
            </w:r>
          </w:p>
        </w:tc>
        <w:tc>
          <w:tcPr>
            <w:tcW w:type="dxa" w:w="3654"/>
          </w:tcPr>
          <w:p>
            <w:pPr>
              <w:spacing w:after="0" w:line="240" w:lineRule="auto"/>
            </w:pPr>
            <w:r>
              <w:rPr>
                <w:sz w:val="18"/>
              </w:rPr>
              <w:t xml:space="preserve">Replaying at least 30 real days at the real tariff, saving per delivered m³: </w:t>
            </w:r>
            <w:r>
              <w:rPr>
                <w:b/>
                <w:sz w:val="18"/>
              </w:rPr>
              <w:t>3% or more: Go. 1–3%: Go only on a re-based business case. Under 1%: No-Go for off-peak schedule optimisation;</w:t>
            </w:r>
            <w:r>
              <w:rPr>
                <w:sz w:val="18"/>
              </w:rPr>
              <w:t xml:space="preserve"> re-scope to tank-level policy and source choice, which have model evidence (Section 6.6), and to pump efficiency</w:t>
            </w:r>
          </w:p>
        </w:tc>
        <w:tc>
          <w:tcPr>
            <w:tcW w:type="dxa" w:w="1389"/>
          </w:tcPr>
          <w:p>
            <w:pPr>
              <w:spacing w:after="0" w:line="240" w:lineRule="auto"/>
            </w:pPr>
            <w:r>
              <w:rPr>
                <w:sz w:val="18"/>
              </w:rPr>
              <w:t>Not measurable</w:t>
            </w:r>
          </w:p>
        </w:tc>
        <w:tc>
          <w:tcPr>
            <w:tcW w:type="dxa" w:w="2259"/>
          </w:tcPr>
          <w:p>
            <w:pPr>
              <w:spacing w:after="0" w:line="240" w:lineRule="auto"/>
            </w:pPr>
            <w:r>
              <w:rPr>
                <w:sz w:val="18"/>
              </w:rPr>
              <w:t>Model only: off-peak saving about 0%, at most 0.9% with 10 times the storage; tanks held lower use 7.5% less energy [RM, PK, WI]</w:t>
            </w:r>
          </w:p>
        </w:tc>
      </w:tr>
      <w:tr>
        <w:trPr>
          <w:cantSplit/>
        </w:trPr>
        <w:tc>
          <w:tcPr>
            <w:tcW w:type="dxa" w:w="822"/>
          </w:tcPr>
          <w:p>
            <w:pPr>
              <w:spacing w:after="0" w:line="240" w:lineRule="auto"/>
            </w:pPr>
            <w:r>
              <w:rPr>
                <w:sz w:val="18"/>
              </w:rPr>
              <w:t>Exit</w:t>
            </w:r>
          </w:p>
        </w:tc>
        <w:tc>
          <w:tcPr>
            <w:tcW w:type="dxa" w:w="1513"/>
          </w:tcPr>
          <w:p>
            <w:pPr>
              <w:spacing w:after="0" w:line="240" w:lineRule="auto"/>
            </w:pPr>
            <w:r>
              <w:rPr>
                <w:sz w:val="18"/>
              </w:rPr>
              <w:t>Only checked savings count</w:t>
            </w:r>
          </w:p>
        </w:tc>
        <w:tc>
          <w:tcPr>
            <w:tcW w:type="dxa" w:w="3654"/>
          </w:tcPr>
          <w:p>
            <w:pPr>
              <w:spacing w:after="0" w:line="240" w:lineRule="auto"/>
            </w:pPr>
            <w:r>
              <w:rPr>
                <w:sz w:val="18"/>
              </w:rPr>
              <w:t>100% of claimed savings come from plans that pass EPANET</w:t>
            </w:r>
          </w:p>
        </w:tc>
        <w:tc>
          <w:tcPr>
            <w:tcW w:type="dxa" w:w="1389"/>
          </w:tcPr>
          <w:p>
            <w:pPr>
              <w:spacing w:after="0" w:line="240" w:lineRule="auto"/>
            </w:pPr>
            <w:r>
              <w:rPr>
                <w:sz w:val="18"/>
              </w:rPr>
              <w:t>Met in POC</w:t>
            </w:r>
          </w:p>
        </w:tc>
        <w:tc>
          <w:tcPr>
            <w:tcW w:type="dxa" w:w="2259"/>
          </w:tcPr>
          <w:p>
            <w:pPr>
              <w:spacing w:after="0" w:line="240" w:lineRule="auto"/>
            </w:pPr>
            <w:r>
              <w:rPr>
                <w:sz w:val="18"/>
              </w:rPr>
              <w:t>Plans A and C excluded [PP]</w:t>
            </w:r>
          </w:p>
        </w:tc>
      </w:tr>
      <w:tr>
        <w:trPr>
          <w:cantSplit/>
        </w:trPr>
        <w:tc>
          <w:tcPr>
            <w:tcW w:type="dxa" w:w="822"/>
          </w:tcPr>
          <w:p>
            <w:pPr>
              <w:spacing w:after="0" w:line="240" w:lineRule="auto"/>
            </w:pPr>
            <w:r>
              <w:rPr>
                <w:sz w:val="18"/>
              </w:rPr>
              <w:t>Exit</w:t>
            </w:r>
          </w:p>
        </w:tc>
        <w:tc>
          <w:tcPr>
            <w:tcW w:type="dxa" w:w="1513"/>
          </w:tcPr>
          <w:p>
            <w:pPr>
              <w:spacing w:after="0" w:line="240" w:lineRule="auto"/>
            </w:pPr>
            <w:r>
              <w:rPr>
                <w:sz w:val="18"/>
              </w:rPr>
              <w:t>Run time</w:t>
            </w:r>
          </w:p>
        </w:tc>
        <w:tc>
          <w:tcPr>
            <w:tcW w:type="dxa" w:w="3654"/>
          </w:tcPr>
          <w:p>
            <w:pPr>
              <w:spacing w:after="0" w:line="240" w:lineRule="auto"/>
            </w:pPr>
            <w:r>
              <w:rPr>
                <w:sz w:val="18"/>
              </w:rPr>
              <w:t>A day's plan set (reference plus Plans A/B/C, each checked) ready within 30 minutes</w:t>
            </w:r>
          </w:p>
        </w:tc>
        <w:tc>
          <w:tcPr>
            <w:tcW w:type="dxa" w:w="1389"/>
          </w:tcPr>
          <w:p>
            <w:pPr>
              <w:spacing w:after="0" w:line="240" w:lineRule="auto"/>
            </w:pPr>
            <w:r>
              <w:rPr>
                <w:sz w:val="18"/>
              </w:rPr>
              <w:t>Met in POC</w:t>
            </w:r>
          </w:p>
        </w:tc>
        <w:tc>
          <w:tcPr>
            <w:tcW w:type="dxa" w:w="2259"/>
          </w:tcPr>
          <w:p>
            <w:pPr>
              <w:spacing w:after="0" w:line="240" w:lineRule="auto"/>
            </w:pPr>
            <w:r>
              <w:rPr>
                <w:sz w:val="18"/>
              </w:rPr>
              <w:t>About 25 minutes for two demand scenarios [RM]</w:t>
            </w:r>
          </w:p>
        </w:tc>
      </w:tr>
    </w:tbl>
    <w:p>
      <w:pPr>
        <w:spacing w:after="40"/>
      </w:pPr>
    </w:p>
    <w:p>
      <w:pPr>
        <w:pStyle w:val="Heading3"/>
        <w:keepNext/>
      </w:pPr>
      <w:r>
        <w:rPr/>
        <w:t>QW3: hydraulic check with EPANET (10–12 weeks)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822"/>
        <w:gridCol w:w="1502"/>
        <w:gridCol w:w="4531"/>
        <w:gridCol w:w="935"/>
        <w:gridCol w:w="1846"/>
      </w:tblGrid>
      <w:tr>
        <w:trPr>
          <w:cantSplit/>
          <w:tblHeader/>
        </w:trPr>
        <w:tc>
          <w:tcPr>
            <w:tcW w:type="dxa" w:w="822"/>
            <w:shd w:val="clear" w:color="auto" w:fill="DCE6EF"/>
          </w:tcPr>
          <w:p>
            <w:pPr>
              <w:keepNext/>
              <w:spacing w:after="0" w:line="240" w:lineRule="auto"/>
            </w:pPr>
            <w:r>
              <w:rPr>
                <w:b/>
                <w:sz w:val="18"/>
              </w:rPr>
              <w:t>Gate</w:t>
            </w:r>
          </w:p>
        </w:tc>
        <w:tc>
          <w:tcPr>
            <w:tcW w:type="dxa" w:w="1502"/>
            <w:shd w:val="clear" w:color="auto" w:fill="DCE6EF"/>
          </w:tcPr>
          <w:p>
            <w:pPr>
              <w:keepNext/>
              <w:spacing w:after="0" w:line="240" w:lineRule="auto"/>
            </w:pPr>
            <w:r>
              <w:rPr>
                <w:b/>
                <w:sz w:val="18"/>
              </w:rPr>
              <w:t>Criterion</w:t>
            </w:r>
          </w:p>
        </w:tc>
        <w:tc>
          <w:tcPr>
            <w:tcW w:type="dxa" w:w="4532"/>
            <w:shd w:val="clear" w:color="auto" w:fill="DCE6EF"/>
          </w:tcPr>
          <w:p>
            <w:pPr>
              <w:keepNext/>
              <w:spacing w:after="0" w:line="240" w:lineRule="auto"/>
            </w:pPr>
            <w:r>
              <w:rPr>
                <w:b/>
                <w:sz w:val="18"/>
              </w:rPr>
              <w:t>Proposed threshold</w:t>
            </w:r>
          </w:p>
        </w:tc>
        <w:tc>
          <w:tcPr>
            <w:tcW w:type="dxa" w:w="935"/>
            <w:shd w:val="clear" w:color="auto" w:fill="DCE6EF"/>
          </w:tcPr>
          <w:p>
            <w:pPr>
              <w:keepNext/>
              <w:spacing w:after="0" w:line="240" w:lineRule="auto"/>
            </w:pPr>
            <w:r>
              <w:rPr>
                <w:b/>
                <w:sz w:val="18"/>
              </w:rPr>
              <w:t>Status today</w:t>
            </w:r>
          </w:p>
        </w:tc>
        <w:tc>
          <w:tcPr>
            <w:tcW w:type="dxa" w:w="1846"/>
            <w:shd w:val="clear" w:color="auto" w:fill="DCE6EF"/>
          </w:tcPr>
          <w:p>
            <w:pPr>
              <w:keepNext/>
              <w:spacing w:after="0" w:line="240" w:lineRule="auto"/>
            </w:pPr>
            <w:r>
              <w:rPr>
                <w:b/>
                <w:sz w:val="18"/>
              </w:rPr>
              <w:t>Evidence</w:t>
            </w:r>
          </w:p>
        </w:tc>
      </w:tr>
      <w:tr>
        <w:trPr>
          <w:cantSplit/>
        </w:trPr>
        <w:tc>
          <w:tcPr>
            <w:tcW w:type="dxa" w:w="822"/>
          </w:tcPr>
          <w:p>
            <w:pPr>
              <w:spacing w:after="0" w:line="240" w:lineRule="auto"/>
            </w:pPr>
            <w:r>
              <w:rPr>
                <w:sz w:val="18"/>
              </w:rPr>
              <w:t>Entry</w:t>
            </w:r>
          </w:p>
        </w:tc>
        <w:tc>
          <w:tcPr>
            <w:tcW w:type="dxa" w:w="1502"/>
          </w:tcPr>
          <w:p>
            <w:pPr>
              <w:spacing w:after="0" w:line="240" w:lineRule="auto"/>
            </w:pPr>
            <w:r>
              <w:rPr>
                <w:sz w:val="18"/>
              </w:rPr>
              <w:t>SCADA data</w:t>
            </w:r>
          </w:p>
        </w:tc>
        <w:tc>
          <w:tcPr>
            <w:tcW w:type="dxa" w:w="4532"/>
          </w:tcPr>
          <w:p>
            <w:pPr>
              <w:spacing w:after="0" w:line="240" w:lineRule="auto"/>
            </w:pPr>
            <w:r>
              <w:rPr>
                <w:sz w:val="18"/>
              </w:rPr>
              <w:t>At least 3 months of hourly tank levels, station flows and pressures, including the four low-pressure customers</w:t>
            </w:r>
          </w:p>
        </w:tc>
        <w:tc>
          <w:tcPr>
            <w:tcW w:type="dxa" w:w="935"/>
          </w:tcPr>
          <w:p>
            <w:pPr>
              <w:spacing w:after="0" w:line="240" w:lineRule="auto"/>
            </w:pPr>
            <w:r>
              <w:rPr>
                <w:sz w:val="18"/>
              </w:rPr>
              <w:t>Not met</w:t>
            </w:r>
          </w:p>
        </w:tc>
        <w:tc>
          <w:tcPr>
            <w:tcW w:type="dxa" w:w="1846"/>
          </w:tcPr>
          <w:p>
            <w:pPr>
              <w:spacing w:after="0" w:line="240" w:lineRule="auto"/>
            </w:pPr>
            <w:r>
              <w:rPr>
                <w:sz w:val="18"/>
              </w:rPr>
              <w:t>Item 5</w:t>
            </w:r>
          </w:p>
        </w:tc>
      </w:tr>
      <w:tr>
        <w:trPr>
          <w:cantSplit/>
        </w:trPr>
        <w:tc>
          <w:tcPr>
            <w:tcW w:type="dxa" w:w="822"/>
          </w:tcPr>
          <w:p>
            <w:pPr>
              <w:spacing w:after="0" w:line="240" w:lineRule="auto"/>
            </w:pPr>
            <w:r>
              <w:rPr>
                <w:sz w:val="18"/>
              </w:rPr>
              <w:t>Entry</w:t>
            </w:r>
          </w:p>
        </w:tc>
        <w:tc>
          <w:tcPr>
            <w:tcW w:type="dxa" w:w="1502"/>
          </w:tcPr>
          <w:p>
            <w:pPr>
              <w:spacing w:after="0" w:line="240" w:lineRule="auto"/>
            </w:pPr>
            <w:r>
              <w:rPr>
                <w:sz w:val="18"/>
              </w:rPr>
              <w:t>Model owner sign-off</w:t>
            </w:r>
          </w:p>
        </w:tc>
        <w:tc>
          <w:tcPr>
            <w:tcW w:type="dxa" w:w="4532"/>
          </w:tcPr>
          <w:p>
            <w:pPr>
              <w:spacing w:after="0" w:line="240" w:lineRule="auto"/>
            </w:pPr>
            <w:r>
              <w:rPr>
                <w:sz w:val="18"/>
              </w:rPr>
              <w:t>Written answers and a corrected model; demand patterns and controls added</w:t>
            </w:r>
          </w:p>
        </w:tc>
        <w:tc>
          <w:tcPr>
            <w:tcW w:type="dxa" w:w="935"/>
          </w:tcPr>
          <w:p>
            <w:pPr>
              <w:spacing w:after="0" w:line="240" w:lineRule="auto"/>
            </w:pPr>
            <w:r>
              <w:rPr>
                <w:sz w:val="18"/>
              </w:rPr>
              <w:t>Open</w:t>
            </w:r>
          </w:p>
        </w:tc>
        <w:tc>
          <w:tcPr>
            <w:tcW w:type="dxa" w:w="1846"/>
          </w:tcPr>
          <w:p>
            <w:pPr>
              <w:spacing w:after="0" w:line="240" w:lineRule="auto"/>
            </w:pPr>
            <w:r>
              <w:rPr>
                <w:sz w:val="18"/>
              </w:rPr>
              <w:t>The model has 0 patterns and 0 controls [EP]; item 7</w:t>
            </w:r>
          </w:p>
        </w:tc>
      </w:tr>
      <w:tr>
        <w:trPr>
          <w:cantSplit/>
        </w:trPr>
        <w:tc>
          <w:tcPr>
            <w:tcW w:type="dxa" w:w="822"/>
          </w:tcPr>
          <w:p>
            <w:pPr>
              <w:spacing w:after="0" w:line="240" w:lineRule="auto"/>
            </w:pPr>
            <w:r>
              <w:rPr>
                <w:sz w:val="18"/>
              </w:rPr>
              <w:t>Exit</w:t>
            </w:r>
          </w:p>
        </w:tc>
        <w:tc>
          <w:tcPr>
            <w:tcW w:type="dxa" w:w="1502"/>
          </w:tcPr>
          <w:p>
            <w:pPr>
              <w:spacing w:after="0" w:line="240" w:lineRule="auto"/>
            </w:pPr>
            <w:r>
              <w:rPr>
                <w:sz w:val="18"/>
              </w:rPr>
              <w:t>Calibration</w:t>
            </w:r>
          </w:p>
        </w:tc>
        <w:tc>
          <w:tcPr>
            <w:tcW w:type="dxa" w:w="4532"/>
          </w:tcPr>
          <w:p>
            <w:pPr>
              <w:spacing w:after="0" w:line="240" w:lineRule="auto"/>
            </w:pPr>
            <w:r>
              <w:rPr>
                <w:sz w:val="18"/>
              </w:rPr>
              <w:t>Simulated tank levels within ±1.0 m and customer pressures within ±2.0 m of SCADA for at least 85% of hourly readings, on a week not used for calibration</w:t>
            </w:r>
          </w:p>
        </w:tc>
        <w:tc>
          <w:tcPr>
            <w:tcW w:type="dxa" w:w="935"/>
          </w:tcPr>
          <w:p>
            <w:pPr>
              <w:spacing w:after="0" w:line="240" w:lineRule="auto"/>
            </w:pPr>
            <w:r>
              <w:rPr>
                <w:sz w:val="18"/>
              </w:rPr>
              <w:t>Not tested</w:t>
            </w:r>
          </w:p>
        </w:tc>
        <w:tc>
          <w:tcPr>
            <w:tcW w:type="dxa" w:w="1846"/>
          </w:tcPr>
          <w:p>
            <w:pPr>
              <w:spacing w:after="0" w:line="240" w:lineRule="auto"/>
            </w:pPr>
            <w:r>
              <w:rPr>
                <w:sz w:val="18"/>
              </w:rPr>
              <w:t>—</w:t>
            </w:r>
          </w:p>
        </w:tc>
      </w:tr>
      <w:tr>
        <w:trPr>
          <w:cantSplit/>
        </w:trPr>
        <w:tc>
          <w:tcPr>
            <w:tcW w:type="dxa" w:w="822"/>
          </w:tcPr>
          <w:p>
            <w:pPr>
              <w:spacing w:after="0" w:line="240" w:lineRule="auto"/>
            </w:pPr>
            <w:r>
              <w:rPr>
                <w:sz w:val="18"/>
              </w:rPr>
              <w:t>Exit</w:t>
            </w:r>
          </w:p>
        </w:tc>
        <w:tc>
          <w:tcPr>
            <w:tcW w:type="dxa" w:w="1502"/>
          </w:tcPr>
          <w:p>
            <w:pPr>
              <w:spacing w:after="0" w:line="240" w:lineRule="auto"/>
            </w:pPr>
            <w:r>
              <w:rPr>
                <w:sz w:val="18"/>
              </w:rPr>
              <w:t>Suction pressures</w:t>
            </w:r>
          </w:p>
        </w:tc>
        <w:tc>
          <w:tcPr>
            <w:tcW w:type="dxa" w:w="4532"/>
          </w:tcPr>
          <w:p>
            <w:pPr>
              <w:spacing w:after="0" w:line="240" w:lineRule="auto"/>
            </w:pPr>
            <w:r>
              <w:rPr>
                <w:sz w:val="18"/>
              </w:rPr>
              <w:t>No negative pressure at pump suctions, or the cause confirmed as a model artefact</w:t>
            </w:r>
          </w:p>
        </w:tc>
        <w:tc>
          <w:tcPr>
            <w:tcW w:type="dxa" w:w="935"/>
          </w:tcPr>
          <w:p>
            <w:pPr>
              <w:spacing w:after="0" w:line="240" w:lineRule="auto"/>
            </w:pPr>
            <w:r>
              <w:rPr>
                <w:sz w:val="18"/>
              </w:rPr>
              <w:t>Not met</w:t>
            </w:r>
          </w:p>
        </w:tc>
        <w:tc>
          <w:tcPr>
            <w:tcW w:type="dxa" w:w="1846"/>
          </w:tcPr>
          <w:p>
            <w:pPr>
              <w:spacing w:after="0" w:line="240" w:lineRule="auto"/>
            </w:pPr>
            <w:r>
              <w:rPr>
                <w:sz w:val="18"/>
              </w:rPr>
              <w:t>27 junctions at −1.6 to −5.65 m [EP]</w:t>
            </w:r>
          </w:p>
        </w:tc>
      </w:tr>
      <w:tr>
        <w:trPr>
          <w:cantSplit/>
        </w:trPr>
        <w:tc>
          <w:tcPr>
            <w:tcW w:type="dxa" w:w="822"/>
          </w:tcPr>
          <w:p>
            <w:pPr>
              <w:spacing w:after="0" w:line="240" w:lineRule="auto"/>
            </w:pPr>
            <w:r>
              <w:rPr>
                <w:sz w:val="18"/>
              </w:rPr>
              <w:t>Exit</w:t>
            </w:r>
          </w:p>
        </w:tc>
        <w:tc>
          <w:tcPr>
            <w:tcW w:type="dxa" w:w="1502"/>
          </w:tcPr>
          <w:p>
            <w:pPr>
              <w:spacing w:after="0" w:line="240" w:lineRule="auto"/>
            </w:pPr>
            <w:r>
              <w:rPr>
                <w:sz w:val="18"/>
              </w:rPr>
              <w:t>Plans passing</w:t>
            </w:r>
          </w:p>
        </w:tc>
        <w:tc>
          <w:tcPr>
            <w:tcW w:type="dxa" w:w="4532"/>
          </w:tcPr>
          <w:p>
            <w:pPr>
              <w:spacing w:after="0" w:line="240" w:lineRule="auto"/>
            </w:pPr>
            <w:r>
              <w:rPr>
                <w:sz w:val="18"/>
              </w:rPr>
              <w:t>Over at least 30 replayed days: a passing plan on at least 95% of days, and at least 2 of Plans A/B/C passing on at least 80% of days</w:t>
            </w:r>
          </w:p>
        </w:tc>
        <w:tc>
          <w:tcPr>
            <w:tcW w:type="dxa" w:w="935"/>
          </w:tcPr>
          <w:p>
            <w:pPr>
              <w:spacing w:after="0" w:line="240" w:lineRule="auto"/>
            </w:pPr>
            <w:r>
              <w:rPr>
                <w:sz w:val="18"/>
              </w:rPr>
              <w:t>Not met</w:t>
            </w:r>
          </w:p>
        </w:tc>
        <w:tc>
          <w:tcPr>
            <w:tcW w:type="dxa" w:w="1846"/>
          </w:tcPr>
          <w:p>
            <w:pPr>
              <w:spacing w:after="0" w:line="240" w:lineRule="auto"/>
            </w:pPr>
            <w:r>
              <w:rPr>
                <w:sz w:val="18"/>
              </w:rPr>
              <w:t>1 of 3 at 488,403 m³/day; 0 of 3 at 688,403 m³/day [PP]</w:t>
            </w:r>
          </w:p>
        </w:tc>
      </w:tr>
      <w:tr>
        <w:trPr>
          <w:cantSplit/>
        </w:trPr>
        <w:tc>
          <w:tcPr>
            <w:tcW w:type="dxa" w:w="822"/>
          </w:tcPr>
          <w:p>
            <w:pPr>
              <w:spacing w:after="0" w:line="240" w:lineRule="auto"/>
            </w:pPr>
            <w:r>
              <w:rPr>
                <w:sz w:val="18"/>
              </w:rPr>
              <w:t>Exit</w:t>
            </w:r>
          </w:p>
        </w:tc>
        <w:tc>
          <w:tcPr>
            <w:tcW w:type="dxa" w:w="1502"/>
          </w:tcPr>
          <w:p>
            <w:pPr>
              <w:spacing w:after="0" w:line="240" w:lineRule="auto"/>
            </w:pPr>
            <w:r>
              <w:rPr>
                <w:sz w:val="18"/>
              </w:rPr>
              <w:t>Explainable results</w:t>
            </w:r>
          </w:p>
        </w:tc>
        <w:tc>
          <w:tcPr>
            <w:tcW w:type="dxa" w:w="4532"/>
          </w:tcPr>
          <w:p>
            <w:pPr>
              <w:spacing w:after="0" w:line="240" w:lineRule="auto"/>
            </w:pPr>
            <w:r>
              <w:rPr>
                <w:sz w:val="18"/>
              </w:rPr>
              <w:t>Every Warning or Fail names the node, tank or pump at fault</w:t>
            </w:r>
          </w:p>
        </w:tc>
        <w:tc>
          <w:tcPr>
            <w:tcW w:type="dxa" w:w="935"/>
          </w:tcPr>
          <w:p>
            <w:pPr>
              <w:spacing w:after="0" w:line="240" w:lineRule="auto"/>
            </w:pPr>
            <w:r>
              <w:rPr>
                <w:sz w:val="18"/>
              </w:rPr>
              <w:t>Met</w:t>
            </w:r>
          </w:p>
        </w:tc>
        <w:tc>
          <w:tcPr>
            <w:tcW w:type="dxa" w:w="1846"/>
          </w:tcPr>
          <w:p>
            <w:pPr>
              <w:spacing w:after="0" w:line="240" w:lineRule="auto"/>
            </w:pPr>
            <w:r>
              <w:rPr>
                <w:sz w:val="18"/>
              </w:rPr>
              <w:t>[PP]</w:t>
            </w:r>
          </w:p>
        </w:tc>
      </w:tr>
    </w:tbl>
    <w:p>
      <w:pPr>
        <w:spacing w:after="40"/>
      </w:pPr>
    </w:p>
    <w:p>
      <w:pPr>
        <w:pStyle w:val="Heading3"/>
        <w:keepNext/>
      </w:pPr>
      <w:r>
        <w:rPr/>
        <w:t>QW4: decision dashboard (6–8 weeks)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822"/>
        <w:gridCol w:w="1729"/>
        <w:gridCol w:w="4422"/>
        <w:gridCol w:w="1388"/>
        <w:gridCol w:w="1275"/>
      </w:tblGrid>
      <w:tr>
        <w:trPr>
          <w:cantSplit/>
          <w:tblHeader/>
        </w:trPr>
        <w:tc>
          <w:tcPr>
            <w:tcW w:type="dxa" w:w="822"/>
            <w:shd w:val="clear" w:color="auto" w:fill="DCE6EF"/>
          </w:tcPr>
          <w:p>
            <w:pPr>
              <w:keepNext/>
              <w:spacing w:after="0" w:line="240" w:lineRule="auto"/>
            </w:pPr>
            <w:r>
              <w:rPr>
                <w:b/>
                <w:sz w:val="18"/>
              </w:rPr>
              <w:t>Gate</w:t>
            </w:r>
          </w:p>
        </w:tc>
        <w:tc>
          <w:tcPr>
            <w:tcW w:type="dxa" w:w="1729"/>
            <w:shd w:val="clear" w:color="auto" w:fill="DCE6EF"/>
          </w:tcPr>
          <w:p>
            <w:pPr>
              <w:keepNext/>
              <w:spacing w:after="0" w:line="240" w:lineRule="auto"/>
            </w:pPr>
            <w:r>
              <w:rPr>
                <w:b/>
                <w:sz w:val="18"/>
              </w:rPr>
              <w:t>Criterion</w:t>
            </w:r>
          </w:p>
        </w:tc>
        <w:tc>
          <w:tcPr>
            <w:tcW w:type="dxa" w:w="4422"/>
            <w:shd w:val="clear" w:color="auto" w:fill="DCE6EF"/>
          </w:tcPr>
          <w:p>
            <w:pPr>
              <w:keepNext/>
              <w:spacing w:after="0" w:line="240" w:lineRule="auto"/>
            </w:pPr>
            <w:r>
              <w:rPr>
                <w:b/>
                <w:sz w:val="18"/>
              </w:rPr>
              <w:t>Proposed threshold</w:t>
            </w:r>
          </w:p>
        </w:tc>
        <w:tc>
          <w:tcPr>
            <w:tcW w:type="dxa" w:w="1389"/>
            <w:shd w:val="clear" w:color="auto" w:fill="DCE6EF"/>
          </w:tcPr>
          <w:p>
            <w:pPr>
              <w:keepNext/>
              <w:spacing w:after="0" w:line="240" w:lineRule="auto"/>
            </w:pPr>
            <w:r>
              <w:rPr>
                <w:b/>
                <w:sz w:val="18"/>
              </w:rPr>
              <w:t>Status today</w:t>
            </w:r>
          </w:p>
        </w:tc>
        <w:tc>
          <w:tcPr>
            <w:tcW w:type="dxa" w:w="1276"/>
            <w:shd w:val="clear" w:color="auto" w:fill="DCE6EF"/>
          </w:tcPr>
          <w:p>
            <w:pPr>
              <w:keepNext/>
              <w:spacing w:after="0" w:line="240" w:lineRule="auto"/>
            </w:pPr>
            <w:r>
              <w:rPr>
                <w:b/>
                <w:sz w:val="18"/>
              </w:rPr>
              <w:t>Evidence</w:t>
            </w:r>
          </w:p>
        </w:tc>
      </w:tr>
      <w:tr>
        <w:trPr>
          <w:cantSplit/>
        </w:trPr>
        <w:tc>
          <w:tcPr>
            <w:tcW w:type="dxa" w:w="822"/>
          </w:tcPr>
          <w:p>
            <w:pPr>
              <w:spacing w:after="0" w:line="240" w:lineRule="auto"/>
            </w:pPr>
            <w:r>
              <w:rPr>
                <w:sz w:val="18"/>
              </w:rPr>
              <w:t>Entry</w:t>
            </w:r>
          </w:p>
        </w:tc>
        <w:tc>
          <w:tcPr>
            <w:tcW w:type="dxa" w:w="1729"/>
          </w:tcPr>
          <w:p>
            <w:pPr>
              <w:spacing w:after="0" w:line="240" w:lineRule="auto"/>
            </w:pPr>
            <w:r>
              <w:rPr>
                <w:sz w:val="18"/>
              </w:rPr>
              <w:t>Earlier phases</w:t>
            </w:r>
          </w:p>
        </w:tc>
        <w:tc>
          <w:tcPr>
            <w:tcW w:type="dxa" w:w="4422"/>
          </w:tcPr>
          <w:p>
            <w:pPr>
              <w:spacing w:after="0" w:line="240" w:lineRule="auto"/>
            </w:pPr>
            <w:r>
              <w:rPr>
                <w:sz w:val="18"/>
              </w:rPr>
              <w:t>QW1–QW3 exit criteria met, or waived in writing by the steering committee</w:t>
            </w:r>
          </w:p>
        </w:tc>
        <w:tc>
          <w:tcPr>
            <w:tcW w:type="dxa" w:w="1389"/>
          </w:tcPr>
          <w:p>
            <w:pPr>
              <w:spacing w:after="0" w:line="240" w:lineRule="auto"/>
            </w:pPr>
            <w:r>
              <w:rPr>
                <w:sz w:val="18"/>
              </w:rPr>
              <w:t>Not yet</w:t>
            </w:r>
          </w:p>
        </w:tc>
        <w:tc>
          <w:tcPr>
            <w:tcW w:type="dxa" w:w="1276"/>
          </w:tcPr>
          <w:p>
            <w:pPr>
              <w:spacing w:after="0" w:line="240" w:lineRule="auto"/>
            </w:pPr>
            <w:r>
              <w:rPr>
                <w:sz w:val="18"/>
              </w:rPr>
              <w:t>—</w:t>
            </w:r>
          </w:p>
        </w:tc>
      </w:tr>
      <w:tr>
        <w:trPr>
          <w:cantSplit/>
        </w:trPr>
        <w:tc>
          <w:tcPr>
            <w:tcW w:type="dxa" w:w="822"/>
          </w:tcPr>
          <w:p>
            <w:pPr>
              <w:spacing w:after="0" w:line="240" w:lineRule="auto"/>
            </w:pPr>
            <w:r>
              <w:rPr>
                <w:sz w:val="18"/>
              </w:rPr>
              <w:t>Entry</w:t>
            </w:r>
          </w:p>
        </w:tc>
        <w:tc>
          <w:tcPr>
            <w:tcW w:type="dxa" w:w="1729"/>
          </w:tcPr>
          <w:p>
            <w:pPr>
              <w:spacing w:after="0" w:line="240" w:lineRule="auto"/>
            </w:pPr>
            <w:r>
              <w:rPr>
                <w:sz w:val="18"/>
              </w:rPr>
              <w:t>KPIs agreed</w:t>
            </w:r>
          </w:p>
        </w:tc>
        <w:tc>
          <w:tcPr>
            <w:tcW w:type="dxa" w:w="4422"/>
          </w:tcPr>
          <w:p>
            <w:pPr>
              <w:spacing w:after="0" w:line="240" w:lineRule="auto"/>
            </w:pPr>
            <w:r>
              <w:rPr>
                <w:sz w:val="18"/>
              </w:rPr>
              <w:t>KPI definitions, baselines and thresholds signed off by Eastwater</w:t>
            </w:r>
          </w:p>
        </w:tc>
        <w:tc>
          <w:tcPr>
            <w:tcW w:type="dxa" w:w="1389"/>
          </w:tcPr>
          <w:p>
            <w:pPr>
              <w:spacing w:after="0" w:line="240" w:lineRule="auto"/>
            </w:pPr>
            <w:r>
              <w:rPr>
                <w:sz w:val="18"/>
              </w:rPr>
              <w:t>Not yet</w:t>
            </w:r>
          </w:p>
        </w:tc>
        <w:tc>
          <w:tcPr>
            <w:tcW w:type="dxa" w:w="1276"/>
          </w:tcPr>
          <w:p>
            <w:pPr>
              <w:spacing w:after="0" w:line="240" w:lineRule="auto"/>
            </w:pPr>
            <w:r>
              <w:rPr>
                <w:sz w:val="18"/>
              </w:rPr>
              <w:t>[DECK 4]</w:t>
            </w:r>
          </w:p>
        </w:tc>
      </w:tr>
      <w:tr>
        <w:trPr>
          <w:cantSplit/>
        </w:trPr>
        <w:tc>
          <w:tcPr>
            <w:tcW w:type="dxa" w:w="822"/>
          </w:tcPr>
          <w:p>
            <w:pPr>
              <w:spacing w:after="0" w:line="240" w:lineRule="auto"/>
            </w:pPr>
            <w:r>
              <w:rPr>
                <w:sz w:val="18"/>
              </w:rPr>
              <w:t>Entry</w:t>
            </w:r>
          </w:p>
        </w:tc>
        <w:tc>
          <w:tcPr>
            <w:tcW w:type="dxa" w:w="1729"/>
          </w:tcPr>
          <w:p>
            <w:pPr>
              <w:spacing w:after="0" w:line="240" w:lineRule="auto"/>
            </w:pPr>
            <w:r>
              <w:rPr>
                <w:sz w:val="18"/>
              </w:rPr>
              <w:t>Planning-time baseline</w:t>
            </w:r>
          </w:p>
        </w:tc>
        <w:tc>
          <w:tcPr>
            <w:tcW w:type="dxa" w:w="4422"/>
          </w:tcPr>
          <w:p>
            <w:pPr>
              <w:spacing w:after="0" w:line="240" w:lineRule="auto"/>
            </w:pPr>
            <w:r>
              <w:rPr>
                <w:sz w:val="18"/>
              </w:rPr>
              <w:t>Today's time to produce a day-ahead plan, measured over at least 2 weeks</w:t>
            </w:r>
          </w:p>
        </w:tc>
        <w:tc>
          <w:tcPr>
            <w:tcW w:type="dxa" w:w="1389"/>
          </w:tcPr>
          <w:p>
            <w:pPr>
              <w:spacing w:after="0" w:line="240" w:lineRule="auto"/>
            </w:pPr>
            <w:r>
              <w:rPr>
                <w:sz w:val="18"/>
              </w:rPr>
              <w:t>Not measured</w:t>
            </w:r>
          </w:p>
        </w:tc>
        <w:tc>
          <w:tcPr>
            <w:tcW w:type="dxa" w:w="1276"/>
          </w:tcPr>
          <w:p>
            <w:pPr>
              <w:spacing w:after="0" w:line="240" w:lineRule="auto"/>
            </w:pPr>
            <w:r>
              <w:rPr>
                <w:sz w:val="18"/>
              </w:rPr>
              <w:t>Item 11</w:t>
            </w:r>
          </w:p>
        </w:tc>
      </w:tr>
      <w:tr>
        <w:trPr>
          <w:cantSplit/>
        </w:trPr>
        <w:tc>
          <w:tcPr>
            <w:tcW w:type="dxa" w:w="822"/>
          </w:tcPr>
          <w:p>
            <w:pPr>
              <w:spacing w:after="0" w:line="240" w:lineRule="auto"/>
            </w:pPr>
            <w:r>
              <w:rPr>
                <w:sz w:val="18"/>
              </w:rPr>
              <w:t>Exit</w:t>
            </w:r>
          </w:p>
        </w:tc>
        <w:tc>
          <w:tcPr>
            <w:tcW w:type="dxa" w:w="1729"/>
          </w:tcPr>
          <w:p>
            <w:pPr>
              <w:spacing w:after="0" w:line="240" w:lineRule="auto"/>
            </w:pPr>
            <w:r>
              <w:rPr>
                <w:sz w:val="18"/>
              </w:rPr>
              <w:t>Operator acceptance</w:t>
            </w:r>
          </w:p>
        </w:tc>
        <w:tc>
          <w:tcPr>
            <w:tcW w:type="dxa" w:w="4422"/>
          </w:tcPr>
          <w:p>
            <w:pPr>
              <w:spacing w:after="0" w:line="240" w:lineRule="auto"/>
            </w:pPr>
            <w:r>
              <w:rPr>
                <w:sz w:val="18"/>
              </w:rPr>
              <w:t>Shadow trial of at least 4 weeks (recommendation only, operator decides): at least 70% of recommended plans rated usable as they are or with minor edits</w:t>
            </w:r>
          </w:p>
        </w:tc>
        <w:tc>
          <w:tcPr>
            <w:tcW w:type="dxa" w:w="1389"/>
          </w:tcPr>
          <w:p>
            <w:pPr>
              <w:spacing w:after="0" w:line="240" w:lineRule="auto"/>
            </w:pPr>
            <w:r>
              <w:rPr>
                <w:sz w:val="18"/>
              </w:rPr>
              <w:t>Not tested</w:t>
            </w:r>
          </w:p>
        </w:tc>
        <w:tc>
          <w:tcPr>
            <w:tcW w:type="dxa" w:w="1276"/>
          </w:tcPr>
          <w:p>
            <w:pPr>
              <w:spacing w:after="0" w:line="240" w:lineRule="auto"/>
            </w:pPr>
            <w:r>
              <w:rPr>
                <w:sz w:val="18"/>
              </w:rPr>
              <w:t>POC exit criterion 3</w:t>
            </w:r>
          </w:p>
        </w:tc>
      </w:tr>
      <w:tr>
        <w:trPr>
          <w:cantSplit/>
        </w:trPr>
        <w:tc>
          <w:tcPr>
            <w:tcW w:type="dxa" w:w="822"/>
          </w:tcPr>
          <w:p>
            <w:pPr>
              <w:spacing w:after="0" w:line="240" w:lineRule="auto"/>
            </w:pPr>
            <w:r>
              <w:rPr>
                <w:sz w:val="18"/>
              </w:rPr>
              <w:t>Exit</w:t>
            </w:r>
          </w:p>
        </w:tc>
        <w:tc>
          <w:tcPr>
            <w:tcW w:type="dxa" w:w="1729"/>
          </w:tcPr>
          <w:p>
            <w:pPr>
              <w:spacing w:after="0" w:line="240" w:lineRule="auto"/>
            </w:pPr>
            <w:r>
              <w:rPr>
                <w:sz w:val="18"/>
              </w:rPr>
              <w:t>Faster planning</w:t>
            </w:r>
          </w:p>
        </w:tc>
        <w:tc>
          <w:tcPr>
            <w:tcW w:type="dxa" w:w="4422"/>
          </w:tcPr>
          <w:p>
            <w:pPr>
              <w:spacing w:after="0" w:line="240" w:lineRule="auto"/>
            </w:pPr>
            <w:r>
              <w:rPr>
                <w:sz w:val="18"/>
              </w:rPr>
              <w:t>Time per day-ahead plan at least 50% below the measured baseline</w:t>
            </w:r>
          </w:p>
        </w:tc>
        <w:tc>
          <w:tcPr>
            <w:tcW w:type="dxa" w:w="1389"/>
          </w:tcPr>
          <w:p>
            <w:pPr>
              <w:spacing w:after="0" w:line="240" w:lineRule="auto"/>
            </w:pPr>
            <w:r>
              <w:rPr>
                <w:sz w:val="18"/>
              </w:rPr>
              <w:t>Not measurable</w:t>
            </w:r>
          </w:p>
        </w:tc>
        <w:tc>
          <w:tcPr>
            <w:tcW w:type="dxa" w:w="1276"/>
          </w:tcPr>
          <w:p>
            <w:pPr>
              <w:spacing w:after="0" w:line="240" w:lineRule="auto"/>
            </w:pPr>
            <w:r>
              <w:rPr>
                <w:sz w:val="18"/>
              </w:rPr>
              <w:t>—</w:t>
            </w:r>
          </w:p>
        </w:tc>
      </w:tr>
      <w:tr>
        <w:trPr>
          <w:cantSplit/>
        </w:trPr>
        <w:tc>
          <w:tcPr>
            <w:tcW w:type="dxa" w:w="822"/>
          </w:tcPr>
          <w:p>
            <w:pPr>
              <w:spacing w:after="0" w:line="240" w:lineRule="auto"/>
            </w:pPr>
            <w:r>
              <w:rPr>
                <w:sz w:val="18"/>
              </w:rPr>
              <w:t>Exit</w:t>
            </w:r>
          </w:p>
        </w:tc>
        <w:tc>
          <w:tcPr>
            <w:tcW w:type="dxa" w:w="1729"/>
          </w:tcPr>
          <w:p>
            <w:pPr>
              <w:spacing w:after="0" w:line="240" w:lineRule="auto"/>
            </w:pPr>
            <w:r>
              <w:rPr>
                <w:sz w:val="18"/>
              </w:rPr>
              <w:t>Traceability</w:t>
            </w:r>
          </w:p>
        </w:tc>
        <w:tc>
          <w:tcPr>
            <w:tcW w:type="dxa" w:w="4422"/>
          </w:tcPr>
          <w:p>
            <w:pPr>
              <w:spacing w:after="0" w:line="240" w:lineRule="auto"/>
            </w:pPr>
            <w:r>
              <w:rPr>
                <w:sz w:val="18"/>
              </w:rPr>
              <w:t>Every dashboard figure shows its data version and assumptions; no plan shown that failed EPANET</w:t>
            </w:r>
          </w:p>
        </w:tc>
        <w:tc>
          <w:tcPr>
            <w:tcW w:type="dxa" w:w="1389"/>
          </w:tcPr>
          <w:p>
            <w:pPr>
              <w:spacing w:after="0" w:line="240" w:lineRule="auto"/>
            </w:pPr>
            <w:r>
              <w:rPr>
                <w:sz w:val="18"/>
              </w:rPr>
              <w:t>Partly met</w:t>
            </w:r>
          </w:p>
        </w:tc>
        <w:tc>
          <w:tcPr>
            <w:tcW w:type="dxa" w:w="1276"/>
          </w:tcPr>
          <w:p>
            <w:pPr>
              <w:spacing w:after="0" w:line="240" w:lineRule="auto"/>
            </w:pPr>
            <w:r>
              <w:rPr>
                <w:sz w:val="18"/>
              </w:rPr>
              <w:t>The POC dashboard has a data table behind every chart [RM]</w:t>
            </w:r>
          </w:p>
        </w:tc>
      </w:tr>
    </w:tbl>
    <w:p>
      <w:pPr>
        <w:spacing w:after="40"/>
      </w:pPr>
    </w:p>
    <w:p>
      <w:pPr>
        <w:pStyle w:val="Heading2"/>
        <w:keepNext/>
      </w:pPr>
      <w:r>
        <w:rPr/>
        <w:t>7.3 Decision today</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346"/>
        <w:gridCol w:w="1615"/>
        <w:gridCol w:w="6675"/>
      </w:tblGrid>
      <w:tr>
        <w:trPr>
          <w:cantSplit/>
          <w:tblHeader/>
        </w:trPr>
        <w:tc>
          <w:tcPr>
            <w:tcW w:type="dxa" w:w="1347"/>
            <w:shd w:val="clear" w:color="auto" w:fill="DCE6EF"/>
          </w:tcPr>
          <w:p>
            <w:pPr>
              <w:keepNext/>
              <w:spacing w:after="0" w:line="240" w:lineRule="auto"/>
            </w:pPr>
            <w:r>
              <w:rPr>
                <w:b/>
                <w:sz w:val="18"/>
              </w:rPr>
              <w:t>Phase</w:t>
            </w:r>
          </w:p>
        </w:tc>
        <w:tc>
          <w:tcPr>
            <w:tcW w:type="dxa" w:w="1616"/>
            <w:shd w:val="clear" w:color="auto" w:fill="DCE6EF"/>
          </w:tcPr>
          <w:p>
            <w:pPr>
              <w:keepNext/>
              <w:spacing w:after="0" w:line="240" w:lineRule="auto"/>
            </w:pPr>
            <w:r>
              <w:rPr>
                <w:b/>
                <w:sz w:val="18"/>
              </w:rPr>
              <w:t>Decision</w:t>
            </w:r>
          </w:p>
        </w:tc>
        <w:tc>
          <w:tcPr>
            <w:tcW w:type="dxa" w:w="6675"/>
            <w:shd w:val="clear" w:color="auto" w:fill="DCE6EF"/>
          </w:tcPr>
          <w:p>
            <w:pPr>
              <w:keepNext/>
              <w:spacing w:after="0" w:line="240" w:lineRule="auto"/>
            </w:pPr>
            <w:r>
              <w:rPr>
                <w:b/>
                <w:sz w:val="18"/>
              </w:rPr>
              <w:t>What moves it forward</w:t>
            </w:r>
          </w:p>
        </w:tc>
      </w:tr>
      <w:tr>
        <w:trPr>
          <w:cantSplit/>
        </w:trPr>
        <w:tc>
          <w:tcPr>
            <w:tcW w:type="dxa" w:w="1347"/>
          </w:tcPr>
          <w:p>
            <w:pPr>
              <w:spacing w:after="0" w:line="240" w:lineRule="auto"/>
            </w:pPr>
            <w:r>
              <w:rPr>
                <w:sz w:val="18"/>
              </w:rPr>
              <w:t>QW1 Demand forecast</w:t>
            </w:r>
          </w:p>
        </w:tc>
        <w:tc>
          <w:tcPr>
            <w:tcW w:type="dxa" w:w="1616"/>
          </w:tcPr>
          <w:p>
            <w:pPr>
              <w:spacing w:after="0" w:line="240" w:lineRule="auto"/>
            </w:pPr>
            <w:r>
              <w:rPr>
                <w:b/>
                <w:sz w:val="18"/>
              </w:rPr>
              <w:t>Conditional Go</w:t>
            </w:r>
          </w:p>
        </w:tc>
        <w:tc>
          <w:tcPr>
            <w:tcW w:type="dxa" w:w="6675"/>
          </w:tcPr>
          <w:p>
            <w:pPr>
              <w:spacing w:after="0" w:line="240" w:lineRule="auto"/>
            </w:pPr>
            <w:r>
              <w:rPr>
                <w:sz w:val="18"/>
              </w:rPr>
              <w:t>Start when items 4 and 8 arrive.</w:t>
            </w:r>
          </w:p>
        </w:tc>
      </w:tr>
      <w:tr>
        <w:trPr>
          <w:cantSplit/>
        </w:trPr>
        <w:tc>
          <w:tcPr>
            <w:tcW w:type="dxa" w:w="1347"/>
          </w:tcPr>
          <w:p>
            <w:pPr>
              <w:spacing w:after="0" w:line="240" w:lineRule="auto"/>
            </w:pPr>
            <w:r>
              <w:rPr>
                <w:sz w:val="18"/>
              </w:rPr>
              <w:t>QW2 Pump cost</w:t>
            </w:r>
          </w:p>
        </w:tc>
        <w:tc>
          <w:tcPr>
            <w:tcW w:type="dxa" w:w="1616"/>
          </w:tcPr>
          <w:p>
            <w:pPr>
              <w:spacing w:after="0" w:line="240" w:lineRule="auto"/>
            </w:pPr>
            <w:r>
              <w:rPr>
                <w:b/>
                <w:sz w:val="18"/>
              </w:rPr>
              <w:t>Hold</w:t>
            </w:r>
          </w:p>
        </w:tc>
        <w:tc>
          <w:tcPr>
            <w:tcW w:type="dxa" w:w="6675"/>
          </w:tcPr>
          <w:p>
            <w:pPr>
              <w:spacing w:after="0" w:line="240" w:lineRule="auto"/>
            </w:pPr>
            <w:r>
              <w:rPr>
                <w:sz w:val="18"/>
              </w:rPr>
              <w:t>QW2 entry gate: baseline cost per m³ from items 1–3, modelled kWh within ±10% of metered, and the head-tank operating range set. Then target tank levels and source choice first.</w:t>
            </w:r>
          </w:p>
        </w:tc>
      </w:tr>
      <w:tr>
        <w:trPr>
          <w:cantSplit/>
        </w:trPr>
        <w:tc>
          <w:tcPr>
            <w:tcW w:type="dxa" w:w="1347"/>
          </w:tcPr>
          <w:p>
            <w:pPr>
              <w:spacing w:after="0" w:line="240" w:lineRule="auto"/>
            </w:pPr>
            <w:r>
              <w:rPr>
                <w:sz w:val="18"/>
              </w:rPr>
              <w:t>QW3 EPANET</w:t>
            </w:r>
          </w:p>
        </w:tc>
        <w:tc>
          <w:tcPr>
            <w:tcW w:type="dxa" w:w="1616"/>
          </w:tcPr>
          <w:p>
            <w:pPr>
              <w:spacing w:after="0" w:line="240" w:lineRule="auto"/>
            </w:pPr>
            <w:r>
              <w:rPr>
                <w:b/>
                <w:sz w:val="18"/>
              </w:rPr>
              <w:t>Conditional Go</w:t>
            </w:r>
            <w:r>
              <w:rPr>
                <w:sz w:val="18"/>
              </w:rPr>
              <w:t xml:space="preserve"> for model confirmation and calibration</w:t>
            </w:r>
          </w:p>
        </w:tc>
        <w:tc>
          <w:tcPr>
            <w:tcW w:type="dxa" w:w="6675"/>
          </w:tcPr>
          <w:p>
            <w:pPr>
              <w:spacing w:after="0" w:line="240" w:lineRule="auto"/>
            </w:pPr>
            <w:r>
              <w:rPr>
                <w:sz w:val="18"/>
              </w:rPr>
              <w:t>Start when items 5 and 7 arrive; the full QW3 follows a successful calibration.</w:t>
            </w:r>
          </w:p>
        </w:tc>
      </w:tr>
      <w:tr>
        <w:trPr>
          <w:cantSplit/>
        </w:trPr>
        <w:tc>
          <w:tcPr>
            <w:tcW w:type="dxa" w:w="1347"/>
          </w:tcPr>
          <w:p>
            <w:pPr>
              <w:spacing w:after="0" w:line="240" w:lineRule="auto"/>
            </w:pPr>
            <w:r>
              <w:rPr>
                <w:sz w:val="18"/>
              </w:rPr>
              <w:t>QW4 Dashboard</w:t>
            </w:r>
          </w:p>
        </w:tc>
        <w:tc>
          <w:tcPr>
            <w:tcW w:type="dxa" w:w="1616"/>
          </w:tcPr>
          <w:p>
            <w:pPr>
              <w:spacing w:after="0" w:line="240" w:lineRule="auto"/>
            </w:pPr>
            <w:r>
              <w:rPr>
                <w:b/>
                <w:sz w:val="18"/>
              </w:rPr>
              <w:t>Hold</w:t>
            </w:r>
          </w:p>
        </w:tc>
        <w:tc>
          <w:tcPr>
            <w:tcW w:type="dxa" w:w="6675"/>
          </w:tcPr>
          <w:p>
            <w:pPr>
              <w:spacing w:after="0" w:line="240" w:lineRule="auto"/>
            </w:pPr>
            <w:r>
              <w:rPr>
                <w:sz w:val="18"/>
              </w:rPr>
              <w:t>QW1–QW3 exit gates.</w:t>
            </w:r>
          </w:p>
        </w:tc>
      </w:tr>
    </w:tbl>
    <w:p>
      <w:pPr>
        <w:spacing w:after="40"/>
      </w:pPr>
    </w:p>
    <w:p>
      <w:pPr>
        <w:pStyle w:val="Heading1"/>
        <w:keepNext/>
      </w:pPr>
      <w:r>
        <w:rPr/>
        <w:t>8. Pilot area: Rayong or Chonburi?</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384"/>
        <w:gridCol w:w="4604"/>
        <w:gridCol w:w="3647"/>
      </w:tblGrid>
      <w:tr>
        <w:trPr>
          <w:cantSplit/>
          <w:tblHeader/>
        </w:trPr>
        <w:tc>
          <w:tcPr>
            <w:tcW w:type="dxa" w:w="1385"/>
            <w:shd w:val="clear" w:color="auto" w:fill="DCE6EF"/>
          </w:tcPr>
          <w:p>
            <w:pPr>
              <w:keepNext/>
              <w:spacing w:after="0" w:line="240" w:lineRule="auto"/>
            </w:pPr>
            <w:r>
              <w:rPr>
                <w:b/>
                <w:sz w:val="18"/>
              </w:rPr>
              <w:t>Needed for</w:t>
            </w:r>
          </w:p>
        </w:tc>
        <w:tc>
          <w:tcPr>
            <w:tcW w:type="dxa" w:w="4605"/>
            <w:shd w:val="clear" w:color="auto" w:fill="DCE6EF"/>
          </w:tcPr>
          <w:p>
            <w:pPr>
              <w:keepNext/>
              <w:spacing w:after="0" w:line="240" w:lineRule="auto"/>
            </w:pPr>
            <w:r>
              <w:rPr>
                <w:b/>
                <w:sz w:val="18"/>
              </w:rPr>
              <w:t>Rayong (pipe model)</w:t>
            </w:r>
          </w:p>
        </w:tc>
        <w:tc>
          <w:tcPr>
            <w:tcW w:type="dxa" w:w="3648"/>
            <w:shd w:val="clear" w:color="auto" w:fill="DCE6EF"/>
          </w:tcPr>
          <w:p>
            <w:pPr>
              <w:keepNext/>
              <w:spacing w:after="0" w:line="240" w:lineRule="auto"/>
            </w:pPr>
            <w:r>
              <w:rPr>
                <w:b/>
                <w:sz w:val="18"/>
              </w:rPr>
              <w:t>Chonburi (Bang Phra reservoir data)</w:t>
            </w:r>
          </w:p>
        </w:tc>
      </w:tr>
      <w:tr>
        <w:trPr>
          <w:cantSplit/>
        </w:trPr>
        <w:tc>
          <w:tcPr>
            <w:tcW w:type="dxa" w:w="1385"/>
          </w:tcPr>
          <w:p>
            <w:pPr>
              <w:spacing w:after="0" w:line="240" w:lineRule="auto"/>
            </w:pPr>
            <w:r>
              <w:rPr>
                <w:sz w:val="18"/>
              </w:rPr>
              <w:t>QW3 hydraulic check</w:t>
            </w:r>
          </w:p>
        </w:tc>
        <w:tc>
          <w:tcPr>
            <w:tcW w:type="dxa" w:w="4605"/>
          </w:tcPr>
          <w:p>
            <w:pPr>
              <w:spacing w:after="0" w:line="240" w:lineRule="auto"/>
            </w:pPr>
            <w:r>
              <w:rPr>
                <w:sz w:val="18"/>
              </w:rPr>
              <w:t>EPANET model with 1,416 junctions, 18 pumps and 28 customer nodes [EP]</w:t>
            </w:r>
          </w:p>
        </w:tc>
        <w:tc>
          <w:tcPr>
            <w:tcW w:type="dxa" w:w="3648"/>
          </w:tcPr>
          <w:p>
            <w:pPr>
              <w:spacing w:after="0" w:line="240" w:lineRule="auto"/>
            </w:pPr>
            <w:r>
              <w:rPr>
                <w:sz w:val="18"/>
              </w:rPr>
              <w:t>No network model; one would have to be built</w:t>
            </w:r>
          </w:p>
        </w:tc>
      </w:tr>
      <w:tr>
        <w:trPr>
          <w:cantSplit/>
        </w:trPr>
        <w:tc>
          <w:tcPr>
            <w:tcW w:type="dxa" w:w="1385"/>
          </w:tcPr>
          <w:p>
            <w:pPr>
              <w:spacing w:after="0" w:line="240" w:lineRule="auto"/>
            </w:pPr>
            <w:r>
              <w:rPr>
                <w:sz w:val="18"/>
              </w:rPr>
              <w:t>QW2 pump cost</w:t>
            </w:r>
          </w:p>
        </w:tc>
        <w:tc>
          <w:tcPr>
            <w:tcW w:type="dxa" w:w="4605"/>
          </w:tcPr>
          <w:p>
            <w:pPr>
              <w:spacing w:after="0" w:line="240" w:lineRule="auto"/>
            </w:pPr>
            <w:r>
              <w:rPr>
                <w:sz w:val="18"/>
              </w:rPr>
              <w:t>Three pump stations modelled: NPL2, NPL3 and TM Pond [EP]</w:t>
            </w:r>
          </w:p>
        </w:tc>
        <w:tc>
          <w:tcPr>
            <w:tcW w:type="dxa" w:w="3648"/>
          </w:tcPr>
          <w:p>
            <w:pPr>
              <w:spacing w:after="0" w:line="240" w:lineRule="auto"/>
            </w:pPr>
            <w:r>
              <w:rPr>
                <w:sz w:val="18"/>
              </w:rPr>
              <w:t>No pump stations in the data</w:t>
            </w:r>
          </w:p>
        </w:tc>
      </w:tr>
      <w:tr>
        <w:trPr>
          <w:cantSplit/>
        </w:trPr>
        <w:tc>
          <w:tcPr>
            <w:tcW w:type="dxa" w:w="1385"/>
          </w:tcPr>
          <w:p>
            <w:pPr>
              <w:spacing w:after="0" w:line="240" w:lineRule="auto"/>
            </w:pPr>
            <w:r>
              <w:rPr>
                <w:sz w:val="18"/>
              </w:rPr>
              <w:t>QW1 demand forecast</w:t>
            </w:r>
          </w:p>
        </w:tc>
        <w:tc>
          <w:tcPr>
            <w:tcW w:type="dxa" w:w="4605"/>
          </w:tcPr>
          <w:p>
            <w:pPr>
              <w:spacing w:after="0" w:line="240" w:lineRule="auto"/>
            </w:pPr>
            <w:r>
              <w:rPr>
                <w:sz w:val="18"/>
              </w:rPr>
              <w:t>No demand history yet: one fixed demand per node [EP]</w:t>
            </w:r>
          </w:p>
        </w:tc>
        <w:tc>
          <w:tcPr>
            <w:tcW w:type="dxa" w:w="3648"/>
          </w:tcPr>
          <w:p>
            <w:pPr>
              <w:spacing w:after="0" w:line="240" w:lineRule="auto"/>
            </w:pPr>
            <w:r>
              <w:rPr>
                <w:sz w:val="18"/>
              </w:rPr>
              <w:t>35 years of daily draws by user [DQ]</w:t>
            </w:r>
          </w:p>
        </w:tc>
      </w:tr>
      <w:tr>
        <w:trPr>
          <w:cantSplit/>
        </w:trPr>
        <w:tc>
          <w:tcPr>
            <w:tcW w:type="dxa" w:w="1385"/>
          </w:tcPr>
          <w:p>
            <w:pPr>
              <w:spacing w:after="0" w:line="240" w:lineRule="auto"/>
            </w:pPr>
            <w:r>
              <w:rPr>
                <w:sz w:val="18"/>
              </w:rPr>
              <w:t>Supply side</w:t>
            </w:r>
          </w:p>
        </w:tc>
        <w:tc>
          <w:tcPr>
            <w:tcW w:type="dxa" w:w="4605"/>
          </w:tcPr>
          <w:p>
            <w:pPr>
              <w:spacing w:after="0" w:line="240" w:lineRule="auto"/>
            </w:pPr>
            <w:r>
              <w:rPr>
                <w:sz w:val="18"/>
              </w:rPr>
              <w:t>Source reservoir heads fixed in the model [RM]</w:t>
            </w:r>
          </w:p>
        </w:tc>
        <w:tc>
          <w:tcPr>
            <w:tcW w:type="dxa" w:w="3648"/>
          </w:tcPr>
          <w:p>
            <w:pPr>
              <w:spacing w:after="0" w:line="240" w:lineRule="auto"/>
            </w:pPr>
            <w:r>
              <w:rPr>
                <w:sz w:val="18"/>
              </w:rPr>
              <w:t>Daily water balance since 1990 and a 180-day shortage outlook [DQ, SO]</w:t>
            </w:r>
          </w:p>
        </w:tc>
      </w:tr>
      <w:tr>
        <w:trPr>
          <w:cantSplit/>
        </w:trPr>
        <w:tc>
          <w:tcPr>
            <w:tcW w:type="dxa" w:w="1385"/>
          </w:tcPr>
          <w:p>
            <w:pPr>
              <w:spacing w:after="0" w:line="240" w:lineRule="auto"/>
            </w:pPr>
            <w:r>
              <w:rPr>
                <w:sz w:val="18"/>
              </w:rPr>
              <w:t>Cost data</w:t>
            </w:r>
          </w:p>
        </w:tc>
        <w:tc>
          <w:tcPr>
            <w:tcW w:type="dxa" w:w="4605"/>
          </w:tcPr>
          <w:p>
            <w:pPr>
              <w:spacing w:after="0" w:line="240" w:lineRule="auto"/>
            </w:pPr>
            <w:r>
              <w:rPr>
                <w:sz w:val="18"/>
              </w:rPr>
              <w:t>None (assumed tariff)</w:t>
            </w:r>
          </w:p>
        </w:tc>
        <w:tc>
          <w:tcPr>
            <w:tcW w:type="dxa" w:w="3648"/>
          </w:tcPr>
          <w:p>
            <w:pPr>
              <w:spacing w:after="0" w:line="240" w:lineRule="auto"/>
            </w:pPr>
            <w:r>
              <w:rPr>
                <w:sz w:val="18"/>
              </w:rPr>
              <w:t>None</w:t>
            </w:r>
          </w:p>
        </w:tc>
      </w:tr>
      <w:tr>
        <w:trPr>
          <w:cantSplit/>
        </w:trPr>
        <w:tc>
          <w:tcPr>
            <w:tcW w:type="dxa" w:w="1385"/>
          </w:tcPr>
          <w:p>
            <w:pPr>
              <w:spacing w:after="0" w:line="240" w:lineRule="auto"/>
            </w:pPr>
            <w:r>
              <w:rPr>
                <w:sz w:val="18"/>
              </w:rPr>
              <w:t>What is missing</w:t>
            </w:r>
          </w:p>
        </w:tc>
        <w:tc>
          <w:tcPr>
            <w:tcW w:type="dxa" w:w="4605"/>
          </w:tcPr>
          <w:p>
            <w:pPr>
              <w:spacing w:after="0" w:line="240" w:lineRule="auto"/>
            </w:pPr>
            <w:r>
              <w:rPr>
                <w:sz w:val="18"/>
              </w:rPr>
              <w:t>Operating records: meters, SCADA, pump logs, bills, tariff, model confirmations (items 1–7)</w:t>
            </w:r>
          </w:p>
        </w:tc>
        <w:tc>
          <w:tcPr>
            <w:tcW w:type="dxa" w:w="3648"/>
          </w:tcPr>
          <w:p>
            <w:pPr>
              <w:spacing w:after="0" w:line="240" w:lineRule="auto"/>
            </w:pPr>
            <w:r>
              <w:rPr>
                <w:sz w:val="18"/>
              </w:rPr>
              <w:t>A hydraulic model of the supply network, plus items 1–6 for that network</w:t>
            </w:r>
          </w:p>
        </w:tc>
      </w:tr>
    </w:tbl>
    <w:p>
      <w:pPr>
        <w:spacing w:after="40"/>
      </w:pPr>
    </w:p>
    <w:p>
      <w:r>
        <w:rPr>
          <w:b/>
        </w:rPr>
        <w:t>Recommendation: Rayong.</w:t>
      </w:r>
      <w:r>
        <w:rPr/>
        <w:t xml:space="preserve"> The proposal's value case is a lower cost per m³ from plans that pass the hydraulic check [DECK 4]. That can only be shown where there is a pipe model with pump stations, and the Rayong model already points to two levers: lower tank levels and the choice of source (Section 6.6). Rayong's gaps are operating records that normally exist in day-to-day operation; Chonburi would first need a network model, and the proposal notes that phase durations depend on the hydraulic model being ready [DECK 2].</w:t>
      </w:r>
    </w:p>
    <w:p>
      <w:r>
        <w:rPr/>
        <w:t>Keep the Chonburi work in two roles:</w:t>
      </w:r>
    </w:p>
    <w:p>
      <w:pPr>
        <w:pStyle w:val="ListBullet"/>
      </w:pPr>
      <w:r>
        <w:rPr>
          <w:b/>
        </w:rPr>
        <w:t>Supply-risk module.</w:t>
      </w:r>
      <w:r>
        <w:rPr/>
        <w:t xml:space="preserve"> The Bang Phra outlook method can be reused for the reservoirs that feed the Rayong network once their daily water balance is shared (item 9).</w:t>
      </w:r>
    </w:p>
    <w:p>
      <w:pPr>
        <w:pStyle w:val="ListBullet"/>
      </w:pPr>
      <w:r>
        <w:rPr>
          <w:b/>
        </w:rPr>
        <w:t>QW1 fallback.</w:t>
      </w:r>
      <w:r>
        <w:rPr/>
        <w:t xml:space="preserve"> If Rayong customer-meter data is late, QW1 can continue on Bang Phra draws, where the forecasts are already tested.</w:t>
      </w:r>
    </w:p>
    <w:p>
      <w:pPr>
        <w:pStyle w:val="Heading1"/>
        <w:keepNext/>
      </w:pPr>
      <w:r>
        <w:rPr/>
        <w:t>9. Risks and mitigations</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481"/>
        <w:gridCol w:w="2742"/>
        <w:gridCol w:w="2039"/>
        <w:gridCol w:w="2984"/>
        <w:gridCol w:w="1388"/>
      </w:tblGrid>
      <w:tr>
        <w:trPr>
          <w:cantSplit/>
          <w:tblHeader/>
        </w:trPr>
        <w:tc>
          <w:tcPr>
            <w:tcW w:type="dxa" w:w="482"/>
            <w:shd w:val="clear" w:color="auto" w:fill="DCE6EF"/>
          </w:tcPr>
          <w:p>
            <w:pPr>
              <w:keepNext/>
              <w:spacing w:after="0" w:line="240" w:lineRule="auto"/>
            </w:pPr>
            <w:r>
              <w:rPr>
                <w:b/>
                <w:sz w:val="18"/>
              </w:rPr>
              <w:t>#</w:t>
            </w:r>
          </w:p>
        </w:tc>
        <w:tc>
          <w:tcPr>
            <w:tcW w:type="dxa" w:w="2743"/>
            <w:shd w:val="clear" w:color="auto" w:fill="DCE6EF"/>
          </w:tcPr>
          <w:p>
            <w:pPr>
              <w:keepNext/>
              <w:spacing w:after="0" w:line="240" w:lineRule="auto"/>
            </w:pPr>
            <w:r>
              <w:rPr>
                <w:b/>
                <w:sz w:val="18"/>
              </w:rPr>
              <w:t>Risk</w:t>
            </w:r>
          </w:p>
        </w:tc>
        <w:tc>
          <w:tcPr>
            <w:tcW w:type="dxa" w:w="2039"/>
            <w:shd w:val="clear" w:color="auto" w:fill="DCE6EF"/>
          </w:tcPr>
          <w:p>
            <w:pPr>
              <w:keepNext/>
              <w:spacing w:after="0" w:line="240" w:lineRule="auto"/>
            </w:pPr>
            <w:r>
              <w:rPr>
                <w:b/>
                <w:sz w:val="18"/>
              </w:rPr>
              <w:t>Effect</w:t>
            </w:r>
          </w:p>
        </w:tc>
        <w:tc>
          <w:tcPr>
            <w:tcW w:type="dxa" w:w="2985"/>
            <w:shd w:val="clear" w:color="auto" w:fill="DCE6EF"/>
          </w:tcPr>
          <w:p>
            <w:pPr>
              <w:keepNext/>
              <w:spacing w:after="0" w:line="240" w:lineRule="auto"/>
            </w:pPr>
            <w:r>
              <w:rPr>
                <w:b/>
                <w:sz w:val="18"/>
              </w:rPr>
              <w:t>Mitigation</w:t>
            </w:r>
          </w:p>
        </w:tc>
        <w:tc>
          <w:tcPr>
            <w:tcW w:type="dxa" w:w="1389"/>
            <w:shd w:val="clear" w:color="auto" w:fill="DCE6EF"/>
          </w:tcPr>
          <w:p>
            <w:pPr>
              <w:keepNext/>
              <w:spacing w:after="0" w:line="240" w:lineRule="auto"/>
            </w:pPr>
            <w:r>
              <w:rPr>
                <w:b/>
                <w:sz w:val="18"/>
              </w:rPr>
              <w:t>Owner</w:t>
            </w:r>
          </w:p>
        </w:tc>
      </w:tr>
      <w:tr>
        <w:trPr>
          <w:cantSplit/>
        </w:trPr>
        <w:tc>
          <w:tcPr>
            <w:tcW w:type="dxa" w:w="482"/>
          </w:tcPr>
          <w:p>
            <w:pPr>
              <w:spacing w:after="0" w:line="240" w:lineRule="auto"/>
            </w:pPr>
            <w:r>
              <w:rPr>
                <w:sz w:val="18"/>
              </w:rPr>
              <w:t>1</w:t>
            </w:r>
          </w:p>
        </w:tc>
        <w:tc>
          <w:tcPr>
            <w:tcW w:type="dxa" w:w="2743"/>
          </w:tcPr>
          <w:p>
            <w:pPr>
              <w:spacing w:after="0" w:line="240" w:lineRule="auto"/>
            </w:pPr>
            <w:r>
              <w:rPr>
                <w:sz w:val="18"/>
              </w:rPr>
              <w:t>No measured baseline: no bills, pump logs, tariff or customer meters</w:t>
            </w:r>
          </w:p>
        </w:tc>
        <w:tc>
          <w:tcPr>
            <w:tcW w:type="dxa" w:w="2039"/>
          </w:tcPr>
          <w:p>
            <w:pPr>
              <w:spacing w:after="0" w:line="240" w:lineRule="auto"/>
            </w:pPr>
            <w:r>
              <w:rPr>
                <w:sz w:val="18"/>
              </w:rPr>
              <w:t>Savings cannot be proven; the business case stays illustrative (A10)</w:t>
            </w:r>
          </w:p>
        </w:tc>
        <w:tc>
          <w:tcPr>
            <w:tcW w:type="dxa" w:w="2985"/>
          </w:tcPr>
          <w:p>
            <w:pPr>
              <w:spacing w:after="0" w:line="240" w:lineRule="auto"/>
            </w:pPr>
            <w:r>
              <w:rPr>
                <w:sz w:val="18"/>
              </w:rPr>
              <w:t>Data request with named owners (Section 5); QW2 entry gate</w:t>
            </w:r>
          </w:p>
        </w:tc>
        <w:tc>
          <w:tcPr>
            <w:tcW w:type="dxa" w:w="1389"/>
          </w:tcPr>
          <w:p>
            <w:pPr>
              <w:spacing w:after="0" w:line="240" w:lineRule="auto"/>
            </w:pPr>
            <w:r>
              <w:rPr>
                <w:sz w:val="18"/>
              </w:rPr>
              <w:t>Eastwater data owners</w:t>
            </w:r>
          </w:p>
        </w:tc>
      </w:tr>
      <w:tr>
        <w:trPr>
          <w:cantSplit/>
        </w:trPr>
        <w:tc>
          <w:tcPr>
            <w:tcW w:type="dxa" w:w="482"/>
          </w:tcPr>
          <w:p>
            <w:pPr>
              <w:spacing w:after="0" w:line="240" w:lineRule="auto"/>
            </w:pPr>
            <w:r>
              <w:rPr>
                <w:sz w:val="18"/>
              </w:rPr>
              <w:t>2</w:t>
            </w:r>
          </w:p>
        </w:tc>
        <w:tc>
          <w:tcPr>
            <w:tcW w:type="dxa" w:w="2743"/>
          </w:tcPr>
          <w:p>
            <w:pPr>
              <w:spacing w:after="0" w:line="240" w:lineRule="auto"/>
            </w:pPr>
            <w:r>
              <w:rPr>
                <w:sz w:val="18"/>
              </w:rPr>
              <w:t>Little room for off-peak savings: running more pumps off-peak raises the head they work against, so even 10 times today's tank storage (about 16,400 m³ [RM]) gives at most 0.9% [WI]</w:t>
            </w:r>
          </w:p>
        </w:tc>
        <w:tc>
          <w:tcPr>
            <w:tcW w:type="dxa" w:w="2039"/>
          </w:tcPr>
          <w:p>
            <w:pPr>
              <w:spacing w:after="0" w:line="240" w:lineRule="auto"/>
            </w:pPr>
            <w:r>
              <w:rPr>
                <w:sz w:val="18"/>
              </w:rPr>
              <w:t>The 3–5% illustration cannot come from off-peak shifting [RM, WI]</w:t>
            </w:r>
          </w:p>
        </w:tc>
        <w:tc>
          <w:tcPr>
            <w:tcW w:type="dxa" w:w="2985"/>
          </w:tcPr>
          <w:p>
            <w:pPr>
              <w:spacing w:after="0" w:line="240" w:lineRule="auto"/>
            </w:pPr>
            <w:r>
              <w:rPr>
                <w:sz w:val="18"/>
              </w:rPr>
              <w:t>Target the levers with model evidence: tank-level policy (7.5% of energy) and source choice [WI]; then pump efficiency and pump combinations (item 6), the peak-demand charge (item 3) and upstream storage (item 9). Re-base the business case before QW2.</w:t>
            </w:r>
          </w:p>
        </w:tc>
        <w:tc>
          <w:tcPr>
            <w:tcW w:type="dxa" w:w="1389"/>
          </w:tcPr>
          <w:p>
            <w:pPr>
              <w:spacing w:after="0" w:line="240" w:lineRule="auto"/>
            </w:pPr>
            <w:r>
              <w:rPr>
                <w:sz w:val="18"/>
              </w:rPr>
              <w:t>Project team</w:t>
            </w:r>
          </w:p>
        </w:tc>
      </w:tr>
      <w:tr>
        <w:trPr>
          <w:cantSplit/>
        </w:trPr>
        <w:tc>
          <w:tcPr>
            <w:tcW w:type="dxa" w:w="482"/>
          </w:tcPr>
          <w:p>
            <w:pPr>
              <w:spacing w:after="0" w:line="240" w:lineRule="auto"/>
            </w:pPr>
            <w:r>
              <w:rPr>
                <w:sz w:val="18"/>
              </w:rPr>
              <w:t>3</w:t>
            </w:r>
          </w:p>
        </w:tc>
        <w:tc>
          <w:tcPr>
            <w:tcW w:type="dxa" w:w="2743"/>
          </w:tcPr>
          <w:p>
            <w:pPr>
              <w:spacing w:after="0" w:line="240" w:lineRule="auto"/>
            </w:pPr>
            <w:r>
              <w:rPr>
                <w:sz w:val="18"/>
              </w:rPr>
              <w:t>The model differs from the real network: flat demand, no controls, nodes 71/678, TM Pond pumps 3–6, reservoir heads, four low-pressure customers, an assumed 75% efficiency for NPL3 and TM Pond [WI]</w:t>
            </w:r>
          </w:p>
        </w:tc>
        <w:tc>
          <w:tcPr>
            <w:tcW w:type="dxa" w:w="2039"/>
          </w:tcPr>
          <w:p>
            <w:pPr>
              <w:spacing w:after="0" w:line="240" w:lineRule="auto"/>
            </w:pPr>
            <w:r>
              <w:rPr>
                <w:sz w:val="18"/>
              </w:rPr>
              <w:t>Plans that pass in the model could fail in reality, or the reverse; the source ranking could change</w:t>
            </w:r>
          </w:p>
        </w:tc>
        <w:tc>
          <w:tcPr>
            <w:tcW w:type="dxa" w:w="2985"/>
          </w:tcPr>
          <w:p>
            <w:pPr>
              <w:spacing w:after="0" w:line="240" w:lineRule="auto"/>
            </w:pPr>
            <w:r>
              <w:rPr>
                <w:sz w:val="18"/>
              </w:rPr>
              <w:t>Model-owner review (item 7); SCADA calibration gate (QW3); pump tests (item 6)</w:t>
            </w:r>
          </w:p>
        </w:tc>
        <w:tc>
          <w:tcPr>
            <w:tcW w:type="dxa" w:w="1389"/>
          </w:tcPr>
          <w:p>
            <w:pPr>
              <w:spacing w:after="0" w:line="240" w:lineRule="auto"/>
            </w:pPr>
            <w:r>
              <w:rPr>
                <w:sz w:val="18"/>
              </w:rPr>
              <w:t>Hydraulic model owner</w:t>
            </w:r>
          </w:p>
        </w:tc>
      </w:tr>
      <w:tr>
        <w:trPr>
          <w:cantSplit/>
        </w:trPr>
        <w:tc>
          <w:tcPr>
            <w:tcW w:type="dxa" w:w="482"/>
          </w:tcPr>
          <w:p>
            <w:pPr>
              <w:spacing w:after="0" w:line="240" w:lineRule="auto"/>
            </w:pPr>
            <w:r>
              <w:rPr>
                <w:sz w:val="18"/>
              </w:rPr>
              <w:t>4</w:t>
            </w:r>
          </w:p>
        </w:tc>
        <w:tc>
          <w:tcPr>
            <w:tcW w:type="dxa" w:w="2743"/>
          </w:tcPr>
          <w:p>
            <w:pPr>
              <w:spacing w:after="0" w:line="240" w:lineRule="auto"/>
            </w:pPr>
            <w:r>
              <w:rPr>
                <w:sz w:val="18"/>
              </w:rPr>
              <w:t>The NPL3 zone is short of capacity, about 18,600 m³/day, if nodes 71/678 are real demand [PP, RM]</w:t>
            </w:r>
          </w:p>
        </w:tc>
        <w:tc>
          <w:tcPr>
            <w:tcW w:type="dxa" w:w="2039"/>
          </w:tcPr>
          <w:p>
            <w:pPr>
              <w:spacing w:after="0" w:line="240" w:lineRule="auto"/>
            </w:pPr>
            <w:r>
              <w:rPr>
                <w:sz w:val="18"/>
              </w:rPr>
              <w:t>Service risk that no schedule can fix</w:t>
            </w:r>
          </w:p>
        </w:tc>
        <w:tc>
          <w:tcPr>
            <w:tcW w:type="dxa" w:w="2985"/>
          </w:tcPr>
          <w:p>
            <w:pPr>
              <w:spacing w:after="0" w:line="240" w:lineRule="auto"/>
            </w:pPr>
            <w:r>
              <w:rPr>
                <w:sz w:val="18"/>
              </w:rPr>
              <w:t>Confirm with the model owner and SCADA (items 5, 7); if real, raise with Eastwater's capacity planning</w:t>
            </w:r>
          </w:p>
        </w:tc>
        <w:tc>
          <w:tcPr>
            <w:tcW w:type="dxa" w:w="1389"/>
          </w:tcPr>
          <w:p>
            <w:pPr>
              <w:spacing w:after="0" w:line="240" w:lineRule="auto"/>
            </w:pPr>
            <w:r>
              <w:rPr>
                <w:sz w:val="18"/>
              </w:rPr>
              <w:t>Eastwater operations</w:t>
            </w:r>
          </w:p>
        </w:tc>
      </w:tr>
      <w:tr>
        <w:trPr>
          <w:cantSplit/>
        </w:trPr>
        <w:tc>
          <w:tcPr>
            <w:tcW w:type="dxa" w:w="482"/>
          </w:tcPr>
          <w:p>
            <w:pPr>
              <w:spacing w:after="0" w:line="240" w:lineRule="auto"/>
            </w:pPr>
            <w:r>
              <w:rPr>
                <w:sz w:val="18"/>
              </w:rPr>
              <w:t>5</w:t>
            </w:r>
          </w:p>
        </w:tc>
        <w:tc>
          <w:tcPr>
            <w:tcW w:type="dxa" w:w="2743"/>
          </w:tcPr>
          <w:p>
            <w:pPr>
              <w:spacing w:after="0" w:line="240" w:lineRule="auto"/>
            </w:pPr>
            <w:r>
              <w:rPr>
                <w:sz w:val="18"/>
              </w:rPr>
              <w:t>The reservoir data and the pipe model cover different areas</w:t>
            </w:r>
          </w:p>
        </w:tc>
        <w:tc>
          <w:tcPr>
            <w:tcW w:type="dxa" w:w="2039"/>
          </w:tcPr>
          <w:p>
            <w:pPr>
              <w:spacing w:after="0" w:line="240" w:lineRule="auto"/>
            </w:pPr>
            <w:r>
              <w:rPr>
                <w:sz w:val="18"/>
              </w:rPr>
              <w:t>The full chain has not yet run on one area with real data</w:t>
            </w:r>
          </w:p>
        </w:tc>
        <w:tc>
          <w:tcPr>
            <w:tcW w:type="dxa" w:w="2985"/>
          </w:tcPr>
          <w:p>
            <w:pPr>
              <w:spacing w:after="0" w:line="240" w:lineRule="auto"/>
            </w:pPr>
            <w:r>
              <w:rPr>
                <w:sz w:val="18"/>
              </w:rPr>
              <w:t>Choose Rayong; collect its demand and supply data (items 4, 9)</w:t>
            </w:r>
          </w:p>
        </w:tc>
        <w:tc>
          <w:tcPr>
            <w:tcW w:type="dxa" w:w="1389"/>
          </w:tcPr>
          <w:p>
            <w:pPr>
              <w:spacing w:after="0" w:line="240" w:lineRule="auto"/>
            </w:pPr>
            <w:r>
              <w:rPr>
                <w:sz w:val="18"/>
              </w:rPr>
              <w:t>Steering committee</w:t>
            </w:r>
          </w:p>
        </w:tc>
      </w:tr>
      <w:tr>
        <w:trPr>
          <w:cantSplit/>
        </w:trPr>
        <w:tc>
          <w:tcPr>
            <w:tcW w:type="dxa" w:w="482"/>
          </w:tcPr>
          <w:p>
            <w:pPr>
              <w:spacing w:after="0" w:line="240" w:lineRule="auto"/>
            </w:pPr>
            <w:r>
              <w:rPr>
                <w:sz w:val="18"/>
              </w:rPr>
              <w:t>6</w:t>
            </w:r>
          </w:p>
        </w:tc>
        <w:tc>
          <w:tcPr>
            <w:tcW w:type="dxa" w:w="2743"/>
          </w:tcPr>
          <w:p>
            <w:pPr>
              <w:spacing w:after="0" w:line="240" w:lineRule="auto"/>
            </w:pPr>
            <w:r>
              <w:rPr>
                <w:sz w:val="18"/>
              </w:rPr>
              <w:t>AI demand forecasts do not beat simple methods [BT]</w:t>
            </w:r>
          </w:p>
        </w:tc>
        <w:tc>
          <w:tcPr>
            <w:tcW w:type="dxa" w:w="2039"/>
          </w:tcPr>
          <w:p>
            <w:pPr>
              <w:spacing w:after="0" w:line="240" w:lineRule="auto"/>
            </w:pPr>
            <w:r>
              <w:rPr>
                <w:sz w:val="18"/>
              </w:rPr>
              <w:t>Little forecasting value from AI</w:t>
            </w:r>
          </w:p>
        </w:tc>
        <w:tc>
          <w:tcPr>
            <w:tcW w:type="dxa" w:w="2985"/>
          </w:tcPr>
          <w:p>
            <w:pPr>
              <w:spacing w:after="0" w:line="240" w:lineRule="auto"/>
            </w:pPr>
            <w:r>
              <w:rPr>
                <w:sz w:val="18"/>
              </w:rPr>
              <w:t>Add known events (item 8); use the simple method where it wins (QW1 exit gate)</w:t>
            </w:r>
          </w:p>
        </w:tc>
        <w:tc>
          <w:tcPr>
            <w:tcW w:type="dxa" w:w="1389"/>
          </w:tcPr>
          <w:p>
            <w:pPr>
              <w:spacing w:after="0" w:line="240" w:lineRule="auto"/>
            </w:pPr>
            <w:r>
              <w:rPr>
                <w:sz w:val="18"/>
              </w:rPr>
              <w:t>Project team</w:t>
            </w:r>
          </w:p>
        </w:tc>
      </w:tr>
      <w:tr>
        <w:trPr>
          <w:cantSplit/>
        </w:trPr>
        <w:tc>
          <w:tcPr>
            <w:tcW w:type="dxa" w:w="482"/>
          </w:tcPr>
          <w:p>
            <w:pPr>
              <w:spacing w:after="0" w:line="240" w:lineRule="auto"/>
            </w:pPr>
            <w:r>
              <w:rPr>
                <w:sz w:val="18"/>
              </w:rPr>
              <w:t>7</w:t>
            </w:r>
          </w:p>
        </w:tc>
        <w:tc>
          <w:tcPr>
            <w:tcW w:type="dxa" w:w="2743"/>
          </w:tcPr>
          <w:p>
            <w:pPr>
              <w:spacing w:after="0" w:line="240" w:lineRule="auto"/>
            </w:pPr>
            <w:r>
              <w:rPr>
                <w:sz w:val="18"/>
              </w:rPr>
              <w:t>Supply outlook too confident (63–65% range coverage) and about 4 MCM pessimistic at 90 days [SO, RM]</w:t>
            </w:r>
          </w:p>
        </w:tc>
        <w:tc>
          <w:tcPr>
            <w:tcW w:type="dxa" w:w="2039"/>
          </w:tcPr>
          <w:p>
            <w:pPr>
              <w:spacing w:after="0" w:line="240" w:lineRule="auto"/>
            </w:pPr>
            <w:r>
              <w:rPr>
                <w:sz w:val="18"/>
              </w:rPr>
              <w:t>Shortage risk misjudged</w:t>
            </w:r>
          </w:p>
        </w:tc>
        <w:tc>
          <w:tcPr>
            <w:tcW w:type="dxa" w:w="2985"/>
          </w:tcPr>
          <w:p>
            <w:pPr>
              <w:spacing w:after="0" w:line="240" w:lineRule="auto"/>
            </w:pPr>
            <w:r>
              <w:rPr>
                <w:sz w:val="18"/>
              </w:rPr>
              <w:t>Add storage-dependent diversions and rainfall forecasts; recalibrate the ranges [RM]</w:t>
            </w:r>
          </w:p>
        </w:tc>
        <w:tc>
          <w:tcPr>
            <w:tcW w:type="dxa" w:w="1389"/>
          </w:tcPr>
          <w:p>
            <w:pPr>
              <w:spacing w:after="0" w:line="240" w:lineRule="auto"/>
            </w:pPr>
            <w:r>
              <w:rPr>
                <w:sz w:val="18"/>
              </w:rPr>
              <w:t>Project team</w:t>
            </w:r>
          </w:p>
        </w:tc>
      </w:tr>
      <w:tr>
        <w:trPr>
          <w:cantSplit/>
        </w:trPr>
        <w:tc>
          <w:tcPr>
            <w:tcW w:type="dxa" w:w="482"/>
          </w:tcPr>
          <w:p>
            <w:pPr>
              <w:spacing w:after="0" w:line="240" w:lineRule="auto"/>
            </w:pPr>
            <w:r>
              <w:rPr>
                <w:sz w:val="18"/>
              </w:rPr>
              <w:t>8</w:t>
            </w:r>
          </w:p>
        </w:tc>
        <w:tc>
          <w:tcPr>
            <w:tcW w:type="dxa" w:w="2743"/>
          </w:tcPr>
          <w:p>
            <w:pPr>
              <w:spacing w:after="0" w:line="240" w:lineRule="auto"/>
            </w:pPr>
            <w:r>
              <w:rPr>
                <w:sz w:val="18"/>
              </w:rPr>
              <w:t>Windows Smart App Control blocks the EPANET-MATLAB Toolkit on the analysis PC [RM]</w:t>
            </w:r>
          </w:p>
        </w:tc>
        <w:tc>
          <w:tcPr>
            <w:tcW w:type="dxa" w:w="2039"/>
          </w:tcPr>
          <w:p>
            <w:pPr>
              <w:spacing w:after="0" w:line="240" w:lineRule="auto"/>
            </w:pPr>
            <w:r>
              <w:rPr>
                <w:sz w:val="18"/>
              </w:rPr>
              <w:t>Tooling delays</w:t>
            </w:r>
          </w:p>
        </w:tc>
        <w:tc>
          <w:tcPr>
            <w:tcW w:type="dxa" w:w="2985"/>
          </w:tcPr>
          <w:p>
            <w:pPr>
              <w:spacing w:after="0" w:line="240" w:lineRule="auto"/>
            </w:pPr>
            <w:r>
              <w:rPr>
                <w:sz w:val="18"/>
              </w:rPr>
              <w:t xml:space="preserve">EPANET runs through the Python </w:t>
            </w:r>
            <w:r>
              <w:rPr>
                <w:rFonts w:ascii="Consolas" w:hAnsi="Consolas" w:cs="Leelawadee UI"/>
                <w:sz w:val="16"/>
              </w:rPr>
              <w:t>epyt</w:t>
            </w:r>
            <w:r>
              <w:rPr>
                <w:sz w:val="18"/>
              </w:rPr>
              <w:t xml:space="preserve"> package with identical results; no security setting was changed [RM]. Run production on a managed server.</w:t>
            </w:r>
          </w:p>
        </w:tc>
        <w:tc>
          <w:tcPr>
            <w:tcW w:type="dxa" w:w="1389"/>
          </w:tcPr>
          <w:p>
            <w:pPr>
              <w:spacing w:after="0" w:line="240" w:lineRule="auto"/>
            </w:pPr>
            <w:r>
              <w:rPr>
                <w:sz w:val="18"/>
              </w:rPr>
              <w:t>Project team, Eastwater IT</w:t>
            </w:r>
          </w:p>
        </w:tc>
      </w:tr>
      <w:tr>
        <w:trPr>
          <w:cantSplit/>
        </w:trPr>
        <w:tc>
          <w:tcPr>
            <w:tcW w:type="dxa" w:w="482"/>
          </w:tcPr>
          <w:p>
            <w:pPr>
              <w:spacing w:after="0" w:line="240" w:lineRule="auto"/>
            </w:pPr>
            <w:r>
              <w:rPr>
                <w:sz w:val="18"/>
              </w:rPr>
              <w:t>9</w:t>
            </w:r>
          </w:p>
        </w:tc>
        <w:tc>
          <w:tcPr>
            <w:tcW w:type="dxa" w:w="2743"/>
          </w:tcPr>
          <w:p>
            <w:pPr>
              <w:spacing w:after="0" w:line="240" w:lineRule="auto"/>
            </w:pPr>
            <w:r>
              <w:rPr>
                <w:sz w:val="18"/>
              </w:rPr>
              <w:t>Expectation of automatic control [DECK A12]</w:t>
            </w:r>
          </w:p>
        </w:tc>
        <w:tc>
          <w:tcPr>
            <w:tcW w:type="dxa" w:w="2039"/>
          </w:tcPr>
          <w:p>
            <w:pPr>
              <w:spacing w:after="0" w:line="240" w:lineRule="auto"/>
            </w:pPr>
            <w:r>
              <w:rPr>
                <w:sz w:val="18"/>
              </w:rPr>
              <w:t>Loss of trust; safety concerns</w:t>
            </w:r>
          </w:p>
        </w:tc>
        <w:tc>
          <w:tcPr>
            <w:tcW w:type="dxa" w:w="2985"/>
          </w:tcPr>
          <w:p>
            <w:pPr>
              <w:spacing w:after="0" w:line="240" w:lineRule="auto"/>
            </w:pPr>
            <w:r>
              <w:rPr>
                <w:sz w:val="18"/>
              </w:rPr>
              <w:t>Recommendation only; the operator approves; the existing SOP stays in force [DECK A10]</w:t>
            </w:r>
          </w:p>
        </w:tc>
        <w:tc>
          <w:tcPr>
            <w:tcW w:type="dxa" w:w="1389"/>
          </w:tcPr>
          <w:p>
            <w:pPr>
              <w:spacing w:after="0" w:line="240" w:lineRule="auto"/>
            </w:pPr>
            <w:r>
              <w:rPr>
                <w:sz w:val="18"/>
              </w:rPr>
              <w:t>Steering committee</w:t>
            </w:r>
          </w:p>
        </w:tc>
      </w:tr>
      <w:tr>
        <w:trPr>
          <w:cantSplit/>
        </w:trPr>
        <w:tc>
          <w:tcPr>
            <w:tcW w:type="dxa" w:w="482"/>
          </w:tcPr>
          <w:p>
            <w:pPr>
              <w:spacing w:after="0" w:line="240" w:lineRule="auto"/>
            </w:pPr>
            <w:r>
              <w:rPr>
                <w:sz w:val="18"/>
              </w:rPr>
              <w:t>10</w:t>
            </w:r>
          </w:p>
        </w:tc>
        <w:tc>
          <w:tcPr>
            <w:tcW w:type="dxa" w:w="2743"/>
          </w:tcPr>
          <w:p>
            <w:pPr>
              <w:spacing w:after="0" w:line="240" w:lineRule="auto"/>
            </w:pPr>
            <w:r>
              <w:rPr>
                <w:sz w:val="18"/>
              </w:rPr>
              <w:t>Holding the head tanks lower leaves less water in reserve [WI]</w:t>
            </w:r>
          </w:p>
        </w:tc>
        <w:tc>
          <w:tcPr>
            <w:tcW w:type="dxa" w:w="2039"/>
          </w:tcPr>
          <w:p>
            <w:pPr>
              <w:spacing w:after="0" w:line="240" w:lineRule="auto"/>
            </w:pPr>
            <w:r>
              <w:rPr>
                <w:sz w:val="18"/>
              </w:rPr>
              <w:t>Less buffer for pump trips, power cuts or demand peaks; customers drop below their pressure floors if NPL3_HT falls under about 35% full (55% with no TM Pond pump running) [WI]</w:t>
            </w:r>
          </w:p>
        </w:tc>
        <w:tc>
          <w:tcPr>
            <w:tcW w:type="dxa" w:w="2985"/>
          </w:tcPr>
          <w:p>
            <w:pPr>
              <w:spacing w:after="0" w:line="240" w:lineRule="auto"/>
            </w:pPr>
            <w:r>
              <w:rPr>
                <w:sz w:val="18"/>
              </w:rPr>
              <w:t>Operations set the minimum levels (item 7); plans keep a margin above them; trial in shadow mode against SCADA tank levels (item 5); keep a higher-reserve option such as Plan B</w:t>
            </w:r>
          </w:p>
        </w:tc>
        <w:tc>
          <w:tcPr>
            <w:tcW w:type="dxa" w:w="1389"/>
          </w:tcPr>
          <w:p>
            <w:pPr>
              <w:spacing w:after="0" w:line="240" w:lineRule="auto"/>
            </w:pPr>
            <w:r>
              <w:rPr>
                <w:sz w:val="18"/>
              </w:rPr>
              <w:t>Eastwater operations</w:t>
            </w:r>
          </w:p>
        </w:tc>
      </w:tr>
      <w:tr>
        <w:trPr>
          <w:cantSplit/>
        </w:trPr>
        <w:tc>
          <w:tcPr>
            <w:tcW w:type="dxa" w:w="482"/>
          </w:tcPr>
          <w:p>
            <w:pPr>
              <w:spacing w:after="0" w:line="240" w:lineRule="auto"/>
            </w:pPr>
            <w:r>
              <w:rPr>
                <w:sz w:val="18"/>
              </w:rPr>
              <w:t>11</w:t>
            </w:r>
          </w:p>
        </w:tc>
        <w:tc>
          <w:tcPr>
            <w:tcW w:type="dxa" w:w="2743"/>
          </w:tcPr>
          <w:p>
            <w:pPr>
              <w:spacing w:after="0" w:line="240" w:lineRule="auto"/>
            </w:pPr>
            <w:r>
              <w:rPr>
                <w:sz w:val="18"/>
              </w:rPr>
              <w:t>Confidential data in this report and the dashboard [RM]</w:t>
            </w:r>
          </w:p>
        </w:tc>
        <w:tc>
          <w:tcPr>
            <w:tcW w:type="dxa" w:w="2039"/>
          </w:tcPr>
          <w:p>
            <w:pPr>
              <w:spacing w:after="0" w:line="240" w:lineRule="auto"/>
            </w:pPr>
            <w:r>
              <w:rPr>
                <w:sz w:val="18"/>
              </w:rPr>
              <w:t>NDA breach if shared widely</w:t>
            </w:r>
          </w:p>
        </w:tc>
        <w:tc>
          <w:tcPr>
            <w:tcW w:type="dxa" w:w="2985"/>
          </w:tcPr>
          <w:p>
            <w:pPr>
              <w:spacing w:after="0" w:line="240" w:lineRule="auto"/>
            </w:pPr>
            <w:r>
              <w:rPr>
                <w:sz w:val="18"/>
              </w:rPr>
              <w:t>Share only under NDA terms; publish nothing online</w:t>
            </w:r>
          </w:p>
        </w:tc>
        <w:tc>
          <w:tcPr>
            <w:tcW w:type="dxa" w:w="1389"/>
          </w:tcPr>
          <w:p>
            <w:pPr>
              <w:spacing w:after="0" w:line="240" w:lineRule="auto"/>
            </w:pPr>
            <w:r>
              <w:rPr>
                <w:sz w:val="18"/>
              </w:rPr>
              <w:t>All</w:t>
            </w:r>
          </w:p>
        </w:tc>
      </w:tr>
    </w:tbl>
    <w:p>
      <w:pPr>
        <w:spacing w:after="40"/>
      </w:pPr>
    </w:p>
    <w:p>
      <w:pPr>
        <w:pStyle w:val="Heading1"/>
      </w:pPr>
      <w:r>
        <w:rPr/>
        <w:t>10. Next steps</w:t>
      </w:r>
    </w:p>
    <w:p>
      <w:pPr>
        <w:tabs>
          <w:tab w:pos="369" w:val="left"/>
        </w:tabs>
        <w:spacing w:after="60"/>
        <w:ind w:left="369" w:hanging="369"/>
      </w:pPr>
      <w:r>
        <w:t>1.</w:t>
        <w:tab/>
      </w:r>
      <w:r>
        <w:rPr>
          <w:b/>
        </w:rPr>
        <w:t>Eastwater:</w:t>
      </w:r>
      <w:r>
        <w:rPr/>
        <w:t xml:space="preserve"> confirm Rayong as the pilot area and name the data owners [DECK A12, A13].</w:t>
      </w:r>
    </w:p>
    <w:p>
      <w:pPr>
        <w:tabs>
          <w:tab w:pos="369" w:val="left"/>
        </w:tabs>
        <w:spacing w:after="60"/>
        <w:ind w:left="369" w:hanging="369"/>
      </w:pPr>
      <w:r>
        <w:t>2.</w:t>
        <w:tab/>
      </w:r>
      <w:r>
        <w:rPr>
          <w:b/>
        </w:rPr>
        <w:t>Data owners:</w:t>
      </w:r>
      <w:r>
        <w:rPr/>
        <w:t xml:space="preserve"> deliver items 1–7, then items 8–11 (Section 5).</w:t>
      </w:r>
    </w:p>
    <w:p>
      <w:pPr>
        <w:tabs>
          <w:tab w:pos="369" w:val="left"/>
        </w:tabs>
        <w:spacing w:after="60"/>
        <w:ind w:left="369" w:hanging="369"/>
      </w:pPr>
      <w:r>
        <w:t>3.</w:t>
        <w:tab/>
      </w:r>
      <w:r>
        <w:rPr>
          <w:b/>
        </w:rPr>
        <w:t>Hydraulic-model owner and operations:</w:t>
      </w:r>
      <w:r>
        <w:rPr/>
        <w:t xml:space="preserve"> answer the model questions and set the minimum and maximum operating level of each head tank (item 7); the lower-tank saving depends on these levels.</w:t>
      </w:r>
    </w:p>
    <w:p>
      <w:pPr>
        <w:tabs>
          <w:tab w:pos="369" w:val="left"/>
        </w:tabs>
        <w:spacing w:after="60"/>
        <w:ind w:left="369" w:hanging="369"/>
      </w:pPr>
      <w:r>
        <w:t>4.</w:t>
        <w:tab/>
      </w:r>
      <w:r>
        <w:rPr>
          <w:b/>
        </w:rPr>
        <w:t>Mechanical / maintenance engineering:</w:t>
      </w:r>
      <w:r>
        <w:rPr/>
        <w:t xml:space="preserve"> test the NPL3 and TM Pond pumps (flow, head, power) to replace the assumed 75% efficiency behind the source ranking (item 6) [WI].</w:t>
      </w:r>
    </w:p>
    <w:p>
      <w:pPr>
        <w:tabs>
          <w:tab w:pos="369" w:val="left"/>
        </w:tabs>
        <w:spacing w:after="60"/>
        <w:ind w:left="369" w:hanging="369"/>
      </w:pPr>
      <w:r>
        <w:t>5.</w:t>
        <w:tab/>
      </w:r>
      <w:r>
        <w:rPr>
          <w:b/>
        </w:rPr>
        <w:t>Joint workshop:</w:t>
      </w:r>
      <w:r>
        <w:rPr/>
        <w:t xml:space="preserve"> agree the KPI thresholds (Section 7) and the planning horizons.</w:t>
      </w:r>
    </w:p>
    <w:p>
      <w:pPr>
        <w:tabs>
          <w:tab w:pos="369" w:val="left"/>
        </w:tabs>
        <w:spacing w:after="60"/>
        <w:ind w:left="369" w:hanging="369"/>
      </w:pPr>
      <w:r>
        <w:t>6.</w:t>
        <w:tab/>
      </w:r>
      <w:r>
        <w:rPr>
          <w:b/>
        </w:rPr>
        <w:t>Project team:</w:t>
      </w:r>
      <w:r>
        <w:rPr/>
        <w:t xml:space="preserve"> compute today's cost per m³, reconcile modelled with metered kWh, and replay at least 30 real days to reach the QW2 Go/No-Go.</w:t>
      </w:r>
    </w:p>
    <w:p>
      <w:pPr>
        <w:tabs>
          <w:tab w:pos="369" w:val="left"/>
        </w:tabs>
        <w:spacing w:after="60"/>
        <w:ind w:left="369" w:hanging="369"/>
      </w:pPr>
      <w:r>
        <w:t>7.</w:t>
        <w:tab/>
      </w:r>
      <w:r>
        <w:rPr>
          <w:b/>
        </w:rPr>
        <w:t>Operators and project team:</w:t>
      </w:r>
      <w:r>
        <w:rPr/>
        <w:t xml:space="preserve"> walk through the demo recommendation and dashboard (POC exit criterion 3).</w:t>
      </w:r>
    </w:p>
    <w:p>
      <w:r>
        <w:br w:type="page"/>
      </w:r>
    </w:p>
    <w:p>
      <w:pPr>
        <w:pStyle w:val="Heading1"/>
      </w:pPr>
      <w:r>
        <w:rPr/>
        <w:t>Appendix A. Sources</w:t>
      </w:r>
    </w:p>
    <w:p>
      <w:pPr>
        <w:keepNext/>
      </w:pPr>
      <w:r>
        <w:rPr/>
        <w:t xml:space="preserve">Repository files are at commit </w:t>
      </w:r>
      <w:r>
        <w:rPr>
          <w:rFonts w:ascii="Consolas" w:hAnsi="Consolas" w:cs="Leelawadee UI"/>
          <w:sz w:val="19"/>
        </w:rPr>
        <w:t>0cb9d3d</w:t>
      </w:r>
      <w:r>
        <w:rPr/>
        <w:t>, except the storage what-if files (WI, WK), which are committed with this report; paths are relative to the repository root.</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708"/>
        <w:gridCol w:w="3481"/>
        <w:gridCol w:w="5447"/>
      </w:tblGrid>
      <w:tr>
        <w:trPr>
          <w:cantSplit/>
          <w:tblHeader/>
        </w:trPr>
        <w:tc>
          <w:tcPr>
            <w:tcW w:type="dxa" w:w="709"/>
            <w:shd w:val="clear" w:color="auto" w:fill="DCE6EF"/>
          </w:tcPr>
          <w:p>
            <w:pPr>
              <w:keepNext/>
              <w:spacing w:after="0" w:line="240" w:lineRule="auto"/>
            </w:pPr>
            <w:r>
              <w:rPr>
                <w:b/>
                <w:sz w:val="18"/>
              </w:rPr>
              <w:t>Tag</w:t>
            </w:r>
          </w:p>
        </w:tc>
        <w:tc>
          <w:tcPr>
            <w:tcW w:type="dxa" w:w="3481"/>
            <w:shd w:val="clear" w:color="auto" w:fill="DCE6EF"/>
          </w:tcPr>
          <w:p>
            <w:pPr>
              <w:keepNext/>
              <w:spacing w:after="0" w:line="240" w:lineRule="auto"/>
            </w:pPr>
            <w:r>
              <w:rPr>
                <w:b/>
                <w:sz w:val="18"/>
              </w:rPr>
              <w:t>File</w:t>
            </w:r>
          </w:p>
        </w:tc>
        <w:tc>
          <w:tcPr>
            <w:tcW w:type="dxa" w:w="5448"/>
            <w:shd w:val="clear" w:color="auto" w:fill="DCE6EF"/>
          </w:tcPr>
          <w:p>
            <w:pPr>
              <w:keepNext/>
              <w:spacing w:after="0" w:line="240" w:lineRule="auto"/>
            </w:pPr>
            <w:r>
              <w:rPr>
                <w:b/>
                <w:sz w:val="18"/>
              </w:rPr>
              <w:t>What it contains</w:t>
            </w:r>
          </w:p>
        </w:tc>
      </w:tr>
      <w:tr>
        <w:trPr>
          <w:cantSplit/>
        </w:trPr>
        <w:tc>
          <w:tcPr>
            <w:tcW w:type="dxa" w:w="709"/>
          </w:tcPr>
          <w:p>
            <w:pPr>
              <w:spacing w:after="0" w:line="240" w:lineRule="auto"/>
            </w:pPr>
            <w:r>
              <w:rPr>
                <w:sz w:val="18"/>
              </w:rPr>
              <w:t>DECK</w:t>
            </w:r>
          </w:p>
        </w:tc>
        <w:tc>
          <w:tcPr>
            <w:tcW w:type="dxa" w:w="3481"/>
          </w:tcPr>
          <w:p>
            <w:pPr>
              <w:spacing w:after="0" w:line="240" w:lineRule="auto"/>
            </w:pPr>
            <w:r>
              <w:rPr>
                <w:rFonts w:ascii="Consolas" w:hAnsi="Consolas" w:cs="Leelawadee UI"/>
                <w:sz w:val="16"/>
              </w:rPr>
              <w:t>AI_Demand_Supply_Optimization_v3.pdf</w:t>
            </w:r>
            <w:r>
              <w:rPr>
                <w:sz w:val="18"/>
              </w:rPr>
              <w:t xml:space="preserve"> (proposal deck, Thai; kept outside the repository)</w:t>
            </w:r>
          </w:p>
        </w:tc>
        <w:tc>
          <w:tcPr>
            <w:tcW w:type="dxa" w:w="5448"/>
          </w:tcPr>
          <w:p>
            <w:pPr>
              <w:spacing w:after="0" w:line="240" w:lineRule="auto"/>
            </w:pPr>
            <w:r>
              <w:rPr>
                <w:sz w:val="18"/>
              </w:rPr>
              <w:t>Numbers after the tag are the printed slide numbers (2–5); A2–A13 are the appendix slide codes</w:t>
            </w:r>
          </w:p>
        </w:tc>
      </w:tr>
      <w:tr>
        <w:trPr>
          <w:cantSplit/>
        </w:trPr>
        <w:tc>
          <w:tcPr>
            <w:tcW w:type="dxa" w:w="709"/>
          </w:tcPr>
          <w:p>
            <w:pPr>
              <w:spacing w:after="0" w:line="240" w:lineRule="auto"/>
            </w:pPr>
            <w:r>
              <w:rPr>
                <w:sz w:val="18"/>
              </w:rPr>
              <w:t>RM</w:t>
            </w:r>
          </w:p>
        </w:tc>
        <w:tc>
          <w:tcPr>
            <w:tcW w:type="dxa" w:w="3481"/>
          </w:tcPr>
          <w:p>
            <w:pPr>
              <w:spacing w:after="0" w:line="240" w:lineRule="auto"/>
            </w:pPr>
            <w:r>
              <w:rPr>
                <w:rFonts w:ascii="Consolas" w:hAnsi="Consolas" w:cs="Leelawadee UI"/>
                <w:sz w:val="16"/>
              </w:rPr>
              <w:t>README.md</w:t>
            </w:r>
          </w:p>
        </w:tc>
        <w:tc>
          <w:tcPr>
            <w:tcW w:type="dxa" w:w="5448"/>
          </w:tcPr>
          <w:p>
            <w:pPr>
              <w:spacing w:after="0" w:line="240" w:lineRule="auto"/>
            </w:pPr>
            <w:r>
              <w:rPr>
                <w:sz w:val="18"/>
              </w:rPr>
              <w:t>Overview, findings, assumptions</w:t>
            </w:r>
          </w:p>
        </w:tc>
      </w:tr>
      <w:tr>
        <w:trPr>
          <w:cantSplit/>
        </w:trPr>
        <w:tc>
          <w:tcPr>
            <w:tcW w:type="dxa" w:w="709"/>
          </w:tcPr>
          <w:p>
            <w:pPr>
              <w:spacing w:after="0" w:line="240" w:lineRule="auto"/>
            </w:pPr>
            <w:r>
              <w:rPr>
                <w:sz w:val="18"/>
              </w:rPr>
              <w:t>DQ</w:t>
            </w:r>
          </w:p>
        </w:tc>
        <w:tc>
          <w:tcPr>
            <w:tcW w:type="dxa" w:w="3481"/>
          </w:tcPr>
          <w:p>
            <w:pPr>
              <w:spacing w:after="0" w:line="240" w:lineRule="auto"/>
            </w:pPr>
            <w:r>
              <w:rPr>
                <w:rFonts w:ascii="Consolas" w:hAnsi="Consolas" w:cs="Leelawadee UI"/>
                <w:sz w:val="16"/>
              </w:rPr>
              <w:t>reports/data_quality_bangphra.md</w:t>
            </w:r>
          </w:p>
        </w:tc>
        <w:tc>
          <w:tcPr>
            <w:tcW w:type="dxa" w:w="5448"/>
          </w:tcPr>
          <w:p>
            <w:pPr>
              <w:spacing w:after="0" w:line="240" w:lineRule="auto"/>
            </w:pPr>
            <w:r>
              <w:rPr>
                <w:sz w:val="18"/>
              </w:rPr>
              <w:t>Data cleaning and checks; allocation plan vs actual</w:t>
            </w:r>
          </w:p>
        </w:tc>
      </w:tr>
      <w:tr>
        <w:trPr>
          <w:cantSplit/>
        </w:trPr>
        <w:tc>
          <w:tcPr>
            <w:tcW w:type="dxa" w:w="709"/>
          </w:tcPr>
          <w:p>
            <w:pPr>
              <w:spacing w:after="0" w:line="240" w:lineRule="auto"/>
            </w:pPr>
            <w:r>
              <w:rPr>
                <w:sz w:val="18"/>
              </w:rPr>
              <w:t>BT</w:t>
            </w:r>
          </w:p>
        </w:tc>
        <w:tc>
          <w:tcPr>
            <w:tcW w:type="dxa" w:w="3481"/>
          </w:tcPr>
          <w:p>
            <w:pPr>
              <w:spacing w:after="0" w:line="240" w:lineRule="auto"/>
            </w:pPr>
            <w:r>
              <w:rPr>
                <w:rFonts w:ascii="Consolas" w:hAnsi="Consolas" w:cs="Leelawadee UI"/>
                <w:sz w:val="16"/>
              </w:rPr>
              <w:t>reports/matlab/backtest_comparison.md</w:t>
            </w:r>
          </w:p>
        </w:tc>
        <w:tc>
          <w:tcPr>
            <w:tcW w:type="dxa" w:w="5448"/>
          </w:tcPr>
          <w:p>
            <w:pPr>
              <w:spacing w:after="0" w:line="240" w:lineRule="auto"/>
            </w:pPr>
            <w:r>
              <w:rPr>
                <w:sz w:val="18"/>
              </w:rPr>
              <w:t>Forecast accuracy, MATLAB vs Python</w:t>
            </w:r>
          </w:p>
        </w:tc>
      </w:tr>
      <w:tr>
        <w:trPr>
          <w:cantSplit/>
        </w:trPr>
        <w:tc>
          <w:tcPr>
            <w:tcW w:type="dxa" w:w="709"/>
          </w:tcPr>
          <w:p>
            <w:pPr>
              <w:spacing w:after="0" w:line="240" w:lineRule="auto"/>
            </w:pPr>
            <w:r>
              <w:rPr>
                <w:sz w:val="18"/>
              </w:rPr>
              <w:t>BM</w:t>
            </w:r>
          </w:p>
        </w:tc>
        <w:tc>
          <w:tcPr>
            <w:tcW w:type="dxa" w:w="3481"/>
          </w:tcPr>
          <w:p>
            <w:pPr>
              <w:spacing w:after="0" w:line="240" w:lineRule="auto"/>
            </w:pPr>
            <w:r>
              <w:rPr>
                <w:rFonts w:ascii="Consolas" w:hAnsi="Consolas" w:cs="Leelawadee UI"/>
                <w:sz w:val="16"/>
              </w:rPr>
              <w:t>reports/matlab/backtest_metrics_matlab.csv</w:t>
            </w:r>
          </w:p>
        </w:tc>
        <w:tc>
          <w:tcPr>
            <w:tcW w:type="dxa" w:w="5448"/>
          </w:tcPr>
          <w:p>
            <w:pPr>
              <w:spacing w:after="0" w:line="240" w:lineRule="auto"/>
            </w:pPr>
            <w:r>
              <w:rPr>
                <w:sz w:val="18"/>
              </w:rPr>
              <w:t>Full forecast metrics, including forecast counts</w:t>
            </w:r>
          </w:p>
        </w:tc>
      </w:tr>
      <w:tr>
        <w:trPr>
          <w:cantSplit/>
        </w:trPr>
        <w:tc>
          <w:tcPr>
            <w:tcW w:type="dxa" w:w="709"/>
          </w:tcPr>
          <w:p>
            <w:pPr>
              <w:spacing w:after="0" w:line="240" w:lineRule="auto"/>
            </w:pPr>
            <w:r>
              <w:rPr>
                <w:sz w:val="18"/>
              </w:rPr>
              <w:t>SO</w:t>
            </w:r>
          </w:p>
        </w:tc>
        <w:tc>
          <w:tcPr>
            <w:tcW w:type="dxa" w:w="3481"/>
          </w:tcPr>
          <w:p>
            <w:pPr>
              <w:spacing w:after="0" w:line="240" w:lineRule="auto"/>
            </w:pPr>
            <w:r>
              <w:rPr>
                <w:rFonts w:ascii="Consolas" w:hAnsi="Consolas" w:cs="Leelawadee UI"/>
                <w:sz w:val="16"/>
              </w:rPr>
              <w:t>reports/matlab/supply_outlook.md</w:t>
            </w:r>
          </w:p>
        </w:tc>
        <w:tc>
          <w:tcPr>
            <w:tcW w:type="dxa" w:w="5448"/>
          </w:tcPr>
          <w:p>
            <w:pPr>
              <w:spacing w:after="0" w:line="240" w:lineRule="auto"/>
            </w:pPr>
            <w:r>
              <w:rPr>
                <w:sz w:val="18"/>
              </w:rPr>
              <w:t>Bang Phra shortage risk outlook and its backtest</w:t>
            </w:r>
          </w:p>
        </w:tc>
      </w:tr>
      <w:tr>
        <w:trPr>
          <w:cantSplit/>
        </w:trPr>
        <w:tc>
          <w:tcPr>
            <w:tcW w:type="dxa" w:w="709"/>
          </w:tcPr>
          <w:p>
            <w:pPr>
              <w:spacing w:after="0" w:line="240" w:lineRule="auto"/>
            </w:pPr>
            <w:r>
              <w:rPr>
                <w:sz w:val="18"/>
              </w:rPr>
              <w:t>EP</w:t>
            </w:r>
          </w:p>
        </w:tc>
        <w:tc>
          <w:tcPr>
            <w:tcW w:type="dxa" w:w="3481"/>
          </w:tcPr>
          <w:p>
            <w:pPr>
              <w:spacing w:after="0" w:line="240" w:lineRule="auto"/>
            </w:pPr>
            <w:r>
              <w:rPr>
                <w:rFonts w:ascii="Consolas" w:hAnsi="Consolas" w:cs="Leelawadee UI"/>
                <w:sz w:val="16"/>
              </w:rPr>
              <w:t>reports/epanet_check.md</w:t>
            </w:r>
          </w:p>
        </w:tc>
        <w:tc>
          <w:tcPr>
            <w:tcW w:type="dxa" w:w="5448"/>
          </w:tcPr>
          <w:p>
            <w:pPr>
              <w:spacing w:after="0" w:line="240" w:lineRule="auto"/>
            </w:pPr>
            <w:r>
              <w:rPr>
                <w:sz w:val="18"/>
              </w:rPr>
              <w:t>EPANET model check</w:t>
            </w:r>
          </w:p>
        </w:tc>
      </w:tr>
      <w:tr>
        <w:trPr>
          <w:cantSplit/>
        </w:trPr>
        <w:tc>
          <w:tcPr>
            <w:tcW w:type="dxa" w:w="709"/>
          </w:tcPr>
          <w:p>
            <w:pPr>
              <w:spacing w:after="0" w:line="240" w:lineRule="auto"/>
            </w:pPr>
            <w:r>
              <w:rPr>
                <w:sz w:val="18"/>
              </w:rPr>
              <w:t>EN</w:t>
            </w:r>
          </w:p>
        </w:tc>
        <w:tc>
          <w:tcPr>
            <w:tcW w:type="dxa" w:w="3481"/>
          </w:tcPr>
          <w:p>
            <w:pPr>
              <w:spacing w:after="0" w:line="240" w:lineRule="auto"/>
            </w:pPr>
            <w:r>
              <w:rPr>
                <w:rFonts w:ascii="Consolas" w:hAnsi="Consolas" w:cs="Leelawadee UI"/>
                <w:sz w:val="16"/>
              </w:rPr>
              <w:t>reports/epanet_demand_nodes.csv</w:t>
            </w:r>
          </w:p>
        </w:tc>
        <w:tc>
          <w:tcPr>
            <w:tcW w:type="dxa" w:w="5448"/>
          </w:tcPr>
          <w:p>
            <w:pPr>
              <w:spacing w:after="0" w:line="240" w:lineRule="auto"/>
            </w:pPr>
            <w:r>
              <w:rPr>
                <w:sz w:val="18"/>
              </w:rPr>
              <w:t>Demand, elevation and pressure at the 28 customer nodes</w:t>
            </w:r>
          </w:p>
        </w:tc>
      </w:tr>
      <w:tr>
        <w:trPr>
          <w:cantSplit/>
        </w:trPr>
        <w:tc>
          <w:tcPr>
            <w:tcW w:type="dxa" w:w="709"/>
          </w:tcPr>
          <w:p>
            <w:pPr>
              <w:spacing w:after="0" w:line="240" w:lineRule="auto"/>
            </w:pPr>
            <w:r>
              <w:rPr>
                <w:sz w:val="18"/>
              </w:rPr>
              <w:t>PP</w:t>
            </w:r>
          </w:p>
        </w:tc>
        <w:tc>
          <w:tcPr>
            <w:tcW w:type="dxa" w:w="3481"/>
          </w:tcPr>
          <w:p>
            <w:pPr>
              <w:spacing w:after="0" w:line="240" w:lineRule="auto"/>
            </w:pPr>
            <w:r>
              <w:rPr>
                <w:rFonts w:ascii="Consolas" w:hAnsi="Consolas" w:cs="Leelawadee UI"/>
                <w:sz w:val="16"/>
              </w:rPr>
              <w:t>reports/matlab/pump_plans.md</w:t>
            </w:r>
          </w:p>
        </w:tc>
        <w:tc>
          <w:tcPr>
            <w:tcW w:type="dxa" w:w="5448"/>
          </w:tcPr>
          <w:p>
            <w:pPr>
              <w:spacing w:after="0" w:line="240" w:lineRule="auto"/>
            </w:pPr>
            <w:r>
              <w:rPr>
                <w:sz w:val="18"/>
              </w:rPr>
              <w:t>Pump plans A/B/C and the reference, with EPANET grades and reasons</w:t>
            </w:r>
          </w:p>
        </w:tc>
      </w:tr>
      <w:tr>
        <w:trPr>
          <w:cantSplit/>
        </w:trPr>
        <w:tc>
          <w:tcPr>
            <w:tcW w:type="dxa" w:w="709"/>
          </w:tcPr>
          <w:p>
            <w:pPr>
              <w:spacing w:after="0" w:line="240" w:lineRule="auto"/>
            </w:pPr>
            <w:r>
              <w:rPr>
                <w:sz w:val="18"/>
              </w:rPr>
              <w:t>PK</w:t>
            </w:r>
          </w:p>
        </w:tc>
        <w:tc>
          <w:tcPr>
            <w:tcW w:type="dxa" w:w="3481"/>
          </w:tcPr>
          <w:p>
            <w:pPr>
              <w:spacing w:after="0" w:line="240" w:lineRule="auto"/>
            </w:pPr>
            <w:r>
              <w:rPr>
                <w:rFonts w:ascii="Consolas" w:hAnsi="Consolas" w:cs="Leelawadee UI"/>
                <w:sz w:val="16"/>
              </w:rPr>
              <w:t>reports/matlab/pump_plans_kpis.csv</w:t>
            </w:r>
          </w:p>
        </w:tc>
        <w:tc>
          <w:tcPr>
            <w:tcW w:type="dxa" w:w="5448"/>
          </w:tcPr>
          <w:p>
            <w:pPr>
              <w:spacing w:after="0" w:line="240" w:lineRule="auto"/>
            </w:pPr>
            <w:r>
              <w:rPr>
                <w:sz w:val="18"/>
              </w:rPr>
              <w:t>Energy, cost, pressure, reserve and pump starts for each plan</w:t>
            </w:r>
          </w:p>
        </w:tc>
      </w:tr>
      <w:tr>
        <w:trPr>
          <w:cantSplit/>
        </w:trPr>
        <w:tc>
          <w:tcPr>
            <w:tcW w:type="dxa" w:w="709"/>
          </w:tcPr>
          <w:p>
            <w:pPr>
              <w:spacing w:after="0" w:line="240" w:lineRule="auto"/>
            </w:pPr>
            <w:r>
              <w:rPr>
                <w:sz w:val="18"/>
              </w:rPr>
              <w:t>WI</w:t>
            </w:r>
          </w:p>
        </w:tc>
        <w:tc>
          <w:tcPr>
            <w:tcW w:type="dxa" w:w="3481"/>
          </w:tcPr>
          <w:p>
            <w:pPr>
              <w:spacing w:after="0" w:line="240" w:lineRule="auto"/>
            </w:pPr>
            <w:r>
              <w:rPr>
                <w:rFonts w:ascii="Consolas" w:hAnsi="Consolas" w:cs="Leelawadee UI"/>
                <w:sz w:val="16"/>
              </w:rPr>
              <w:t>reports/matlab/whatif_storage_sources.md</w:t>
            </w:r>
            <w:r>
              <w:rPr>
                <w:sz w:val="18"/>
              </w:rPr>
              <w:t xml:space="preserve">, with its figure </w:t>
            </w:r>
            <w:r>
              <w:rPr>
                <w:rFonts w:ascii="Consolas" w:hAnsi="Consolas" w:cs="Leelawadee UI"/>
                <w:sz w:val="16"/>
              </w:rPr>
              <w:t>whatif_storage_sources.png</w:t>
            </w:r>
          </w:p>
        </w:tc>
        <w:tc>
          <w:tcPr>
            <w:tcW w:type="dxa" w:w="5448"/>
          </w:tcPr>
          <w:p>
            <w:pPr>
              <w:spacing w:after="0" w:line="240" w:lineRule="auto"/>
            </w:pPr>
            <w:r>
              <w:rPr>
                <w:sz w:val="18"/>
              </w:rPr>
              <w:t>Storage what-if (1–10 times today's tank storage) and cost per m³ by source and pump count, every plan EPANET-checked</w:t>
            </w:r>
          </w:p>
        </w:tc>
      </w:tr>
      <w:tr>
        <w:trPr>
          <w:cantSplit/>
        </w:trPr>
        <w:tc>
          <w:tcPr>
            <w:tcW w:type="dxa" w:w="709"/>
          </w:tcPr>
          <w:p>
            <w:pPr>
              <w:spacing w:after="0" w:line="240" w:lineRule="auto"/>
            </w:pPr>
            <w:r>
              <w:rPr>
                <w:sz w:val="18"/>
              </w:rPr>
              <w:t>WK</w:t>
            </w:r>
          </w:p>
        </w:tc>
        <w:tc>
          <w:tcPr>
            <w:tcW w:type="dxa" w:w="3481"/>
          </w:tcPr>
          <w:p>
            <w:pPr>
              <w:spacing w:after="0" w:line="240" w:lineRule="auto"/>
            </w:pPr>
            <w:r>
              <w:rPr>
                <w:rFonts w:ascii="Consolas" w:hAnsi="Consolas" w:cs="Leelawadee UI"/>
                <w:sz w:val="16"/>
              </w:rPr>
              <w:t>reports/matlab/whatif_storage_kpis.csv</w:t>
            </w:r>
          </w:p>
        </w:tc>
        <w:tc>
          <w:tcPr>
            <w:tcW w:type="dxa" w:w="5448"/>
          </w:tcPr>
          <w:p>
            <w:pPr>
              <w:spacing w:after="0" w:line="240" w:lineRule="auto"/>
            </w:pPr>
            <w:r>
              <w:rPr>
                <w:sz w:val="18"/>
              </w:rPr>
              <w:t>Energy, cost, saving and tank levels for each storage size and plan</w:t>
            </w:r>
          </w:p>
        </w:tc>
      </w:tr>
    </w:tbl>
    <w:p>
      <w:pPr>
        <w:spacing w:after="40"/>
      </w:pPr>
    </w:p>
    <w:p>
      <w:pPr>
        <w:pStyle w:val="Heading1"/>
        <w:keepNext/>
      </w:pPr>
      <w:r>
        <w:rPr/>
        <w:t>Appendix B. Glossary</w:t>
      </w:r>
    </w:p>
    <w:tbl>
      <w:tblPr>
        <w:tblW w:type="auto" w:w="0"/>
        <w:jc w:val="center"/>
        <w:tblBorders>
          <w:top w:val="single" w:sz="4" w:space="0" w:color="A7B4C2"/>
          <w:left w:val="single" w:sz="4" w:space="0" w:color="A7B4C2"/>
          <w:bottom w:val="single" w:sz="4" w:space="0" w:color="A7B4C2"/>
          <w:right w:val="single" w:sz="4" w:space="0" w:color="A7B4C2"/>
          <w:insideH w:val="single" w:sz="4" w:space="0" w:color="A7B4C2"/>
          <w:insideV w:val="single" w:sz="4" w:space="0" w:color="A7B4C2"/>
        </w:tblBorders>
        <w:tblLayout w:type="fixed"/>
        <w:tblCellMar>
          <w:top w:w="50" w:type="dxa"/>
          <w:left w:w="80" w:type="dxa"/>
          <w:bottom w:w="50" w:type="dxa"/>
          <w:right w:w="80" w:type="dxa"/>
        </w:tblCellMar>
        <w:tblLook w:firstColumn="1" w:firstRow="1" w:lastColumn="0" w:lastRow="0" w:noHBand="0" w:noVBand="1" w:val="04A0"/>
      </w:tblPr>
      <w:tblGrid>
        <w:gridCol w:w="1048"/>
        <w:gridCol w:w="8588"/>
      </w:tblGrid>
      <w:tr>
        <w:trPr>
          <w:cantSplit/>
          <w:tblHeader/>
        </w:trPr>
        <w:tc>
          <w:tcPr>
            <w:tcW w:type="dxa" w:w="1049"/>
            <w:shd w:val="clear" w:color="auto" w:fill="DCE6EF"/>
          </w:tcPr>
          <w:p>
            <w:pPr>
              <w:keepNext/>
              <w:spacing w:after="0" w:line="240" w:lineRule="auto"/>
            </w:pPr>
            <w:r>
              <w:rPr>
                <w:b/>
                <w:sz w:val="18"/>
              </w:rPr>
              <w:t>Term</w:t>
            </w:r>
          </w:p>
        </w:tc>
        <w:tc>
          <w:tcPr>
            <w:tcW w:type="dxa" w:w="8589"/>
            <w:shd w:val="clear" w:color="auto" w:fill="DCE6EF"/>
          </w:tcPr>
          <w:p>
            <w:pPr>
              <w:keepNext/>
              <w:spacing w:after="0" w:line="240" w:lineRule="auto"/>
            </w:pPr>
            <w:r>
              <w:rPr>
                <w:b/>
                <w:sz w:val="18"/>
              </w:rPr>
              <w:t>Meaning</w:t>
            </w:r>
          </w:p>
        </w:tc>
      </w:tr>
      <w:tr>
        <w:trPr>
          <w:cantSplit/>
        </w:trPr>
        <w:tc>
          <w:tcPr>
            <w:tcW w:type="dxa" w:w="1049"/>
          </w:tcPr>
          <w:p>
            <w:pPr>
              <w:spacing w:after="0" w:line="240" w:lineRule="auto"/>
            </w:pPr>
            <w:r>
              <w:rPr>
                <w:sz w:val="18"/>
              </w:rPr>
              <w:t>Brier skill</w:t>
            </w:r>
          </w:p>
        </w:tc>
        <w:tc>
          <w:tcPr>
            <w:tcW w:type="dxa" w:w="8589"/>
          </w:tcPr>
          <w:p>
            <w:pPr>
              <w:spacing w:after="0" w:line="240" w:lineRule="auto"/>
            </w:pPr>
            <w:r>
              <w:rPr>
                <w:sz w:val="18"/>
              </w:rPr>
              <w:t>How much better a probability warning is than always forecasting the historical rate: 1 is perfect, 0 is no better.</w:t>
            </w:r>
          </w:p>
        </w:tc>
      </w:tr>
      <w:tr>
        <w:trPr>
          <w:cantSplit/>
        </w:trPr>
        <w:tc>
          <w:tcPr>
            <w:tcW w:type="dxa" w:w="1049"/>
          </w:tcPr>
          <w:p>
            <w:pPr>
              <w:spacing w:after="0" w:line="240" w:lineRule="auto"/>
            </w:pPr>
            <w:r>
              <w:rPr>
                <w:sz w:val="18"/>
              </w:rPr>
              <w:t>ESP</w:t>
            </w:r>
          </w:p>
        </w:tc>
        <w:tc>
          <w:tcPr>
            <w:tcW w:type="dxa" w:w="8589"/>
          </w:tcPr>
          <w:p>
            <w:pPr>
              <w:spacing w:after="0" w:line="240" w:lineRule="auto"/>
            </w:pPr>
            <w:r>
              <w:rPr>
                <w:sz w:val="18"/>
              </w:rPr>
              <w:t>Ensemble streamflow prediction: storage simulated once for each past year's inflow.</w:t>
            </w:r>
          </w:p>
        </w:tc>
      </w:tr>
      <w:tr>
        <w:trPr>
          <w:cantSplit/>
        </w:trPr>
        <w:tc>
          <w:tcPr>
            <w:tcW w:type="dxa" w:w="1049"/>
          </w:tcPr>
          <w:p>
            <w:pPr>
              <w:spacing w:after="0" w:line="240" w:lineRule="auto"/>
            </w:pPr>
            <w:r>
              <w:rPr>
                <w:sz w:val="18"/>
              </w:rPr>
              <w:t>EPANET</w:t>
            </w:r>
          </w:p>
        </w:tc>
        <w:tc>
          <w:tcPr>
            <w:tcW w:type="dxa" w:w="8589"/>
          </w:tcPr>
          <w:p>
            <w:pPr>
              <w:spacing w:after="0" w:line="240" w:lineRule="auto"/>
            </w:pPr>
            <w:r>
              <w:rPr>
                <w:sz w:val="18"/>
              </w:rPr>
              <w:t>Standard pipe-network simulation software; here it checks pressures, flows and tank levels for each plan.</w:t>
            </w:r>
          </w:p>
        </w:tc>
      </w:tr>
      <w:tr>
        <w:trPr>
          <w:cantSplit/>
        </w:trPr>
        <w:tc>
          <w:tcPr>
            <w:tcW w:type="dxa" w:w="1049"/>
          </w:tcPr>
          <w:p>
            <w:pPr>
              <w:spacing w:after="0" w:line="240" w:lineRule="auto"/>
            </w:pPr>
            <w:r>
              <w:rPr>
                <w:sz w:val="18"/>
              </w:rPr>
              <w:t>Ft</w:t>
            </w:r>
          </w:p>
        </w:tc>
        <w:tc>
          <w:tcPr>
            <w:tcW w:type="dxa" w:w="8589"/>
          </w:tcPr>
          <w:p>
            <w:pPr>
              <w:spacing w:after="0" w:line="240" w:lineRule="auto"/>
            </w:pPr>
            <w:r>
              <w:rPr>
                <w:sz w:val="18"/>
              </w:rPr>
              <w:t>The fuel adjustment charge on Thai electricity bills.</w:t>
            </w:r>
          </w:p>
        </w:tc>
      </w:tr>
      <w:tr>
        <w:trPr>
          <w:cantSplit/>
        </w:trPr>
        <w:tc>
          <w:tcPr>
            <w:tcW w:type="dxa" w:w="1049"/>
          </w:tcPr>
          <w:p>
            <w:pPr>
              <w:spacing w:after="0" w:line="240" w:lineRule="auto"/>
            </w:pPr>
            <w:r>
              <w:rPr>
                <w:sz w:val="18"/>
              </w:rPr>
              <w:t>GBM</w:t>
            </w:r>
          </w:p>
        </w:tc>
        <w:tc>
          <w:tcPr>
            <w:tcW w:type="dxa" w:w="8589"/>
          </w:tcPr>
          <w:p>
            <w:pPr>
              <w:spacing w:after="0" w:line="240" w:lineRule="auto"/>
            </w:pPr>
            <w:r>
              <w:rPr>
                <w:sz w:val="18"/>
              </w:rPr>
              <w:t>Gradient-boosted trees, the AI forecasting model tested.</w:t>
            </w:r>
          </w:p>
        </w:tc>
      </w:tr>
      <w:tr>
        <w:trPr>
          <w:cantSplit/>
        </w:trPr>
        <w:tc>
          <w:tcPr>
            <w:tcW w:type="dxa" w:w="1049"/>
          </w:tcPr>
          <w:p>
            <w:pPr>
              <w:spacing w:after="0" w:line="240" w:lineRule="auto"/>
            </w:pPr>
            <w:r>
              <w:rPr>
                <w:sz w:val="18"/>
              </w:rPr>
              <w:t>Head tank</w:t>
            </w:r>
          </w:p>
        </w:tc>
        <w:tc>
          <w:tcPr>
            <w:tcW w:type="dxa" w:w="8589"/>
          </w:tcPr>
          <w:p>
            <w:pPr>
              <w:spacing w:after="0" w:line="240" w:lineRule="auto"/>
            </w:pPr>
            <w:r>
              <w:rPr>
                <w:sz w:val="18"/>
              </w:rPr>
              <w:t>Elevated tank that feeds customers by gravity (NPL2_HT, NPL3_HT).</w:t>
            </w:r>
          </w:p>
        </w:tc>
      </w:tr>
      <w:tr>
        <w:trPr>
          <w:cantSplit/>
        </w:trPr>
        <w:tc>
          <w:tcPr>
            <w:tcW w:type="dxa" w:w="1049"/>
          </w:tcPr>
          <w:p>
            <w:pPr>
              <w:spacing w:after="0" w:line="240" w:lineRule="auto"/>
            </w:pPr>
            <w:r>
              <w:rPr>
                <w:sz w:val="18"/>
              </w:rPr>
              <w:t>MAE</w:t>
            </w:r>
          </w:p>
        </w:tc>
        <w:tc>
          <w:tcPr>
            <w:tcW w:type="dxa" w:w="8589"/>
          </w:tcPr>
          <w:p>
            <w:pPr>
              <w:spacing w:after="0" w:line="240" w:lineRule="auto"/>
            </w:pPr>
            <w:r>
              <w:rPr>
                <w:sz w:val="18"/>
              </w:rPr>
              <w:t>Mean absolute error; for storage, in million m³ (MCM).</w:t>
            </w:r>
          </w:p>
        </w:tc>
      </w:tr>
      <w:tr>
        <w:trPr>
          <w:cantSplit/>
        </w:trPr>
        <w:tc>
          <w:tcPr>
            <w:tcW w:type="dxa" w:w="1049"/>
          </w:tcPr>
          <w:p>
            <w:pPr>
              <w:spacing w:after="0" w:line="240" w:lineRule="auto"/>
            </w:pPr>
            <w:r>
              <w:rPr>
                <w:sz w:val="18"/>
              </w:rPr>
              <w:t>MCM</w:t>
            </w:r>
          </w:p>
        </w:tc>
        <w:tc>
          <w:tcPr>
            <w:tcW w:type="dxa" w:w="8589"/>
          </w:tcPr>
          <w:p>
            <w:pPr>
              <w:spacing w:after="0" w:line="240" w:lineRule="auto"/>
            </w:pPr>
            <w:r>
              <w:rPr>
                <w:sz w:val="18"/>
              </w:rPr>
              <w:t>Million cubic metres.</w:t>
            </w:r>
          </w:p>
        </w:tc>
      </w:tr>
      <w:tr>
        <w:trPr>
          <w:cantSplit/>
        </w:trPr>
        <w:tc>
          <w:tcPr>
            <w:tcW w:type="dxa" w:w="1049"/>
          </w:tcPr>
          <w:p>
            <w:pPr>
              <w:spacing w:after="0" w:line="240" w:lineRule="auto"/>
            </w:pPr>
            <w:r>
              <w:rPr>
                <w:sz w:val="18"/>
              </w:rPr>
              <w:t>MILP</w:t>
            </w:r>
          </w:p>
        </w:tc>
        <w:tc>
          <w:tcPr>
            <w:tcW w:type="dxa" w:w="8589"/>
          </w:tcPr>
          <w:p>
            <w:pPr>
              <w:spacing w:after="0" w:line="240" w:lineRule="auto"/>
            </w:pPr>
            <w:r>
              <w:rPr>
                <w:sz w:val="18"/>
              </w:rPr>
              <w:t>Mixed-integer linear program, the optimisation method that picks the pumps for each hour.</w:t>
            </w:r>
          </w:p>
        </w:tc>
      </w:tr>
      <w:tr>
        <w:trPr>
          <w:cantSplit/>
        </w:trPr>
        <w:tc>
          <w:tcPr>
            <w:tcW w:type="dxa" w:w="1049"/>
          </w:tcPr>
          <w:p>
            <w:pPr>
              <w:spacing w:after="0" w:line="240" w:lineRule="auto"/>
            </w:pPr>
            <w:r>
              <w:rPr>
                <w:sz w:val="18"/>
              </w:rPr>
              <w:t>P10–P90 range</w:t>
            </w:r>
          </w:p>
        </w:tc>
        <w:tc>
          <w:tcPr>
            <w:tcW w:type="dxa" w:w="8589"/>
          </w:tcPr>
          <w:p>
            <w:pPr>
              <w:spacing w:after="0" w:line="240" w:lineRule="auto"/>
            </w:pPr>
            <w:r>
              <w:rPr>
                <w:sz w:val="18"/>
              </w:rPr>
              <w:t>The band a forecast expects to contain the actual value 80% of the time.</w:t>
            </w:r>
          </w:p>
        </w:tc>
      </w:tr>
      <w:tr>
        <w:trPr>
          <w:cantSplit/>
        </w:trPr>
        <w:tc>
          <w:tcPr>
            <w:tcW w:type="dxa" w:w="1049"/>
          </w:tcPr>
          <w:p>
            <w:pPr>
              <w:spacing w:after="0" w:line="240" w:lineRule="auto"/>
            </w:pPr>
            <w:r>
              <w:rPr>
                <w:sz w:val="18"/>
              </w:rPr>
              <w:t>Pump head</w:t>
            </w:r>
          </w:p>
        </w:tc>
        <w:tc>
          <w:tcPr>
            <w:tcW w:type="dxa" w:w="8589"/>
          </w:tcPr>
          <w:p>
            <w:pPr>
              <w:spacing w:after="0" w:line="240" w:lineRule="auto"/>
            </w:pPr>
            <w:r>
              <w:rPr>
                <w:sz w:val="18"/>
              </w:rPr>
              <w:t>The height, in metres, a pump lifts water against; more flow through the same main needs more head, and so more energy per m³.</w:t>
            </w:r>
          </w:p>
        </w:tc>
      </w:tr>
      <w:tr>
        <w:trPr>
          <w:cantSplit/>
        </w:trPr>
        <w:tc>
          <w:tcPr>
            <w:tcW w:type="dxa" w:w="1049"/>
          </w:tcPr>
          <w:p>
            <w:pPr>
              <w:spacing w:after="0" w:line="240" w:lineRule="auto"/>
            </w:pPr>
            <w:r>
              <w:rPr>
                <w:sz w:val="18"/>
              </w:rPr>
              <w:t>TOU</w:t>
            </w:r>
          </w:p>
        </w:tc>
        <w:tc>
          <w:tcPr>
            <w:tcW w:type="dxa" w:w="8589"/>
          </w:tcPr>
          <w:p>
            <w:pPr>
              <w:spacing w:after="0" w:line="240" w:lineRule="auto"/>
            </w:pPr>
            <w:r>
              <w:rPr>
                <w:sz w:val="18"/>
              </w:rPr>
              <w:t>Time-of-use electricity tariff, with higher peak-hour rates.</w:t>
            </w:r>
          </w:p>
        </w:tc>
      </w:tr>
      <w:tr>
        <w:trPr>
          <w:cantSplit/>
        </w:trPr>
        <w:tc>
          <w:tcPr>
            <w:tcW w:type="dxa" w:w="1049"/>
          </w:tcPr>
          <w:p>
            <w:pPr>
              <w:spacing w:after="0" w:line="240" w:lineRule="auto"/>
            </w:pPr>
            <w:r>
              <w:rPr>
                <w:sz w:val="18"/>
              </w:rPr>
              <w:t>WAPE</w:t>
            </w:r>
          </w:p>
        </w:tc>
        <w:tc>
          <w:tcPr>
            <w:tcW w:type="dxa" w:w="8589"/>
          </w:tcPr>
          <w:p>
            <w:pPr>
              <w:spacing w:after="0" w:line="240" w:lineRule="auto"/>
            </w:pPr>
            <w:r>
              <w:rPr>
                <w:sz w:val="18"/>
              </w:rPr>
              <w:t>Weighted absolute percentage error: total absolute forecast error ÷ total actual. Lower is better.</w:t>
            </w:r>
          </w:p>
        </w:tc>
      </w:tr>
    </w:tbl>
    <w:p>
      <w:pPr>
        <w:spacing w:after="4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5"/>
        <w:sz w:val="16"/>
      </w:rPr>
      <w:t xml:space="preserve">POC Report: AI for Demand &amp; Supply Optimization  ·  Confidential: Eastwater data under NDA  ·  Page </w:t>
    </w:r>
    <w:r>
      <w:rPr>
        <w:color w:val="5B677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s="Leelawadee U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Leelawadee UI"/>
      <w:b/>
      <w:bCs/>
      <w:color w:val="0B3C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cs="Leelawadee UI"/>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cs="Leelawadee UI"/>
      <w:b/>
      <w:bCs/>
      <w:color w:val="1F2A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cs="Leelawadee UI"/>
      <w:b w:val="0"/>
      <w:color w:val="0B3C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Report: AI for Demand &amp; Supply Optimization</dc:title>
  <dc:subject>Eastwater proof of concept: final report (draft for review)</dc:subject>
  <dc:creator>POC project team</dc:creator>
  <cp:keywords>Eastwater; POC; demand forecast; pump scheduling; EPANET; Go/No-Go</cp:keywords>
  <dc:description>Contains Eastwater data shared under NDA. Generated from reports/poc_report.md.</dc:description>
  <cp:lastModifiedBy/>
  <cp:revision>1</cp:revision>
  <dcterms:created xsi:type="dcterms:W3CDTF">2013-12-23T23:15:00Z</dcterms:created>
  <dcterms:modified xsi:type="dcterms:W3CDTF">2013-12-23T23:15:00Z</dcterms:modified>
  <cp:category/>
</cp:coreProperties>
</file>