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09" w:type="dxa"/>
        <w:tblLook w:val="04A0" w:firstRow="1" w:lastRow="0" w:firstColumn="1" w:lastColumn="0" w:noHBand="0" w:noVBand="1"/>
      </w:tblPr>
      <w:tblGrid>
        <w:gridCol w:w="3269"/>
        <w:gridCol w:w="3270"/>
        <w:gridCol w:w="3270"/>
      </w:tblGrid>
      <w:tr w:rsidR="00E84F0A" w14:paraId="5BD09402" w14:textId="77777777" w:rsidTr="00550CE3">
        <w:trPr>
          <w:trHeight w:val="960"/>
        </w:trPr>
        <w:tc>
          <w:tcPr>
            <w:tcW w:w="3269" w:type="dxa"/>
            <w:vMerge w:val="restart"/>
          </w:tcPr>
          <w:p w14:paraId="69BF0A86" w14:textId="77777777" w:rsidR="00E84F0A" w:rsidRDefault="00E84F0A" w:rsidP="00550CE3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07C1B62" wp14:editId="44334E1A">
                  <wp:simplePos x="0" y="0"/>
                  <wp:positionH relativeFrom="column">
                    <wp:posOffset>419432</wp:posOffset>
                  </wp:positionH>
                  <wp:positionV relativeFrom="paragraph">
                    <wp:posOffset>88710</wp:posOffset>
                  </wp:positionV>
                  <wp:extent cx="989462" cy="989462"/>
                  <wp:effectExtent l="0" t="0" r="1270" b="0"/>
                  <wp:wrapTight wrapText="bothSides">
                    <wp:wrapPolygon edited="0">
                      <wp:start x="8734" y="2496"/>
                      <wp:lineTo x="0" y="7071"/>
                      <wp:lineTo x="0" y="12062"/>
                      <wp:lineTo x="416" y="16637"/>
                      <wp:lineTo x="3327" y="18716"/>
                      <wp:lineTo x="18716" y="18716"/>
                      <wp:lineTo x="21212" y="16637"/>
                      <wp:lineTo x="21212" y="12062"/>
                      <wp:lineTo x="17469" y="9982"/>
                      <wp:lineTo x="21212" y="9150"/>
                      <wp:lineTo x="21212" y="7487"/>
                      <wp:lineTo x="13309" y="2496"/>
                      <wp:lineTo x="8734" y="2496"/>
                    </wp:wrapPolygon>
                  </wp:wrapTight>
                  <wp:docPr id="7" name="Imagen 7" descr="Portal Académico - Unidades Tecnológicas de Santa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rtal Académico - Unidades Tecnológicas de Santan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462" cy="989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70" w:type="dxa"/>
          </w:tcPr>
          <w:p w14:paraId="6103A8A5" w14:textId="77777777" w:rsidR="00E84F0A" w:rsidRDefault="00E84F0A" w:rsidP="00550CE3"/>
          <w:p w14:paraId="6469A658" w14:textId="77777777" w:rsidR="00E84F0A" w:rsidRPr="00E84F0A" w:rsidRDefault="00E84F0A" w:rsidP="00550CE3">
            <w:pPr>
              <w:rPr>
                <w:b/>
                <w:bCs/>
                <w:i/>
                <w:iCs/>
                <w:lang w:val="es-CO"/>
              </w:rPr>
            </w:pPr>
            <w:r w:rsidRPr="00E84F0A">
              <w:rPr>
                <w:b/>
                <w:bCs/>
                <w:i/>
                <w:iCs/>
                <w:lang w:val="es-CO"/>
              </w:rPr>
              <w:t xml:space="preserve">Presentado por: Camilo Andrés Garavito Gómez </w:t>
            </w:r>
          </w:p>
        </w:tc>
        <w:tc>
          <w:tcPr>
            <w:tcW w:w="3270" w:type="dxa"/>
          </w:tcPr>
          <w:p w14:paraId="441F6718" w14:textId="77777777" w:rsidR="00E84F0A" w:rsidRPr="00E84F0A" w:rsidRDefault="00E84F0A" w:rsidP="00550CE3">
            <w:pPr>
              <w:rPr>
                <w:lang w:val="es-CO"/>
              </w:rPr>
            </w:pPr>
          </w:p>
          <w:p w14:paraId="03C2D77E" w14:textId="77777777" w:rsidR="00E84F0A" w:rsidRPr="00E84F0A" w:rsidRDefault="00E84F0A" w:rsidP="00550CE3">
            <w:pPr>
              <w:rPr>
                <w:b/>
                <w:bCs/>
                <w:i/>
                <w:iCs/>
                <w:lang w:val="es-CO"/>
              </w:rPr>
            </w:pPr>
            <w:r w:rsidRPr="00E84F0A">
              <w:rPr>
                <w:b/>
                <w:bCs/>
                <w:i/>
                <w:iCs/>
                <w:lang w:val="es-CO"/>
              </w:rPr>
              <w:t>Patrones de diseño de software</w:t>
            </w:r>
          </w:p>
          <w:p w14:paraId="64D1B318" w14:textId="77777777" w:rsidR="00E84F0A" w:rsidRPr="00E84F0A" w:rsidRDefault="00E84F0A" w:rsidP="00550CE3">
            <w:pPr>
              <w:jc w:val="center"/>
              <w:rPr>
                <w:lang w:val="es-CO"/>
              </w:rPr>
            </w:pPr>
            <w:r w:rsidRPr="00E84F0A">
              <w:rPr>
                <w:b/>
                <w:bCs/>
                <w:i/>
                <w:iCs/>
                <w:lang w:val="es-CO"/>
              </w:rPr>
              <w:t>(E-195)</w:t>
            </w:r>
          </w:p>
        </w:tc>
      </w:tr>
      <w:tr w:rsidR="00E84F0A" w14:paraId="5F796DF4" w14:textId="77777777" w:rsidTr="00550CE3">
        <w:trPr>
          <w:trHeight w:val="996"/>
        </w:trPr>
        <w:tc>
          <w:tcPr>
            <w:tcW w:w="3269" w:type="dxa"/>
            <w:vMerge/>
          </w:tcPr>
          <w:p w14:paraId="6BCAE6F7" w14:textId="77777777" w:rsidR="00E84F0A" w:rsidRPr="00E84F0A" w:rsidRDefault="00E84F0A" w:rsidP="00550CE3">
            <w:pPr>
              <w:rPr>
                <w:lang w:val="es-CO"/>
              </w:rPr>
            </w:pPr>
          </w:p>
        </w:tc>
        <w:tc>
          <w:tcPr>
            <w:tcW w:w="3270" w:type="dxa"/>
          </w:tcPr>
          <w:p w14:paraId="620B948E" w14:textId="77777777" w:rsidR="00E84F0A" w:rsidRPr="00E84F0A" w:rsidRDefault="00E84F0A" w:rsidP="00550CE3">
            <w:pPr>
              <w:rPr>
                <w:lang w:val="es-CO"/>
              </w:rPr>
            </w:pPr>
          </w:p>
        </w:tc>
        <w:tc>
          <w:tcPr>
            <w:tcW w:w="3270" w:type="dxa"/>
          </w:tcPr>
          <w:p w14:paraId="714EEB1E" w14:textId="77777777" w:rsidR="00E84F0A" w:rsidRPr="00E84F0A" w:rsidRDefault="00E84F0A" w:rsidP="00550CE3">
            <w:pPr>
              <w:rPr>
                <w:lang w:val="es-CO"/>
              </w:rPr>
            </w:pPr>
          </w:p>
          <w:p w14:paraId="732FBB6D" w14:textId="436D20B7" w:rsidR="00E84F0A" w:rsidRDefault="00E84F0A" w:rsidP="00550CE3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ACTIVIDAD SEMANA 3:</w:t>
            </w:r>
          </w:p>
          <w:p w14:paraId="1662984D" w14:textId="1F7EC631" w:rsidR="00E84F0A" w:rsidRDefault="00E84F0A" w:rsidP="00550CE3">
            <w:pPr>
              <w:jc w:val="center"/>
            </w:pPr>
            <w:r>
              <w:rPr>
                <w:i/>
                <w:iCs/>
              </w:rPr>
              <w:t>Patron singleton</w:t>
            </w:r>
          </w:p>
        </w:tc>
      </w:tr>
    </w:tbl>
    <w:p w14:paraId="05C400FE" w14:textId="77777777" w:rsidR="0043254B" w:rsidRPr="00E84F0A" w:rsidRDefault="00E84F0A">
      <w:pPr>
        <w:pStyle w:val="Ttulo2"/>
        <w:spacing w:before="320" w:after="14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1. Qué es</w:t>
      </w:r>
    </w:p>
    <w:p w14:paraId="05C400FF" w14:textId="3A250868" w:rsidR="0043254B" w:rsidRPr="00E84F0A" w:rsidRDefault="007A471F">
      <w:pPr>
        <w:spacing w:after="16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color w:val="1C2530"/>
          <w:sz w:val="22"/>
          <w:szCs w:val="22"/>
        </w:rPr>
        <w:t>G</w:t>
      </w:r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>arantizar que una clase tenga una única instancia y proporcionar un punto de acceso global a ella.</w:t>
      </w:r>
    </w:p>
    <w:p w14:paraId="05C40100" w14:textId="77777777" w:rsidR="0043254B" w:rsidRPr="00E84F0A" w:rsidRDefault="00E84F0A">
      <w:pPr>
        <w:pStyle w:val="Ttulo2"/>
        <w:spacing w:before="320" w:after="14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2. Por qué aquí</w:t>
      </w:r>
    </w:p>
    <w:p w14:paraId="05C40101" w14:textId="4DE74EE5" w:rsidR="0043254B" w:rsidRPr="00E84F0A" w:rsidRDefault="00E84F0A">
      <w:pPr>
        <w:spacing w:after="16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Cada microservicio lee su configuración (DATABASE_URL, RABBITMQ_URL, JWT_SECRET_KEY, etc.) </w:t>
      </w:r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desde .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env</w:t>
      </w:r>
      <w:proofErr w:type="spellEnd"/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a través de una clase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. Repart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ir esa lectura en instancias distintas por cada llamada no tiene sentido: la configuración de un proceso no cambia mientras corre, así que crearla una sola vez y reutilizarla es exactamente el problema que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Singleton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resuelve. Además, las 6 clases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del proyecto (una por servicio) ya compartían el mismo problema y la misma solución de facto (ver sección</w:t>
      </w:r>
      <w:r w:rsidR="0003753C"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"</w:t>
      </w:r>
      <w:proofErr w:type="gramStart"/>
      <w:r w:rsidR="0003753C" w:rsidRPr="00E84F0A">
        <w:rPr>
          <w:rFonts w:asciiTheme="majorHAnsi" w:hAnsiTheme="majorHAnsi" w:cstheme="majorHAnsi"/>
          <w:b/>
          <w:bCs/>
          <w:color w:val="1C2530"/>
          <w:sz w:val="22"/>
          <w:szCs w:val="22"/>
        </w:rPr>
        <w:t>4.</w:t>
      </w:r>
      <w:r w:rsidRPr="00E84F0A">
        <w:rPr>
          <w:rFonts w:asciiTheme="majorHAnsi" w:hAnsiTheme="majorHAnsi" w:cstheme="majorHAnsi"/>
          <w:b/>
          <w:bCs/>
          <w:color w:val="1C2530"/>
          <w:sz w:val="22"/>
          <w:szCs w:val="22"/>
        </w:rPr>
        <w:t>Antes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>")</w:t>
      </w:r>
      <w:r w:rsidR="0003753C" w:rsidRPr="00E84F0A">
        <w:rPr>
          <w:rFonts w:asciiTheme="majorHAnsi" w:hAnsiTheme="majorHAnsi" w:cstheme="majorHAnsi"/>
          <w:color w:val="1C2530"/>
          <w:sz w:val="22"/>
          <w:szCs w:val="22"/>
        </w:rPr>
        <w:t>.</w:t>
      </w:r>
    </w:p>
    <w:p w14:paraId="1E546F9B" w14:textId="40F06EE7" w:rsidR="0003753C" w:rsidRPr="00E84F0A" w:rsidRDefault="00E84F0A">
      <w:pPr>
        <w:pStyle w:val="Ttulo2"/>
        <w:spacing w:before="320" w:after="140"/>
        <w:rPr>
          <w:rFonts w:asciiTheme="majorHAnsi" w:hAnsiTheme="majorHAnsi" w:cstheme="majorHAnsi"/>
          <w:b/>
          <w:bCs/>
          <w:color w:val="1C2530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3. Diagrama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1623"/>
        <w:gridCol w:w="5430"/>
      </w:tblGrid>
      <w:tr w:rsidR="0043254B" w14:paraId="05C40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5C40103" w14:textId="77777777" w:rsidR="0043254B" w:rsidRDefault="0043254B"/>
          <w:p w14:paraId="05C40104" w14:textId="77777777" w:rsidR="0043254B" w:rsidRDefault="0043254B"/>
          <w:p w14:paraId="05C40105" w14:textId="77777777" w:rsidR="0043254B" w:rsidRDefault="0043254B"/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0"/>
            </w:tblGrid>
            <w:tr w:rsidR="0043254B" w14:paraId="05C401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1C2530"/>
                    <w:left w:val="single" w:sz="4" w:space="0" w:color="1C2530"/>
                    <w:bottom w:val="single" w:sz="4" w:space="0" w:color="1C2530"/>
                    <w:right w:val="single" w:sz="4" w:space="0" w:color="1C2530"/>
                  </w:tcBorders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C40106" w14:textId="497F60D8" w:rsidR="0043254B" w:rsidRDefault="00E84F0A">
                  <w:pPr>
                    <w:jc w:val="center"/>
                  </w:pPr>
                  <w:r>
                    <w:rPr>
                      <w:b/>
                      <w:bCs/>
                      <w:color w:val="1C2530"/>
                      <w:sz w:val="22"/>
                      <w:szCs w:val="22"/>
                    </w:rPr>
                    <w:t>C</w:t>
                  </w:r>
                  <w:r>
                    <w:rPr>
                      <w:b/>
                      <w:bCs/>
                      <w:color w:val="1C2530"/>
                      <w:sz w:val="22"/>
                      <w:szCs w:val="22"/>
                    </w:rPr>
                    <w:t>liente</w:t>
                  </w:r>
                </w:p>
              </w:tc>
            </w:tr>
          </w:tbl>
          <w:p w14:paraId="05C40108" w14:textId="77777777" w:rsidR="0043254B" w:rsidRDefault="0043254B"/>
        </w:tc>
        <w:tc>
          <w:tcPr>
            <w:tcW w:w="760" w:type="dxa"/>
            <w:tcMar>
              <w:left w:w="80" w:type="dxa"/>
              <w:right w:w="80" w:type="dxa"/>
            </w:tcMar>
            <w:vAlign w:val="center"/>
          </w:tcPr>
          <w:p w14:paraId="05C40109" w14:textId="77777777" w:rsidR="0043254B" w:rsidRDefault="00E84F0A">
            <w:pPr>
              <w:spacing w:after="20"/>
              <w:jc w:val="center"/>
            </w:pPr>
            <w:r>
              <w:rPr>
                <w:i/>
                <w:iCs/>
                <w:color w:val="5B6B7C"/>
                <w:sz w:val="18"/>
                <w:szCs w:val="18"/>
              </w:rPr>
              <w:t>usa</w:t>
            </w:r>
          </w:p>
          <w:p w14:paraId="05C4010A" w14:textId="77777777" w:rsidR="0043254B" w:rsidRDefault="00E84F0A">
            <w:pPr>
              <w:jc w:val="center"/>
            </w:pPr>
            <w:r>
              <w:rPr>
                <w:color w:val="1C2530"/>
                <w:sz w:val="22"/>
                <w:szCs w:val="22"/>
              </w:rPr>
              <w:t>────→</w:t>
            </w:r>
          </w:p>
          <w:p w14:paraId="05C4010B" w14:textId="77777777" w:rsidR="0043254B" w:rsidRDefault="00E84F0A">
            <w:pPr>
              <w:spacing w:before="20"/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1C2530"/>
                <w:sz w:val="19"/>
                <w:szCs w:val="19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color w:val="1C2530"/>
                <w:sz w:val="19"/>
                <w:szCs w:val="19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color w:val="1C253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C2530"/>
                <w:sz w:val="19"/>
                <w:szCs w:val="19"/>
              </w:rPr>
              <w:t>)</w:t>
            </w:r>
          </w:p>
        </w:tc>
        <w:tc>
          <w:tcPr>
            <w:tcW w:w="5400" w:type="dxa"/>
          </w:tcPr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00"/>
            </w:tblGrid>
            <w:tr w:rsidR="0043254B" w14:paraId="05C401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tcBorders>
                    <w:top w:val="single" w:sz="4" w:space="0" w:color="1C2530"/>
                    <w:left w:val="single" w:sz="4" w:space="0" w:color="1C2530"/>
                    <w:bottom w:val="single" w:sz="4" w:space="0" w:color="1C2530"/>
                    <w:right w:val="single" w:sz="4" w:space="0" w:color="1C2530"/>
                  </w:tcBorders>
                  <w:shd w:val="clear" w:color="auto" w:fill="EDEFF3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C4010C" w14:textId="77777777" w:rsidR="0043254B" w:rsidRDefault="00E84F0A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1C2530"/>
                      <w:sz w:val="22"/>
                      <w:szCs w:val="22"/>
                    </w:rPr>
                    <w:t>Settings</w:t>
                  </w:r>
                  <w:proofErr w:type="spellEnd"/>
                </w:p>
              </w:tc>
            </w:tr>
            <w:tr w:rsidR="0043254B" w14:paraId="05C401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tcBorders>
                    <w:top w:val="single" w:sz="4" w:space="0" w:color="1C2530"/>
                    <w:left w:val="single" w:sz="4" w:space="0" w:color="1C2530"/>
                    <w:bottom w:val="single" w:sz="4" w:space="0" w:color="1C2530"/>
                    <w:right w:val="single" w:sz="4" w:space="0" w:color="1C2530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5C4010E" w14:textId="77777777" w:rsidR="0043254B" w:rsidRDefault="00E84F0A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- 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instancia 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Settings</w:t>
                  </w:r>
                  <w:proofErr w:type="spellEnd"/>
                </w:p>
                <w:p w14:paraId="05C4010F" w14:textId="77777777" w:rsidR="0043254B" w:rsidRDefault="00E84F0A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- _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lock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 xml:space="preserve"> 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Lock</w:t>
                  </w:r>
                  <w:proofErr w:type="spellEnd"/>
                </w:p>
              </w:tc>
            </w:tr>
            <w:tr w:rsidR="0043254B" w14:paraId="05C401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tcBorders>
                    <w:top w:val="single" w:sz="4" w:space="0" w:color="1C2530"/>
                    <w:left w:val="single" w:sz="4" w:space="0" w:color="1C2530"/>
                    <w:bottom w:val="single" w:sz="4" w:space="0" w:color="1C2530"/>
                    <w:right w:val="single" w:sz="4" w:space="0" w:color="1C2530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5C40111" w14:textId="77777777" w:rsidR="0043254B" w:rsidRPr="00112DE6" w:rsidRDefault="00E84F0A">
                  <w:pPr>
                    <w:spacing w:after="20"/>
                    <w:rPr>
                      <w:lang w:val="en-US"/>
                    </w:rPr>
                  </w:pPr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+ </w:t>
                  </w:r>
                  <w:proofErr w:type="spellStart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>app_</w:t>
                  </w:r>
                  <w:proofErr w:type="gramStart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>name</w:t>
                  </w:r>
                  <w:proofErr w:type="spellEnd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 :</w:t>
                  </w:r>
                  <w:proofErr w:type="gramEnd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 str</w:t>
                  </w:r>
                </w:p>
                <w:p w14:paraId="05C40112" w14:textId="77777777" w:rsidR="0043254B" w:rsidRPr="00112DE6" w:rsidRDefault="00E84F0A">
                  <w:pPr>
                    <w:spacing w:after="20"/>
                    <w:rPr>
                      <w:lang w:val="en-US"/>
                    </w:rPr>
                  </w:pPr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+ </w:t>
                  </w:r>
                  <w:proofErr w:type="spellStart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>database_</w:t>
                  </w:r>
                  <w:proofErr w:type="gramStart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>url</w:t>
                  </w:r>
                  <w:proofErr w:type="spellEnd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 :</w:t>
                  </w:r>
                  <w:proofErr w:type="gramEnd"/>
                  <w:r w:rsidRPr="00112DE6"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lang w:val="en-US"/>
                    </w:rPr>
                    <w:t xml:space="preserve"> str</w:t>
                  </w:r>
                </w:p>
                <w:p w14:paraId="05C40113" w14:textId="77777777" w:rsidR="0043254B" w:rsidRDefault="00E84F0A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 xml:space="preserve">+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>jwt_secret_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>key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 xml:space="preserve"> :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>str</w:t>
                  </w:r>
                  <w:proofErr w:type="spellEnd"/>
                </w:p>
                <w:p w14:paraId="05C40114" w14:textId="77777777" w:rsidR="0043254B" w:rsidRDefault="00E84F0A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 xml:space="preserve">+ ...otros campos de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</w:rPr>
                    <w:t>config</w:t>
                  </w:r>
                  <w:proofErr w:type="spellEnd"/>
                </w:p>
              </w:tc>
            </w:tr>
            <w:tr w:rsidR="0043254B" w14:paraId="05C401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00" w:type="dxa"/>
                  <w:tcBorders>
                    <w:top w:val="single" w:sz="4" w:space="0" w:color="1C2530"/>
                    <w:left w:val="single" w:sz="4" w:space="0" w:color="1C2530"/>
                    <w:bottom w:val="single" w:sz="4" w:space="0" w:color="1C2530"/>
                    <w:right w:val="single" w:sz="4" w:space="0" w:color="1C2530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5C40116" w14:textId="77777777" w:rsidR="0043254B" w:rsidRDefault="00E84F0A">
                  <w:pPr>
                    <w:spacing w:after="20"/>
                  </w:pPr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 xml:space="preserve">+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obtener_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instancia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 xml:space="preserve">) 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1C2530"/>
                      <w:sz w:val="19"/>
                      <w:szCs w:val="19"/>
                      <w:u w:val="single"/>
                    </w:rPr>
                    <w:t>Settings</w:t>
                  </w:r>
                  <w:proofErr w:type="spellEnd"/>
                </w:p>
              </w:tc>
            </w:tr>
          </w:tbl>
          <w:p w14:paraId="05C40118" w14:textId="77777777" w:rsidR="0043254B" w:rsidRDefault="0043254B"/>
        </w:tc>
      </w:tr>
    </w:tbl>
    <w:p w14:paraId="05C4011A" w14:textId="77777777" w:rsidR="0043254B" w:rsidRDefault="0043254B">
      <w:pPr>
        <w:spacing w:after="200"/>
      </w:pPr>
    </w:p>
    <w:p w14:paraId="05C4011B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  <w:color w:val="1C2530"/>
          <w:sz w:val="22"/>
          <w:szCs w:val="22"/>
        </w:rPr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Settings</w:t>
      </w:r>
      <w:proofErr w:type="spellEnd"/>
      <w:r>
        <w:rPr>
          <w:color w:val="1C2530"/>
          <w:sz w:val="22"/>
          <w:szCs w:val="22"/>
        </w:rPr>
        <w:t xml:space="preserve">  —</w:t>
      </w:r>
      <w:proofErr w:type="gramEnd"/>
      <w:r>
        <w:rPr>
          <w:color w:val="1C2530"/>
          <w:sz w:val="22"/>
          <w:szCs w:val="22"/>
        </w:rPr>
        <w:t xml:space="preserve">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la clase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Singleton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. Hereda de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pydantic_</w:t>
      </w:r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settings.BaseSettings</w:t>
      </w:r>
      <w:proofErr w:type="spellEnd"/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, así que además de implementar el patrón sigue siendo la clase de datos que valida y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parsea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las variables de entorno.</w:t>
      </w:r>
    </w:p>
    <w:p w14:paraId="05C4011C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  <w:color w:val="1C2530"/>
          <w:sz w:val="22"/>
          <w:szCs w:val="22"/>
        </w:rPr>
      </w:pPr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instancia</w:t>
      </w:r>
      <w:r>
        <w:rPr>
          <w:color w:val="1C2530"/>
          <w:sz w:val="22"/>
          <w:szCs w:val="22"/>
        </w:rPr>
        <w:t xml:space="preserve">  —</w:t>
      </w:r>
      <w:proofErr w:type="gramEnd"/>
      <w:r>
        <w:rPr>
          <w:color w:val="1C2530"/>
          <w:sz w:val="22"/>
          <w:szCs w:val="22"/>
        </w:rPr>
        <w:t xml:space="preserve">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campo estático privado, la única instancia (empieza en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None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).</w:t>
      </w:r>
    </w:p>
    <w:p w14:paraId="05C4011D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  <w:color w:val="1C2530"/>
          <w:sz w:val="22"/>
          <w:szCs w:val="22"/>
        </w:rPr>
      </w:pPr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lock</w:t>
      </w:r>
      <w:proofErr w:type="spellEnd"/>
      <w:r>
        <w:rPr>
          <w:color w:val="1C2530"/>
          <w:sz w:val="22"/>
          <w:szCs w:val="22"/>
        </w:rPr>
        <w:t xml:space="preserve">  —</w:t>
      </w:r>
      <w:proofErr w:type="gramEnd"/>
      <w:r>
        <w:rPr>
          <w:color w:val="1C2530"/>
          <w:sz w:val="22"/>
          <w:szCs w:val="22"/>
        </w:rPr>
        <w:t xml:space="preserve">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candado (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threading.Lock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) para que la creación sea segura si dos hilos piden la instancia al mismo tiempo antes de que exista.</w:t>
      </w:r>
    </w:p>
    <w:p w14:paraId="05C4011E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  <w:color w:val="1C2530"/>
          <w:sz w:val="22"/>
          <w:szCs w:val="22"/>
        </w:rPr>
      </w:pPr>
      <w:proofErr w:type="spell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obtener_</w:t>
      </w:r>
      <w:proofErr w:type="gram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instancia</w:t>
      </w:r>
      <w:proofErr w:type="spellEnd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)</w:t>
      </w:r>
      <w:r>
        <w:rPr>
          <w:color w:val="1C2530"/>
          <w:sz w:val="22"/>
          <w:szCs w:val="22"/>
        </w:rPr>
        <w:t xml:space="preserve"> 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— método estático, el punto de acc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eso global. Crea la instancia la primera vez y siempre devuelve esa misma referencia después.</w:t>
      </w:r>
    </w:p>
    <w:p w14:paraId="05C4011F" w14:textId="77777777" w:rsidR="0043254B" w:rsidRDefault="00E84F0A">
      <w:pPr>
        <w:pStyle w:val="Prrafodelista"/>
        <w:numPr>
          <w:ilvl w:val="0"/>
          <w:numId w:val="2"/>
        </w:numPr>
        <w:spacing w:after="90"/>
      </w:pPr>
      <w:proofErr w:type="gramStart"/>
      <w:r>
        <w:rPr>
          <w:rFonts w:ascii="Consolas" w:eastAsia="Consolas" w:hAnsi="Consolas" w:cs="Consolas"/>
          <w:b/>
          <w:bCs/>
          <w:color w:val="1C2530"/>
          <w:sz w:val="19"/>
          <w:szCs w:val="19"/>
        </w:rPr>
        <w:t>Cliente</w:t>
      </w:r>
      <w:r>
        <w:rPr>
          <w:color w:val="1C2530"/>
          <w:sz w:val="22"/>
          <w:szCs w:val="22"/>
        </w:rPr>
        <w:t xml:space="preserve"> 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—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cualquier módulo del servicio (api/dependencies.py, main.py, repositorios, etc.) que necesita la configuración. Nunca llama a </w:t>
      </w:r>
      <w:proofErr w:type="spellStart"/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>) directamente n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i conoce _instancia/_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lock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; solo usa la función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get_settings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().</w:t>
      </w:r>
    </w:p>
    <w:p w14:paraId="05C40120" w14:textId="77777777" w:rsidR="0043254B" w:rsidRPr="00E84F0A" w:rsidRDefault="00E84F0A">
      <w:pPr>
        <w:pStyle w:val="Ttulo2"/>
        <w:spacing w:before="320" w:after="14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4. Antes</w:t>
      </w:r>
    </w:p>
    <w:p w14:paraId="05C40121" w14:textId="1A29BD7B" w:rsidR="0043254B" w:rsidRPr="00E84F0A" w:rsidRDefault="007A471F">
      <w:pPr>
        <w:spacing w:after="160"/>
        <w:rPr>
          <w:rFonts w:asciiTheme="majorHAnsi" w:hAnsiTheme="majorHAnsi" w:cstheme="majorHAnsi"/>
          <w:color w:val="1C2530"/>
          <w:sz w:val="22"/>
          <w:szCs w:val="22"/>
        </w:rPr>
      </w:pPr>
      <w:r w:rsidRPr="00E84F0A">
        <w:rPr>
          <w:rFonts w:asciiTheme="majorHAnsi" w:hAnsiTheme="majorHAnsi" w:cstheme="majorHAnsi"/>
          <w:color w:val="1C2530"/>
          <w:sz w:val="22"/>
          <w:szCs w:val="22"/>
        </w:rPr>
        <w:lastRenderedPageBreak/>
        <w:t>El</w:t>
      </w:r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servicio</w:t>
      </w:r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resolvía</w:t>
      </w:r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"una sola instancia" apoyándose en un detalle de una librería externa (</w:t>
      </w:r>
      <w:proofErr w:type="spellStart"/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>functools.lru_cache</w:t>
      </w:r>
      <w:proofErr w:type="spellEnd"/>
      <w:r w:rsidR="00E84F0A" w:rsidRPr="00E84F0A">
        <w:rPr>
          <w:rFonts w:asciiTheme="majorHAnsi" w:hAnsiTheme="majorHAnsi" w:cstheme="majorHAnsi"/>
          <w:color w:val="1C2530"/>
          <w:sz w:val="22"/>
          <w:szCs w:val="22"/>
        </w:rPr>
        <w:t>), no en una decisión de diseño explícita en la propia clase:</w:t>
      </w:r>
    </w:p>
    <w:p w14:paraId="05C40131" w14:textId="2E11773B" w:rsidR="0043254B" w:rsidRDefault="00112DE6">
      <w:pPr>
        <w:spacing w:after="160"/>
      </w:pPr>
      <w:r>
        <w:rPr>
          <w:noProof/>
        </w:rPr>
        <w:drawing>
          <wp:inline distT="0" distB="0" distL="0" distR="0" wp14:anchorId="29F777A8" wp14:editId="21271D6A">
            <wp:extent cx="5468025" cy="290056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29" cy="2914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40132" w14:textId="2A0AFC2D" w:rsidR="0043254B" w:rsidRPr="00E84F0A" w:rsidRDefault="00E84F0A">
      <w:pPr>
        <w:spacing w:after="16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color w:val="1C2530"/>
          <w:sz w:val="22"/>
          <w:szCs w:val="22"/>
        </w:rPr>
        <w:t>Funcionaba (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lru_cache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memoriza el resultado de la primera llamada), pero el "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singleton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" no era visible co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mo tal: alguien podía instanciar </w:t>
      </w:r>
      <w:proofErr w:type="spellStart"/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>) directamente en cualquier parte del código y nada lo impedía ni lo señalaba como un error de diseño.</w:t>
      </w:r>
    </w:p>
    <w:p w14:paraId="05C40133" w14:textId="77777777" w:rsidR="0043254B" w:rsidRPr="00E84F0A" w:rsidRDefault="00E84F0A">
      <w:pPr>
        <w:pStyle w:val="Ttulo2"/>
        <w:spacing w:before="320" w:after="14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5. Después</w:t>
      </w:r>
    </w:p>
    <w:p w14:paraId="05C4014D" w14:textId="77777777" w:rsidR="0043254B" w:rsidRDefault="0043254B">
      <w:pPr>
        <w:spacing w:after="160"/>
      </w:pPr>
    </w:p>
    <w:p w14:paraId="3E136D50" w14:textId="251743F2" w:rsidR="00112DE6" w:rsidRDefault="00112DE6">
      <w:pPr>
        <w:spacing w:after="160"/>
        <w:rPr>
          <w:color w:val="1C2530"/>
          <w:sz w:val="22"/>
          <w:szCs w:val="22"/>
        </w:rPr>
      </w:pPr>
      <w:r w:rsidRPr="00112DE6">
        <w:rPr>
          <w:color w:val="1C2530"/>
          <w:sz w:val="22"/>
          <w:szCs w:val="22"/>
        </w:rPr>
        <w:lastRenderedPageBreak/>
        <w:drawing>
          <wp:inline distT="0" distB="0" distL="0" distR="0" wp14:anchorId="08966B3E" wp14:editId="321A10C7">
            <wp:extent cx="4531057" cy="3811704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383" cy="382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0163" w14:textId="35463428" w:rsidR="0043254B" w:rsidRPr="00E84F0A" w:rsidRDefault="00E84F0A" w:rsidP="00E84F0A">
      <w:pPr>
        <w:spacing w:after="160"/>
        <w:rPr>
          <w:rFonts w:asciiTheme="majorHAnsi" w:hAnsiTheme="majorHAnsi" w:cstheme="majorHAnsi"/>
        </w:rPr>
      </w:pP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get_</w:t>
      </w:r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) se conserva a propósito: es el nombre que ya usaba todo el proyecto (api/dependencies.py, main.py, scripts de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seed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, etc.), así que ningún otro archivo tuvo que cambiar — ahora es un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wrapper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delgado que delega en el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Singleton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.</w:t>
      </w:r>
    </w:p>
    <w:p w14:paraId="05C40179" w14:textId="44589302" w:rsidR="0043254B" w:rsidRPr="00E84F0A" w:rsidRDefault="00E84F0A">
      <w:pPr>
        <w:pStyle w:val="Ttulo2"/>
        <w:spacing w:before="320" w:after="14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  <w:color w:val="1C2530"/>
        </w:rPr>
        <w:t>6</w:t>
      </w:r>
      <w:r w:rsidRPr="00E84F0A">
        <w:rPr>
          <w:rFonts w:asciiTheme="majorHAnsi" w:hAnsiTheme="majorHAnsi" w:cstheme="majorHAnsi"/>
          <w:b/>
          <w:bCs/>
          <w:color w:val="1C2530"/>
        </w:rPr>
        <w:t xml:space="preserve">. </w:t>
      </w:r>
      <w:r w:rsidRPr="00E84F0A">
        <w:rPr>
          <w:rFonts w:asciiTheme="majorHAnsi" w:hAnsiTheme="majorHAnsi" w:cstheme="majorHAnsi"/>
          <w:b/>
          <w:bCs/>
          <w:color w:val="1C2530"/>
        </w:rPr>
        <w:t xml:space="preserve"> De qué manera aporta al proyecto</w:t>
      </w:r>
    </w:p>
    <w:p w14:paraId="05C4017A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</w:rPr>
        <w:t xml:space="preserve">Consistencia de configuración: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garantiza que toda la app </w:t>
      </w:r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lea .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env</w:t>
      </w:r>
      <w:proofErr w:type="spellEnd"/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una sola vez por proceso; si algo llegara a instanciar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() fuera de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obtener_instancia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(), tendría una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config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"huérfana" fácil de detectar en revisión de código porque rompe la convenci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ón documentada.</w:t>
      </w:r>
    </w:p>
    <w:p w14:paraId="05C4017B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</w:rPr>
        <w:t xml:space="preserve">La garantía deja de ser implícita: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antes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dependia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de que nadie quitara el decorador @lru_cache por accidente; ahora es una responsabilidad explícita de la propia clase, con nombre y estructura reconocibles.</w:t>
      </w:r>
    </w:p>
    <w:p w14:paraId="05C4017C" w14:textId="77777777" w:rsidR="0043254B" w:rsidRPr="00E84F0A" w:rsidRDefault="00E84F0A">
      <w:pPr>
        <w:pStyle w:val="Prrafodelista"/>
        <w:numPr>
          <w:ilvl w:val="0"/>
          <w:numId w:val="2"/>
        </w:numPr>
        <w:spacing w:after="90"/>
        <w:rPr>
          <w:rFonts w:asciiTheme="majorHAnsi" w:hAnsiTheme="majorHAnsi" w:cstheme="majorHAnsi"/>
        </w:rPr>
      </w:pPr>
      <w:r w:rsidRPr="00E84F0A">
        <w:rPr>
          <w:rFonts w:asciiTheme="majorHAnsi" w:hAnsiTheme="majorHAnsi" w:cstheme="majorHAnsi"/>
          <w:b/>
          <w:bCs/>
        </w:rPr>
        <w:t xml:space="preserve">Un solo punto de extensión: 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si má</w:t>
      </w:r>
      <w:r w:rsidRPr="00E84F0A">
        <w:rPr>
          <w:rFonts w:asciiTheme="majorHAnsi" w:hAnsiTheme="majorHAnsi" w:cstheme="majorHAnsi"/>
          <w:color w:val="1C2530"/>
          <w:sz w:val="22"/>
          <w:szCs w:val="22"/>
        </w:rPr>
        <w:t>s adelante se necesita lógica extra al crear la configuración (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loguear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 qué variables se cargaron, validar coherencia entre campos, etc.), hay un único lugar (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obtener_</w:t>
      </w:r>
      <w:proofErr w:type="gram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instancia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</w:t>
      </w:r>
      <w:proofErr w:type="gramEnd"/>
      <w:r w:rsidRPr="00E84F0A">
        <w:rPr>
          <w:rFonts w:asciiTheme="majorHAnsi" w:hAnsiTheme="majorHAnsi" w:cstheme="majorHAnsi"/>
          <w:color w:val="1C2530"/>
          <w:sz w:val="22"/>
          <w:szCs w:val="22"/>
        </w:rPr>
        <w:t xml:space="preserve">)) donde añadirla, en vez de seis funciones </w:t>
      </w:r>
      <w:proofErr w:type="spellStart"/>
      <w:r w:rsidRPr="00E84F0A">
        <w:rPr>
          <w:rFonts w:asciiTheme="majorHAnsi" w:hAnsiTheme="majorHAnsi" w:cstheme="majorHAnsi"/>
          <w:color w:val="1C2530"/>
          <w:sz w:val="22"/>
          <w:szCs w:val="22"/>
        </w:rPr>
        <w:t>get_settings</w:t>
      </w:r>
      <w:proofErr w:type="spellEnd"/>
      <w:r w:rsidRPr="00E84F0A">
        <w:rPr>
          <w:rFonts w:asciiTheme="majorHAnsi" w:hAnsiTheme="majorHAnsi" w:cstheme="majorHAnsi"/>
          <w:color w:val="1C2530"/>
          <w:sz w:val="22"/>
          <w:szCs w:val="22"/>
        </w:rPr>
        <w:t>() idénticas.</w:t>
      </w:r>
    </w:p>
    <w:p w14:paraId="05C40184" w14:textId="000F4D16" w:rsidR="0043254B" w:rsidRPr="00112DE6" w:rsidRDefault="0043254B" w:rsidP="00E84F0A">
      <w:pPr>
        <w:pStyle w:val="Prrafodelista"/>
        <w:spacing w:after="90"/>
        <w:ind w:left="560"/>
        <w:rPr>
          <w:lang w:val="en-US"/>
        </w:rPr>
      </w:pPr>
    </w:p>
    <w:sectPr w:rsidR="0043254B" w:rsidRPr="00112D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70E"/>
    <w:multiLevelType w:val="hybridMultilevel"/>
    <w:tmpl w:val="3DA2F96E"/>
    <w:lvl w:ilvl="0" w:tplc="B94AF9EA">
      <w:start w:val="1"/>
      <w:numFmt w:val="bullet"/>
      <w:lvlText w:val="•"/>
      <w:lvlJc w:val="left"/>
      <w:pPr>
        <w:ind w:left="560" w:hanging="260"/>
      </w:pPr>
    </w:lvl>
    <w:lvl w:ilvl="1" w:tplc="35CA1284">
      <w:numFmt w:val="decimal"/>
      <w:lvlText w:val=""/>
      <w:lvlJc w:val="left"/>
    </w:lvl>
    <w:lvl w:ilvl="2" w:tplc="CF18435C">
      <w:numFmt w:val="decimal"/>
      <w:lvlText w:val=""/>
      <w:lvlJc w:val="left"/>
    </w:lvl>
    <w:lvl w:ilvl="3" w:tplc="92FA0D78">
      <w:numFmt w:val="decimal"/>
      <w:lvlText w:val=""/>
      <w:lvlJc w:val="left"/>
    </w:lvl>
    <w:lvl w:ilvl="4" w:tplc="273C92AA">
      <w:numFmt w:val="decimal"/>
      <w:lvlText w:val=""/>
      <w:lvlJc w:val="left"/>
    </w:lvl>
    <w:lvl w:ilvl="5" w:tplc="20524EEA">
      <w:numFmt w:val="decimal"/>
      <w:lvlText w:val=""/>
      <w:lvlJc w:val="left"/>
    </w:lvl>
    <w:lvl w:ilvl="6" w:tplc="C3925FD0">
      <w:numFmt w:val="decimal"/>
      <w:lvlText w:val=""/>
      <w:lvlJc w:val="left"/>
    </w:lvl>
    <w:lvl w:ilvl="7" w:tplc="397E0452">
      <w:numFmt w:val="decimal"/>
      <w:lvlText w:val=""/>
      <w:lvlJc w:val="left"/>
    </w:lvl>
    <w:lvl w:ilvl="8" w:tplc="114E3E94">
      <w:numFmt w:val="decimal"/>
      <w:lvlText w:val=""/>
      <w:lvlJc w:val="left"/>
    </w:lvl>
  </w:abstractNum>
  <w:abstractNum w:abstractNumId="1" w15:restartNumberingAfterBreak="0">
    <w:nsid w:val="4B65342A"/>
    <w:multiLevelType w:val="hybridMultilevel"/>
    <w:tmpl w:val="C34CB512"/>
    <w:lvl w:ilvl="0" w:tplc="2688A646">
      <w:start w:val="1"/>
      <w:numFmt w:val="bullet"/>
      <w:lvlText w:val="●"/>
      <w:lvlJc w:val="left"/>
      <w:pPr>
        <w:ind w:left="720" w:hanging="360"/>
      </w:pPr>
    </w:lvl>
    <w:lvl w:ilvl="1" w:tplc="761ECBB0">
      <w:start w:val="1"/>
      <w:numFmt w:val="bullet"/>
      <w:lvlText w:val="○"/>
      <w:lvlJc w:val="left"/>
      <w:pPr>
        <w:ind w:left="1440" w:hanging="360"/>
      </w:pPr>
    </w:lvl>
    <w:lvl w:ilvl="2" w:tplc="AFE8C6AA">
      <w:start w:val="1"/>
      <w:numFmt w:val="bullet"/>
      <w:lvlText w:val="■"/>
      <w:lvlJc w:val="left"/>
      <w:pPr>
        <w:ind w:left="2160" w:hanging="360"/>
      </w:pPr>
    </w:lvl>
    <w:lvl w:ilvl="3" w:tplc="E2B86E44">
      <w:start w:val="1"/>
      <w:numFmt w:val="bullet"/>
      <w:lvlText w:val="●"/>
      <w:lvlJc w:val="left"/>
      <w:pPr>
        <w:ind w:left="2880" w:hanging="360"/>
      </w:pPr>
    </w:lvl>
    <w:lvl w:ilvl="4" w:tplc="A43ABAFE">
      <w:start w:val="1"/>
      <w:numFmt w:val="bullet"/>
      <w:lvlText w:val="○"/>
      <w:lvlJc w:val="left"/>
      <w:pPr>
        <w:ind w:left="3600" w:hanging="360"/>
      </w:pPr>
    </w:lvl>
    <w:lvl w:ilvl="5" w:tplc="2EE8E122">
      <w:start w:val="1"/>
      <w:numFmt w:val="bullet"/>
      <w:lvlText w:val="■"/>
      <w:lvlJc w:val="left"/>
      <w:pPr>
        <w:ind w:left="4320" w:hanging="360"/>
      </w:pPr>
    </w:lvl>
    <w:lvl w:ilvl="6" w:tplc="6310D0C2">
      <w:start w:val="1"/>
      <w:numFmt w:val="bullet"/>
      <w:lvlText w:val="●"/>
      <w:lvlJc w:val="left"/>
      <w:pPr>
        <w:ind w:left="5040" w:hanging="360"/>
      </w:pPr>
    </w:lvl>
    <w:lvl w:ilvl="7" w:tplc="44C6F214">
      <w:start w:val="1"/>
      <w:numFmt w:val="bullet"/>
      <w:lvlText w:val="●"/>
      <w:lvlJc w:val="left"/>
      <w:pPr>
        <w:ind w:left="5760" w:hanging="360"/>
      </w:pPr>
    </w:lvl>
    <w:lvl w:ilvl="8" w:tplc="ADE6F8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54B"/>
    <w:rsid w:val="0003753C"/>
    <w:rsid w:val="00112DE6"/>
    <w:rsid w:val="0043254B"/>
    <w:rsid w:val="007A471F"/>
    <w:rsid w:val="00E8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C400FC"/>
  <w15:docId w15:val="{B96DF69F-A1F6-4249-933F-6BA97448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E84F0A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G.</cp:lastModifiedBy>
  <cp:revision>2</cp:revision>
  <dcterms:created xsi:type="dcterms:W3CDTF">2026-08-29T02:34:00Z</dcterms:created>
  <dcterms:modified xsi:type="dcterms:W3CDTF">2026-08-29T03:56:00Z</dcterms:modified>
</cp:coreProperties>
</file>