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sz w:val="56"/>
          <w:szCs w:val="56"/>
        </w:rPr>
        <w:t xml:space="preserve">Relatório Empírico</w:t>
      </w:r>
    </w:p>
    <w:p>
      <w:pPr>
        <w:spacing w:after="160"/>
        <w:jc w:val="center"/>
      </w:pPr>
      <w:r>
        <w:rPr>
          <w:color w:val="52514E"/>
          <w:sz w:val="32"/>
          <w:szCs w:val="32"/>
        </w:rPr>
        <w:t xml:space="preserve">Árvore AVL Aumentada sob Carga Real em Larga Escala</w:t>
      </w:r>
    </w:p>
    <w:p>
      <w:pPr>
        <w:spacing w:after="320"/>
        <w:jc w:val="center"/>
      </w:pPr>
      <w:r>
        <w:rPr>
          <w:b/>
          <w:bCs/>
          <w:sz w:val="24"/>
          <w:szCs w:val="24"/>
        </w:rPr>
        <w:t xml:space="preserve">Projeto Final de Estruturas de Dados — Grupo 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Parâmetro do grupo</w:t>
            </w:r>
          </w:p>
        </w:tc>
        <w:tc>
          <w:tcPr>
            <w:tcW w:type="dxa" w:w="6318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Conjunto de dados</w:t>
            </w:r>
          </w:p>
        </w:tc>
        <w:tc>
          <w:tcPr>
            <w:tcW w:type="dxa" w:w="6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wiki — timestamps de edições da Wikipédia (SOSD, wiki_ts_200M_uint64)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Enviesamento (θ)</w:t>
            </w:r>
          </w:p>
        </w:tc>
        <w:tc>
          <w:tcPr>
            <w:tcW w:type="dxa" w:w="6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Mix de operações (I:D:S)</w:t>
            </w:r>
          </w:p>
        </w:tc>
        <w:tc>
          <w:tcPr>
            <w:tcW w:type="dxa" w:w="6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55:15:30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Agregação de range_agg</w:t>
            </w:r>
          </w:p>
        </w:tc>
        <w:tc>
          <w:tcPr>
            <w:tcW w:type="dxa" w:w="6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contagem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Ordem de inserção</w:t>
            </w:r>
          </w:p>
        </w:tc>
        <w:tc>
          <w:tcPr>
            <w:tcW w:type="dxa" w:w="6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sorted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</w:t>
            </w:r>
          </w:p>
        </w:tc>
        <w:tc>
          <w:tcPr>
            <w:tcW w:type="dxa" w:w="6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t xml:space="preserve">1. Metodologia</w:t>
      </w:r>
    </w:p>
    <w:p>
      <w:pPr>
        <w:pStyle w:val="Heading2"/>
        <w:spacing w:after="140" w:before="280"/>
      </w:pPr>
      <w:r>
        <w:t xml:space="preserve">1.1 Ambiente de medição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318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Processador</w:t>
            </w:r>
          </w:p>
        </w:tc>
        <w:tc>
          <w:tcPr>
            <w:tcW w:type="dxa" w:w="6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AMD Ryzen 5 5600GT (6 núcleos Zen 3, 16 MB L3)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Memória RAM</w:t>
            </w:r>
          </w:p>
        </w:tc>
        <w:tc>
          <w:tcPr>
            <w:tcW w:type="dxa" w:w="6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GB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6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11 Home (build 26200)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6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3.14.0 (MSC v.1944, 64 bits)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da execução</w:t>
            </w:r>
          </w:p>
        </w:tc>
        <w:tc>
          <w:tcPr>
            <w:tcW w:type="dxa" w:w="6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15/07/2026, 14h50–15h03 (suíte completa: ~13 min)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t xml:space="preserve">1.2 Como as medições foram feitas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operação (</w:t>
      </w:r>
      <w:r>
        <w:rPr>
          <w:rFonts w:ascii="Consolas" w:cs="Consolas" w:eastAsia="Consolas" w:hAnsi="Consolas"/>
        </w:rPr>
        <w:t xml:space="preserve">I</w:t>
      </w:r>
      <w:r>
        <w:t xml:space="preserve">, </w:t>
      </w:r>
      <w:r>
        <w:rPr>
          <w:rFonts w:ascii="Consolas" w:cs="Consolas" w:eastAsia="Consolas" w:hAnsi="Consolas"/>
        </w:rPr>
        <w:t xml:space="preserve">D</w:t>
      </w:r>
      <w:r>
        <w:t xml:space="preserve">, </w:t>
      </w:r>
      <w:r>
        <w:rPr>
          <w:rFonts w:ascii="Consolas" w:cs="Consolas" w:eastAsia="Consolas" w:hAnsi="Consolas"/>
        </w:rPr>
        <w:t xml:space="preserve">S</w:t>
      </w:r>
      <w:r>
        <w:t xml:space="preserve">) do trace é cronometrada individualmente com </w:t>
      </w:r>
      <w:r>
        <w:rPr>
          <w:rFonts w:ascii="Consolas" w:cs="Consolas" w:eastAsia="Consolas" w:hAnsi="Consolas"/>
        </w:rPr>
        <w:t xml:space="preserve">time.perf_counter_ns()</w:t>
      </w:r>
      <w:r>
        <w:t xml:space="preserve">, o relógio de maior resolução disponível em Python. O parse do trace acontece </w:t>
      </w:r>
      <w:r>
        <w:rPr>
          <w:b/>
          <w:bCs/>
        </w:rPr>
        <w:t xml:space="preserve">antes</w:t>
      </w:r>
      <w:r>
        <w:t xml:space="preserve"> do laço de medição, para que manipulação de strings não contamine as latências.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latências são acumuladas </w:t>
      </w:r>
      <w:r>
        <w:rPr>
          <w:b/>
          <w:bCs/>
        </w:rPr>
        <w:t xml:space="preserve">separadas por tipo de operação</w:t>
      </w:r>
      <w:r>
        <w:t xml:space="preserve">; reportamos média, p50 e p99 por operação e no agregado.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 traces são gerados por </w:t>
      </w:r>
      <w:r>
        <w:rPr>
          <w:rFonts w:ascii="Consolas" w:cs="Consolas" w:eastAsia="Consolas" w:hAnsi="Consolas"/>
        </w:rPr>
        <w:t xml:space="preserve">gen_workload_1.py</w:t>
      </w:r>
      <w:r>
        <w:t xml:space="preserve"> a partir das chaves reais do conjunto wiki (θ=0.6, mix 55:15:30, seed 7), com </w:t>
      </w:r>
      <w:r>
        <w:rPr>
          <w:rFonts w:ascii="Consolas" w:cs="Consolas" w:eastAsia="Consolas" w:hAnsi="Consolas"/>
        </w:rPr>
        <w:t xml:space="preserve">--max-load 2N</w:t>
      </w:r>
      <w:r>
        <w:t xml:space="preserve"> para limitar o uso de RAM. Como a seed é fixa, </w:t>
      </w:r>
      <w:r>
        <w:rPr>
          <w:b/>
          <w:bCs/>
        </w:rPr>
        <w:t xml:space="preserve">todos os resultados são reproduzíveis</w:t>
      </w:r>
      <w:r>
        <w:t xml:space="preserve"> pelo docente.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Toda execução é conferida com o oráculo</w:t>
      </w:r>
      <w:r>
        <w:t xml:space="preserve"> (</w:t>
      </w:r>
      <w:r>
        <w:rPr>
          <w:rFonts w:ascii="Consolas" w:cs="Consolas" w:eastAsia="Consolas" w:hAnsi="Consolas"/>
        </w:rPr>
        <w:t xml:space="preserve">gen_workload_1.py verify</w:t>
      </w:r>
      <w:r>
        <w:t xml:space="preserve">); a coluna oracle do </w:t>
      </w:r>
      <w:r>
        <w:rPr>
          <w:rFonts w:ascii="Consolas" w:cs="Consolas" w:eastAsia="Consolas" w:hAnsi="Consolas"/>
        </w:rPr>
        <w:t xml:space="preserve">benchmark_summary.csv</w:t>
      </w:r>
      <w:r>
        <w:t xml:space="preserve"> registra o resultado. As 26 execuções desta suíte passaram sem nenhuma divergência — na maior delas (10M de operações, ordem sorted), 3.000.660 buscas foram conferidas.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estrutura de linha de base (BST sem balanceamento) tem custo O(profundidade) por operação e degenera para O(n) sob inserção ordenada; por isso ela foi limitada a N ≤ 10k (ordem sorted) e N ≤ 1M (ordem shuffle) — acima disso um único cenário levaria horas sem acrescentar informação nova.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Observação sobre N: o gerador consome N </w:t>
      </w:r>
      <w:r>
        <w:rPr>
          <w:b/>
          <w:bCs/>
        </w:rPr>
        <w:t xml:space="preserve">operações</w:t>
      </w:r>
      <w:r>
        <w:t xml:space="preserve"> com mix 55:15:30; o número de chaves vivas ao final é ≈ 0,41·N (ex.: 4.075.389 chaves vivas no cenário de 10M de operações).</w:t>
      </w:r>
    </w:p>
    <w:p>
      <w:pPr>
        <w:pStyle w:val="Heading2"/>
        <w:spacing w:after="140" w:before="280"/>
      </w:pPr>
      <w:r>
        <w:t xml:space="preserve">1.3 Reprodução</w:t>
      </w:r>
    </w:p>
    <w:p>
      <w:pPr>
        <w:shd w:fill="F4F4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1. Obter o dataset (1,5 GB) e salvá-lo em data/wiki_ts_200M_uint64</w:t>
      </w:r>
    </w:p>
    <w:p>
      <w:pPr>
        <w:shd w:fill="F4F4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2. Rodar a suíte completa (gera traces, executa, verifica com o oráculo):</w:t>
      </w:r>
    </w:p>
    <w:p>
      <w:pPr>
        <w:shd w:fill="F4F4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python benchmark_manager.py</w:t>
      </w:r>
    </w:p>
    <w:p>
      <w:pPr>
        <w:shd w:fill="F4F4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3. Gerar os gráficos:</w:t>
      </w:r>
    </w:p>
    <w:p>
      <w:pPr>
        <w:shd w:fill="F4F4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python scripts/generate_charts.py</w:t>
      </w:r>
    </w:p>
    <w:p>
      <w:pPr>
        <w:pStyle w:val="Heading1"/>
        <w:spacing w:after="160" w:before="320"/>
      </w:pPr>
      <w:r>
        <w:t xml:space="preserve">2. Experimento 1 — Escala (tempo por operação vs N)</w:t>
      </w:r>
    </w:p>
    <w:p>
      <w:pPr>
        <w:spacing w:after="120"/>
      </w:pPr>
      <w:r>
        <w:t xml:space="preserve">Medimos o tempo médio, p50 e p99 por operação variando N em quatro ordens de grandeza: </w:t>
      </w:r>
      <w:r>
        <w:rPr>
          <w:b/>
          <w:bCs/>
        </w:rPr>
        <w:t xml:space="preserve">1k, 10k, 100k, 1M, 5M e 10M operações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514E"/>
          <w:sz w:val="18"/>
          <w:szCs w:val="18"/>
        </w:rPr>
        <w:t xml:space="preserve">Figura 1 — Tempo médio por operação vs N (AVL, dados wiki, θ=0.6), com referência c·log₂(n).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514E"/>
          <w:sz w:val="18"/>
          <w:szCs w:val="18"/>
        </w:rPr>
        <w:t xml:space="preserve">Figura 2 — Percentis p50 e p99 vs N (AVL, ordens sorted e shuffle).</w:t>
      </w:r>
    </w:p>
    <w:p>
      <w:pPr>
        <w:pStyle w:val="Heading3"/>
        <w:spacing w:after="100" w:before="200"/>
      </w:pPr>
      <w:r>
        <w:t xml:space="preserve">Dados medidos (AVL, ordem sorted — a do grupo; latências em µs)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1"/>
        <w:gridCol w:w="971"/>
        <w:gridCol w:w="679"/>
        <w:gridCol w:w="776"/>
        <w:gridCol w:w="776"/>
        <w:gridCol w:w="776"/>
        <w:gridCol w:w="776"/>
        <w:gridCol w:w="776"/>
        <w:gridCol w:w="776"/>
        <w:gridCol w:w="873"/>
        <w:gridCol w:w="873"/>
      </w:tblGrid>
      <w:tr>
        <w:trPr>
          <w:tblHeader/>
        </w:trPr>
        <w:tc>
          <w:tcPr>
            <w:tcW w:type="dxa" w:w="971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N (ops)</w:t>
            </w:r>
          </w:p>
        </w:tc>
        <w:tc>
          <w:tcPr>
            <w:tcW w:type="dxa" w:w="971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Chaves vivas</w:t>
            </w:r>
          </w:p>
        </w:tc>
        <w:tc>
          <w:tcPr>
            <w:tcW w:type="dxa" w:w="679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Altura</w:t>
            </w:r>
          </w:p>
        </w:tc>
        <w:tc>
          <w:tcPr>
            <w:tcW w:type="dxa" w:w="776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 média</w:t>
            </w:r>
          </w:p>
        </w:tc>
        <w:tc>
          <w:tcPr>
            <w:tcW w:type="dxa" w:w="776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 p99</w:t>
            </w:r>
          </w:p>
        </w:tc>
        <w:tc>
          <w:tcPr>
            <w:tcW w:type="dxa" w:w="776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 média</w:t>
            </w:r>
          </w:p>
        </w:tc>
        <w:tc>
          <w:tcPr>
            <w:tcW w:type="dxa" w:w="776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 p99</w:t>
            </w:r>
          </w:p>
        </w:tc>
        <w:tc>
          <w:tcPr>
            <w:tcW w:type="dxa" w:w="776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 média</w:t>
            </w:r>
          </w:p>
        </w:tc>
        <w:tc>
          <w:tcPr>
            <w:tcW w:type="dxa" w:w="776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 p99</w:t>
            </w:r>
          </w:p>
        </w:tc>
        <w:tc>
          <w:tcPr>
            <w:tcW w:type="dxa" w:w="873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p50 geral</w:t>
            </w:r>
          </w:p>
        </w:tc>
        <w:tc>
          <w:tcPr>
            <w:tcW w:type="dxa" w:w="873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p99 geral</w:t>
            </w:r>
          </w:p>
        </w:tc>
      </w:tr>
      <w:tr>
        <w:trPr>
          <w:tblHeader w:val="false"/>
        </w:trPr>
        <w:tc>
          <w:tcPr>
            <w:tcW w:type="dxa" w:w="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383</w:t>
            </w:r>
          </w:p>
        </w:tc>
        <w:tc>
          <w:tcPr>
            <w:tcW w:type="dxa" w:w="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7.06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10.30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5.22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7.50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0.83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2.60</w:t>
            </w:r>
          </w:p>
        </w:tc>
        <w:tc>
          <w:tcPr>
            <w:tcW w:type="dxa" w:w="8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6.00</w:t>
            </w:r>
          </w:p>
        </w:tc>
        <w:tc>
          <w:tcPr>
            <w:tcW w:type="dxa" w:w="8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9.40</w:t>
            </w:r>
          </w:p>
        </w:tc>
      </w:tr>
      <w:tr>
        <w:trPr>
          <w:tblHeader w:val="false"/>
        </w:trPr>
        <w:tc>
          <w:tcPr>
            <w:tcW w:type="dxa" w:w="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</w:t>
            </w:r>
          </w:p>
        </w:tc>
        <w:tc>
          <w:tcPr>
            <w:tcW w:type="dxa" w:w="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4022</w:t>
            </w:r>
          </w:p>
        </w:tc>
        <w:tc>
          <w:tcPr>
            <w:tcW w:type="dxa" w:w="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5.52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9.00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7.80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1.30</w:t>
            </w:r>
          </w:p>
        </w:tc>
        <w:tc>
          <w:tcPr>
            <w:tcW w:type="dxa" w:w="8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4.80</w:t>
            </w:r>
          </w:p>
        </w:tc>
        <w:tc>
          <w:tcPr>
            <w:tcW w:type="dxa" w:w="8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8.30</w:t>
            </w:r>
          </w:p>
        </w:tc>
      </w:tr>
      <w:tr>
        <w:trPr>
          <w:tblHeader w:val="false"/>
        </w:trPr>
        <w:tc>
          <w:tcPr>
            <w:tcW w:type="dxa" w:w="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100000</w:t>
            </w:r>
          </w:p>
        </w:tc>
        <w:tc>
          <w:tcPr>
            <w:tcW w:type="dxa" w:w="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40698</w:t>
            </w:r>
          </w:p>
        </w:tc>
        <w:tc>
          <w:tcPr>
            <w:tcW w:type="dxa" w:w="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6.97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11.10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6.57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11.20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1.22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2.60</w:t>
            </w:r>
          </w:p>
        </w:tc>
        <w:tc>
          <w:tcPr>
            <w:tcW w:type="dxa" w:w="8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6.30</w:t>
            </w:r>
          </w:p>
        </w:tc>
        <w:tc>
          <w:tcPr>
            <w:tcW w:type="dxa" w:w="8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10.60</w:t>
            </w:r>
          </w:p>
        </w:tc>
      </w:tr>
      <w:tr>
        <w:trPr>
          <w:tblHeader w:val="false"/>
        </w:trPr>
        <w:tc>
          <w:tcPr>
            <w:tcW w:type="dxa" w:w="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1000000</w:t>
            </w:r>
          </w:p>
        </w:tc>
        <w:tc>
          <w:tcPr>
            <w:tcW w:type="dxa" w:w="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407757</w:t>
            </w:r>
          </w:p>
        </w:tc>
        <w:tc>
          <w:tcPr>
            <w:tcW w:type="dxa" w:w="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9.46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15.60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10.19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20.50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2.21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5.30</w:t>
            </w:r>
          </w:p>
        </w:tc>
        <w:tc>
          <w:tcPr>
            <w:tcW w:type="dxa" w:w="8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8.10</w:t>
            </w:r>
          </w:p>
        </w:tc>
        <w:tc>
          <w:tcPr>
            <w:tcW w:type="dxa" w:w="8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16.40</w:t>
            </w:r>
          </w:p>
        </w:tc>
      </w:tr>
      <w:tr>
        <w:trPr>
          <w:tblHeader w:val="false"/>
        </w:trPr>
        <w:tc>
          <w:tcPr>
            <w:tcW w:type="dxa" w:w="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5000000</w:t>
            </w:r>
          </w:p>
        </w:tc>
        <w:tc>
          <w:tcPr>
            <w:tcW w:type="dxa" w:w="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2038165</w:t>
            </w:r>
          </w:p>
        </w:tc>
        <w:tc>
          <w:tcPr>
            <w:tcW w:type="dxa" w:w="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12.36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15.40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12.43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20.30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2.99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5.50</w:t>
            </w:r>
          </w:p>
        </w:tc>
        <w:tc>
          <w:tcPr>
            <w:tcW w:type="dxa" w:w="8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9.10</w:t>
            </w:r>
          </w:p>
        </w:tc>
        <w:tc>
          <w:tcPr>
            <w:tcW w:type="dxa" w:w="8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16.10</w:t>
            </w:r>
          </w:p>
        </w:tc>
      </w:tr>
      <w:tr>
        <w:trPr>
          <w:tblHeader w:val="false"/>
        </w:trPr>
        <w:tc>
          <w:tcPr>
            <w:tcW w:type="dxa" w:w="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10000000</w:t>
            </w:r>
          </w:p>
        </w:tc>
        <w:tc>
          <w:tcPr>
            <w:tcW w:type="dxa" w:w="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4075389</w:t>
            </w:r>
          </w:p>
        </w:tc>
        <w:tc>
          <w:tcPr>
            <w:tcW w:type="dxa" w:w="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14.70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14.60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13.41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19.90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3.33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8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9.60</w:t>
            </w:r>
          </w:p>
        </w:tc>
        <w:tc>
          <w:tcPr>
            <w:tcW w:type="dxa" w:w="8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16.70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Interpretação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forma logarítmica se confirma, mas com inclinação extra.</w:t>
      </w:r>
      <w:r>
        <w:t xml:space="preserve"> Na ordem sorted (a do grupo), a busca média foi de 681 ns (N=10k) a 3.327 ns (N=10M): crescimento de ~4,9× enquanto n cresceu 1.000×. Uma curva O(log n) pura cresceria apenas ~1,8× nessa faixa (altura 13 → 23). A diferença é o custo </w:t>
      </w:r>
      <w:r>
        <w:rPr>
          <w:b/>
          <w:bCs/>
        </w:rPr>
        <w:t xml:space="preserve">por nível</w:t>
      </w:r>
      <w:r>
        <w:t xml:space="preserve"> subindo com o tamanho da árvore: de ~52 ns/nível em N=10k para ~145 ns/nível em N=10M — ver Experimento 4 (efeito de cache).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Inserção e remoção custam ~4–5× a busca</w:t>
      </w:r>
      <w:r>
        <w:t xml:space="preserve"> (em N=10M sorted: 14,7 µs e 13,4 µs vs 3,3 µs). A descida é a mesma O(log n); o excedente é o caminho de volta: recomputar height/size/aggregate em cada nível, checar o fator de balanceamento, eventualmente rotacionar, e (na inserção) alocar o objeto Node.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 ponto de N=1k foge da curva</w:t>
      </w:r>
      <w:r>
        <w:t xml:space="preserve"> (busca 829 ns &gt; 681 ns de N=10k). Com poucas centenas de operações medidas, o aquecimento do interpretador e a resolução do timer pesam mais que a estrutura — é ruído de medição em amostra pequena, não um efeito da árvore.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p99 ≈ 1,7–2× o p50</w:t>
      </w:r>
      <w:r>
        <w:t xml:space="preserve"> em toda a faixa (ex.: 16,7 µs vs 9,6 µs em N=10M sorted). O p99 concentra os casos raros e caros: remoções de nós com dois filhos (que fazem uma segunda descida pelo sucessor), cascatas de rotação e pausas do coletor de lixo do CPython.</w:t>
      </w:r>
    </w:p>
    <w:p>
      <w:pPr>
        <w:pStyle w:val="Heading1"/>
        <w:spacing w:after="160" w:before="320"/>
      </w:pPr>
      <w:r>
        <w:t xml:space="preserve">3. Experimento 2 — Sensibilidade ao enviesamento (θ)</w:t>
      </w:r>
    </w:p>
    <w:p>
      <w:pPr>
        <w:spacing w:after="120"/>
      </w:pPr>
      <w:r>
        <w:t xml:space="preserve">Repetimos a carga com θ ∈ {0.0, 0.6, 0.99, 1.2} em N = 1M, nas duas ordens de inserção.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514E"/>
          <w:sz w:val="18"/>
          <w:szCs w:val="18"/>
        </w:rPr>
        <w:t xml:space="preserve">Figura 3 — Latência média por operação vs θ (AVL, N=1M).</w:t>
      </w:r>
    </w:p>
    <w:p>
      <w:pPr>
        <w:pStyle w:val="Heading3"/>
        <w:spacing w:after="100" w:before="200"/>
      </w:pPr>
      <w:r>
        <w:t xml:space="preserve">Dados medidos (AVL, N=1M, ordem sorted; latências em µs)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/>
        </w:trPr>
        <w:tc>
          <w:tcPr>
            <w:tcW w:type="dxa" w:w="740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θ</w:t>
            </w:r>
          </w:p>
        </w:tc>
        <w:tc>
          <w:tcPr>
            <w:tcW w:type="dxa" w:w="1184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 média</w:t>
            </w:r>
          </w:p>
        </w:tc>
        <w:tc>
          <w:tcPr>
            <w:tcW w:type="dxa" w:w="1184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 média</w:t>
            </w:r>
          </w:p>
        </w:tc>
        <w:tc>
          <w:tcPr>
            <w:tcW w:type="dxa" w:w="1184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 média</w:t>
            </w:r>
          </w:p>
        </w:tc>
        <w:tc>
          <w:tcPr>
            <w:tcW w:type="dxa" w:w="1184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 p50</w:t>
            </w:r>
          </w:p>
        </w:tc>
        <w:tc>
          <w:tcPr>
            <w:tcW w:type="dxa" w:w="1184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 p99</w:t>
            </w:r>
          </w:p>
        </w:tc>
        <w:tc>
          <w:tcPr>
            <w:tcW w:type="dxa" w:w="1184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p50 geral</w:t>
            </w:r>
          </w:p>
        </w:tc>
        <w:tc>
          <w:tcPr>
            <w:tcW w:type="dxa" w:w="1184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p99 geral</w:t>
            </w:r>
          </w:p>
        </w:tc>
      </w:tr>
      <w:tr>
        <w:trPr>
          <w:tblHeader w:val="false"/>
        </w:trPr>
        <w:tc>
          <w:tcPr>
            <w:tcW w:type="dxa" w:w="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9.22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9.68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2.06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2.10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4.20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8.00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15.10</w:t>
            </w:r>
          </w:p>
        </w:tc>
      </w:tr>
      <w:tr>
        <w:trPr>
          <w:tblHeader w:val="false"/>
        </w:trPr>
        <w:tc>
          <w:tcPr>
            <w:tcW w:type="dxa" w:w="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9.19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9.60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2.03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2.00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4.20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8.00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15.00</w:t>
            </w:r>
          </w:p>
        </w:tc>
      </w:tr>
      <w:tr>
        <w:trPr>
          <w:tblHeader w:val="false"/>
        </w:trPr>
        <w:tc>
          <w:tcPr>
            <w:tcW w:type="dxa" w:w="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9.29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9.10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1.83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1.70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4.30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7.90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15.20</w:t>
            </w:r>
          </w:p>
        </w:tc>
      </w:tr>
      <w:tr>
        <w:trPr>
          <w:tblHeader w:val="false"/>
        </w:trPr>
        <w:tc>
          <w:tcPr>
            <w:tcW w:type="dxa" w:w="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9.39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8.50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1.62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1.10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4.60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7.80</w:t>
            </w:r>
          </w:p>
        </w:tc>
        <w:tc>
          <w:tcPr>
            <w:tcW w:type="dxa" w:w="11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14.80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Interpretação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Busca acelera com o enviesamento: −21% de θ=0 para θ=1.2</w:t>
      </w:r>
      <w:r>
        <w:t xml:space="preserve"> (2.061 → 1.620 ns, ordem sorted). Com θ alto, poucas chaves “quentes” concentram os acessos; o caminho raiz→nó dessas chaves é revisitado continuamente e permanece nos caches L1/L2 — a localidade temporal compensa a profundidade.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 p50 da busca cai pela metade (2.100 → 1.100 ns) enquanto o p99 fica estável (~4.200–4.600 ns).</w:t>
      </w:r>
      <w:r>
        <w:t xml:space="preserve"> É a assinatura clássica de carga Zipfiana: a mediana é dominada pelas chaves quentes (caminho em cache), mas a cauda continua pagando o custo integral das chaves frias — o enviesamento ajuda o caso típico, não o pior caso.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Remoção também acelera (−12%)</w:t>
      </w:r>
      <w:r>
        <w:t xml:space="preserve">, pelo mesmo motivo na fase de descida. As remoções concentradas não aumentaram o custo de rebalanceamento de forma mensurável: as rotações são O(1) por nível e o caminho quente amortiza.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Inserção fica praticamente estável (+2%)</w:t>
      </w:r>
      <w:r>
        <w:t xml:space="preserve"> — como esperado: a ordem e o conjunto de chaves inseridas não dependem de θ (o enviesamento só governa quais chaves são buscadas/removidas), então o custo de inserção não tinha por que mudar.</w:t>
      </w:r>
    </w:p>
    <w:p>
      <w:pPr>
        <w:pStyle w:val="Heading1"/>
        <w:spacing w:after="160" w:before="320"/>
      </w:pPr>
      <w:r>
        <w:t xml:space="preserve">4. Experimento 3 — Caso patológico (sorted vs shuffle)</w:t>
      </w:r>
    </w:p>
    <w:p>
      <w:pPr>
        <w:spacing w:after="120"/>
      </w:pPr>
      <w:r>
        <w:t xml:space="preserve">A ordem de inserção do Grupo 7 é sorted — exatamente o caso patológico para BSTs sem balanceamento. Comparamos as duas ordens nas duas estruturas.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514E"/>
          <w:sz w:val="18"/>
          <w:szCs w:val="18"/>
        </w:rPr>
        <w:t xml:space="preserve">Figura 4 — Altura final vs chaves vivas, com referências log₂(n), 1,44·log₂(n) e n.</w:t>
      </w:r>
    </w:p>
    <w:p>
      <w:pPr>
        <w:pStyle w:val="Heading3"/>
        <w:spacing w:after="100" w:before="200"/>
      </w:pPr>
      <w:r>
        <w:t xml:space="preserve">Alturas finais medidas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9"/>
        <w:gridCol w:w="1259"/>
        <w:gridCol w:w="1469"/>
        <w:gridCol w:w="1679"/>
        <w:gridCol w:w="1469"/>
        <w:gridCol w:w="1679"/>
      </w:tblGrid>
      <w:tr>
        <w:trPr>
          <w:tblHeader/>
        </w:trPr>
        <w:tc>
          <w:tcPr>
            <w:tcW w:type="dxa" w:w="1469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Estrutura</w:t>
            </w:r>
          </w:p>
        </w:tc>
        <w:tc>
          <w:tcPr>
            <w:tcW w:type="dxa" w:w="1259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Ordem</w:t>
            </w:r>
          </w:p>
        </w:tc>
        <w:tc>
          <w:tcPr>
            <w:tcW w:type="dxa" w:w="1469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N (ops)</w:t>
            </w:r>
          </w:p>
        </w:tc>
        <w:tc>
          <w:tcPr>
            <w:tcW w:type="dxa" w:w="1679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Chaves vivas (n)</w:t>
            </w:r>
          </w:p>
        </w:tc>
        <w:tc>
          <w:tcPr>
            <w:tcW w:type="dxa" w:w="1469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Altura final</w:t>
            </w:r>
          </w:p>
        </w:tc>
        <w:tc>
          <w:tcPr>
            <w:tcW w:type="dxa" w:w="1679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Altura / log₂(n)</w:t>
            </w:r>
          </w:p>
        </w:tc>
      </w:tr>
      <w:tr>
        <w:trPr>
          <w:tblHeader w:val="false"/>
        </w:trP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AVL</w:t>
            </w:r>
          </w:p>
        </w:tc>
        <w:tc>
          <w:tcPr>
            <w:tcW w:type="dxa" w:w="12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sorted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383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1.17</w:t>
            </w:r>
          </w:p>
        </w:tc>
      </w:tr>
      <w:tr>
        <w:trPr>
          <w:tblHeader w:val="false"/>
        </w:trP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AVL</w:t>
            </w:r>
          </w:p>
        </w:tc>
        <w:tc>
          <w:tcPr>
            <w:tcW w:type="dxa" w:w="12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sorted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4022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1.09</w:t>
            </w:r>
          </w:p>
        </w:tc>
      </w:tr>
      <w:tr>
        <w:trPr>
          <w:tblHeader w:val="false"/>
        </w:trP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AVL</w:t>
            </w:r>
          </w:p>
        </w:tc>
        <w:tc>
          <w:tcPr>
            <w:tcW w:type="dxa" w:w="12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sorted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40698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1.04</w:t>
            </w:r>
          </w:p>
        </w:tc>
      </w:tr>
      <w:tr>
        <w:trPr>
          <w:tblHeader w:val="false"/>
        </w:trP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AVL</w:t>
            </w:r>
          </w:p>
        </w:tc>
        <w:tc>
          <w:tcPr>
            <w:tcW w:type="dxa" w:w="12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sorted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1000000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407757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1.07</w:t>
            </w:r>
          </w:p>
        </w:tc>
      </w:tr>
      <w:tr>
        <w:trPr>
          <w:tblHeader w:val="false"/>
        </w:trP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AVL</w:t>
            </w:r>
          </w:p>
        </w:tc>
        <w:tc>
          <w:tcPr>
            <w:tcW w:type="dxa" w:w="12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sorted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5000000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2038165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1.05</w:t>
            </w:r>
          </w:p>
        </w:tc>
      </w:tr>
      <w:tr>
        <w:trPr>
          <w:tblHeader w:val="false"/>
        </w:trP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AVL</w:t>
            </w:r>
          </w:p>
        </w:tc>
        <w:tc>
          <w:tcPr>
            <w:tcW w:type="dxa" w:w="12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sorted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10000000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4075389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1.05</w:t>
            </w:r>
          </w:p>
        </w:tc>
      </w:tr>
      <w:tr>
        <w:trPr>
          <w:tblHeader w:val="false"/>
        </w:trP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BST ingênua</w:t>
            </w:r>
          </w:p>
        </w:tc>
        <w:tc>
          <w:tcPr>
            <w:tcW w:type="dxa" w:w="12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sorted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383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383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44.63</w:t>
            </w:r>
          </w:p>
        </w:tc>
      </w:tr>
      <w:tr>
        <w:trPr>
          <w:tblHeader w:val="false"/>
        </w:trP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BST ingênua</w:t>
            </w:r>
          </w:p>
        </w:tc>
        <w:tc>
          <w:tcPr>
            <w:tcW w:type="dxa" w:w="12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sorted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4022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4022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335.90</w:t>
            </w:r>
          </w:p>
        </w:tc>
      </w:tr>
      <w:tr>
        <w:trPr>
          <w:tblHeader w:val="false"/>
        </w:trP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AVL</w:t>
            </w:r>
          </w:p>
        </w:tc>
        <w:tc>
          <w:tcPr>
            <w:tcW w:type="dxa" w:w="12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shuffle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393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1.16</w:t>
            </w:r>
          </w:p>
        </w:tc>
      </w:tr>
      <w:tr>
        <w:trPr>
          <w:tblHeader w:val="false"/>
        </w:trP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AVL</w:t>
            </w:r>
          </w:p>
        </w:tc>
        <w:tc>
          <w:tcPr>
            <w:tcW w:type="dxa" w:w="12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shuffle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4130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1.17</w:t>
            </w:r>
          </w:p>
        </w:tc>
      </w:tr>
      <w:tr>
        <w:trPr>
          <w:tblHeader w:val="false"/>
        </w:trP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AVL</w:t>
            </w:r>
          </w:p>
        </w:tc>
        <w:tc>
          <w:tcPr>
            <w:tcW w:type="dxa" w:w="12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shuffle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41064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1.17</w:t>
            </w:r>
          </w:p>
        </w:tc>
      </w:tr>
      <w:tr>
        <w:trPr>
          <w:tblHeader w:val="false"/>
        </w:trP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AVL</w:t>
            </w:r>
          </w:p>
        </w:tc>
        <w:tc>
          <w:tcPr>
            <w:tcW w:type="dxa" w:w="12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shuffle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1000000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407265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1.18</w:t>
            </w:r>
          </w:p>
        </w:tc>
      </w:tr>
      <w:tr>
        <w:trPr>
          <w:tblHeader w:val="false"/>
        </w:trP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AVL</w:t>
            </w:r>
          </w:p>
        </w:tc>
        <w:tc>
          <w:tcPr>
            <w:tcW w:type="dxa" w:w="12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shuffle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5000000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2036332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1.19</w:t>
            </w:r>
          </w:p>
        </w:tc>
      </w:tr>
      <w:tr>
        <w:trPr>
          <w:tblHeader w:val="false"/>
        </w:trP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AVL</w:t>
            </w:r>
          </w:p>
        </w:tc>
        <w:tc>
          <w:tcPr>
            <w:tcW w:type="dxa" w:w="12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shuffle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10000000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4074567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1.18</w:t>
            </w:r>
          </w:p>
        </w:tc>
      </w:tr>
      <w:tr>
        <w:trPr>
          <w:tblHeader w:val="false"/>
        </w:trP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BST ingênua</w:t>
            </w:r>
          </w:p>
        </w:tc>
        <w:tc>
          <w:tcPr>
            <w:tcW w:type="dxa" w:w="12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shuffle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393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1.86</w:t>
            </w:r>
          </w:p>
        </w:tc>
      </w:tr>
      <w:tr>
        <w:trPr>
          <w:tblHeader w:val="false"/>
        </w:trP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BST ingênua</w:t>
            </w:r>
          </w:p>
        </w:tc>
        <w:tc>
          <w:tcPr>
            <w:tcW w:type="dxa" w:w="12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shuffle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4130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2.08</w:t>
            </w:r>
          </w:p>
        </w:tc>
      </w:tr>
      <w:tr>
        <w:trPr>
          <w:tblHeader w:val="false"/>
        </w:trP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BST ingênua</w:t>
            </w:r>
          </w:p>
        </w:tc>
        <w:tc>
          <w:tcPr>
            <w:tcW w:type="dxa" w:w="12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shuffle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41064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2.28</w:t>
            </w:r>
          </w:p>
        </w:tc>
      </w:tr>
      <w:tr>
        <w:trPr>
          <w:tblHeader w:val="false"/>
        </w:trPr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BST ingênua</w:t>
            </w:r>
          </w:p>
        </w:tc>
        <w:tc>
          <w:tcPr>
            <w:tcW w:type="dxa" w:w="12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shuffle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1000000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407265</w:t>
            </w:r>
          </w:p>
        </w:tc>
        <w:tc>
          <w:tcPr>
            <w:tcW w:type="dxa" w:w="14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16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Interpretação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BST ingênua degenera por completo:</w:t>
      </w:r>
      <w:r>
        <w:t xml:space="preserve"> com inserção ordenada, altura final = número de chaves vivas (383 em N=1k; 4.022 em N=10k) — uma corrente. Cada operação vira O(n): em N=10k ela ficou </w:t>
      </w:r>
      <w:r>
        <w:rPr>
          <w:b/>
          <w:bCs/>
        </w:rPr>
        <w:t xml:space="preserve">15,6× mais lenta</w:t>
      </w:r>
      <w:r>
        <w:t xml:space="preserve"> que a AVL (61,1 µs vs 3,9 µs por operação, média).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AVL é imune à ordem:</w:t>
      </w:r>
      <w:r>
        <w:t xml:space="preserve"> altura 23 com 4,08M de chaves vivas — apenas 5% acima do log₂(n) = 22 e bem abaixo do limite teórico 1,44·log₂(n) ≈ 32. O invariante de balanceamento segura a altura nas duas ordens.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Achado contraintuitivo: para a AVL, sorted é o caso bom.</w:t>
      </w:r>
      <w:r>
        <w:t xml:space="preserve"> A inserção ordenada produziu árvores mais baixas (23 vs 26 em 10M) e inserções 29% mais rápidas que shuffle (14,7 vs 20,8 µs). Explicação: inserindo sempre a maior chave, toda inserção desce pela espinha direita — um caminho curto, fixo e quente no cache — e as rotações se concentram nela, empacotando a árvore de forma quase perfeita. Já o shuffle espalha as inserções pela árvore inteira (sem localidade) e deixa a árvore ~13% mais alta. O caso “patológico” do enunciado é patológico para quem </w:t>
      </w:r>
      <w:r>
        <w:rPr>
          <w:b/>
          <w:bCs/>
        </w:rPr>
        <w:t xml:space="preserve">não</w:t>
      </w:r>
      <w:r>
        <w:t xml:space="preserve"> balanceia; para a AVL, ele vira o melhor cenário — nossa evidência mais direta de que o rebalanceamento cumpre o que promete.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 shuffle, a BST ingênua fica com altura ≈ 2,3·log₂(n) (42 vs log₂ = 18,6 em 1M) — consistente com o esperado ~2·log₂(n) de inserção aleatória — e seu desempenho fica competitivo (ver Experimento 5). O balanceamento se justifica mesmo assim: a carga real do grupo </w:t>
      </w:r>
      <w:r>
        <w:rPr>
          <w:b/>
          <w:bCs/>
        </w:rPr>
        <w:t xml:space="preserve">é</w:t>
      </w:r>
      <w:r>
        <w:t xml:space="preserve"> ordenada, e nenhuma estrutura sem garantia de pior caso sobrevive a ela.</w:t>
      </w:r>
    </w:p>
    <w:p>
      <w:pPr>
        <w:pStyle w:val="Heading1"/>
        <w:spacing w:after="160" w:before="320"/>
      </w:pPr>
      <w:r>
        <w:t xml:space="preserve">5. Experimento 4 — Teoria × Prática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3"/>
        <w:gridCol w:w="2106"/>
        <w:gridCol w:w="2708"/>
        <w:gridCol w:w="3009"/>
      </w:tblGrid>
      <w:tr>
        <w:trPr>
          <w:tblHeader/>
        </w:trPr>
        <w:tc>
          <w:tcPr>
            <w:tcW w:type="dxa" w:w="1203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Operação</w:t>
            </w:r>
          </w:p>
        </w:tc>
        <w:tc>
          <w:tcPr>
            <w:tcW w:type="dxa" w:w="2106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Limite teórico</w:t>
            </w:r>
          </w:p>
        </w:tc>
        <w:tc>
          <w:tcPr>
            <w:tcW w:type="dxa" w:w="2708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Comportamento medido (sorted)</w:t>
            </w:r>
          </w:p>
        </w:tc>
        <w:tc>
          <w:tcPr>
            <w:tcW w:type="dxa" w:w="3009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Divergência e explicação</w:t>
            </w:r>
          </w:p>
        </w:tc>
      </w:tr>
      <w:tr>
        <w:trPr>
          <w:tblHeader w:val="false"/>
        </w:trPr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search</w:t>
            </w:r>
          </w:p>
        </w:tc>
        <w:tc>
          <w:tcPr>
            <w:tcW w:type="dxa" w:w="21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O(log n)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681 ns → 3.327 ns de 10k a 10M (4,9×; log puro daria 1,8×)</w:t>
            </w:r>
          </w:p>
        </w:tc>
        <w:tc>
          <w:tcPr>
            <w:tcW w:type="dxa" w:w="30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custo por nível cresce 52 → 145 ns com a árvore fora do cache</w:t>
            </w:r>
          </w:p>
        </w:tc>
      </w:tr>
      <w:tr>
        <w:trPr>
          <w:tblHeader w:val="false"/>
        </w:trPr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insert</w:t>
            </w:r>
          </w:p>
        </w:tc>
        <w:tc>
          <w:tcPr>
            <w:tcW w:type="dxa" w:w="21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O(log n) + rotações O(1) amortizadas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5,5 µs → 14,7 µs; sempre ~4–5× a busca</w:t>
            </w:r>
          </w:p>
        </w:tc>
        <w:tc>
          <w:tcPr>
            <w:tcW w:type="dxa" w:w="30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caminho de volta: _update por nível + alocação de Node + recursão</w:t>
            </w:r>
          </w:p>
        </w:tc>
      </w:tr>
      <w:tr>
        <w:trPr>
          <w:tblHeader w:val="false"/>
        </w:trPr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21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O(log n), até O(log n) rotações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4,4 µs → 13,4 µs; p99 20,3 µs (o maior de todos)</w:t>
            </w:r>
          </w:p>
        </w:tc>
        <w:tc>
          <w:tcPr>
            <w:tcW w:type="dxa" w:w="30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caso de dois filhos: descida extra pelo sucessor + remoção recursiva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Onde a curva real diverge da teórica, e por quê: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Constantes de Python dominam.</w:t>
      </w:r>
      <w:r>
        <w:t xml:space="preserve"> Cada nó é um objeto no heap; cada nível custa uma chamada recursiva, comparações via protocolo de objetos e acesso a atributos por dicionário. O “c” do c·log n é da ordem de centenas de ns — em C seria de unidades de ns. A forma da curva é a teórica; a escala é 100×.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Cache torna o “log n” superlinear na prática.</w:t>
      </w:r>
      <w:r>
        <w:t xml:space="preserve"> A árvore de 10k chaves vivas (~4 mil nós) cabe nos caches; a de 4M de nós não cabe nos 16 MB de L3 do Ryzen 5600GT. A partir daí, cada nível da descida é potencialmente um cache miss de ~100 ns — exatamente o fator ~2,8× que medimos no custo por nível. É por isso que a curva medida sobe mais que a referência c·log₂(n) ajustada nos pontos pequenos.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Rotações são baratas na média, visíveis no p99.</w:t>
      </w:r>
      <w:r>
        <w:t xml:space="preserve"> O custo amortizado O(1) de rotação por inserção aparece: a média de inserção acompanha a busca a fator constante. Já o p99 da remoção (20,3 µs) carrega os casos de dois filhos e cascatas de rebalanceamento até a raiz.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Alocação e GC.</w:t>
      </w:r>
      <w:r>
        <w:t xml:space="preserve"> Inserções pagam a criação do Node; as pausas do GC do CPython aparecem como outliers que engordam o p99 (~1,7–2× o p50) mesmo em operações que não alocam, como a busca.</w:t>
      </w:r>
    </w:p>
    <w:p>
      <w:pPr>
        <w:pStyle w:val="Heading1"/>
        <w:spacing w:after="160" w:before="320"/>
      </w:pPr>
      <w:r>
        <w:t xml:space="preserve">6. Experimento 5 — Linha de base ingênua e ponto de cruzamento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514E"/>
          <w:sz w:val="18"/>
          <w:szCs w:val="18"/>
        </w:rPr>
        <w:t xml:space="preserve">Figura 5 — AVL vs BST sem balanceamento (média por operação), por ordem de inserção.</w:t>
      </w:r>
    </w:p>
    <w:p>
      <w:pPr>
        <w:pStyle w:val="Heading3"/>
        <w:spacing w:after="100" w:before="200"/>
      </w:pPr>
      <w:r>
        <w:t xml:space="preserve">Dados medidos (média por operação, em µs)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7"/>
        <w:gridCol w:w="1805"/>
        <w:gridCol w:w="1805"/>
        <w:gridCol w:w="2063"/>
        <w:gridCol w:w="1805"/>
      </w:tblGrid>
      <w:tr>
        <w:trPr>
          <w:tblHeader/>
        </w:trPr>
        <w:tc>
          <w:tcPr>
            <w:tcW w:type="dxa" w:w="1547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Ordem</w:t>
            </w:r>
          </w:p>
        </w:tc>
        <w:tc>
          <w:tcPr>
            <w:tcW w:type="dxa" w:w="1805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N (ops)</w:t>
            </w:r>
          </w:p>
        </w:tc>
        <w:tc>
          <w:tcPr>
            <w:tcW w:type="dxa" w:w="1805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AVL (µs)</w:t>
            </w:r>
          </w:p>
        </w:tc>
        <w:tc>
          <w:tcPr>
            <w:tcW w:type="dxa" w:w="2063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BST ingênua (µs)</w:t>
            </w:r>
          </w:p>
        </w:tc>
        <w:tc>
          <w:tcPr>
            <w:tcW w:type="dxa" w:w="1805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ingênua / AVL</w:t>
            </w:r>
          </w:p>
        </w:tc>
      </w:tr>
      <w:tr>
        <w:trPr>
          <w:tblHeader w:val="false"/>
        </w:trPr>
        <w:tc>
          <w:tcPr>
            <w:tcW w:type="dxa" w:w="15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sorted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4.91</w:t>
            </w:r>
          </w:p>
        </w:tc>
        <w:tc>
          <w:tcPr>
            <w:tcW w:type="dxa" w:w="20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5.95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1.21×</w:t>
            </w:r>
          </w:p>
        </w:tc>
      </w:tr>
      <w:tr>
        <w:trPr>
          <w:tblHeader w:val="false"/>
        </w:trPr>
        <w:tc>
          <w:tcPr>
            <w:tcW w:type="dxa" w:w="15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sorted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3.91</w:t>
            </w:r>
          </w:p>
        </w:tc>
        <w:tc>
          <w:tcPr>
            <w:tcW w:type="dxa" w:w="20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61.13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15.65×</w:t>
            </w:r>
          </w:p>
        </w:tc>
      </w:tr>
      <w:tr>
        <w:trPr>
          <w:tblHeader w:val="false"/>
        </w:trPr>
        <w:tc>
          <w:tcPr>
            <w:tcW w:type="dxa" w:w="15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sorted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5.19</w:t>
            </w:r>
          </w:p>
        </w:tc>
        <w:tc>
          <w:tcPr>
            <w:tcW w:type="dxa" w:w="20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sorted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1000000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7.40</w:t>
            </w:r>
          </w:p>
        </w:tc>
        <w:tc>
          <w:tcPr>
            <w:tcW w:type="dxa" w:w="20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sorted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5000000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9.56</w:t>
            </w:r>
          </w:p>
        </w:tc>
        <w:tc>
          <w:tcPr>
            <w:tcW w:type="dxa" w:w="20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sorted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10000000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11.10</w:t>
            </w:r>
          </w:p>
        </w:tc>
        <w:tc>
          <w:tcPr>
            <w:tcW w:type="dxa" w:w="20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shuffle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2.66</w:t>
            </w:r>
          </w:p>
        </w:tc>
        <w:tc>
          <w:tcPr>
            <w:tcW w:type="dxa" w:w="20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0.54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0.20×</w:t>
            </w:r>
          </w:p>
        </w:tc>
      </w:tr>
      <w:tr>
        <w:trPr>
          <w:tblHeader w:val="false"/>
        </w:trPr>
        <w:tc>
          <w:tcPr>
            <w:tcW w:type="dxa" w:w="15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shuffle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3.86</w:t>
            </w:r>
          </w:p>
        </w:tc>
        <w:tc>
          <w:tcPr>
            <w:tcW w:type="dxa" w:w="20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0.72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0.19×</w:t>
            </w:r>
          </w:p>
        </w:tc>
      </w:tr>
      <w:tr>
        <w:trPr>
          <w:tblHeader w:val="false"/>
        </w:trPr>
        <w:tc>
          <w:tcPr>
            <w:tcW w:type="dxa" w:w="15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shuffle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5.37</w:t>
            </w:r>
          </w:p>
        </w:tc>
        <w:tc>
          <w:tcPr>
            <w:tcW w:type="dxa" w:w="20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1.20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0.22×</w:t>
            </w:r>
          </w:p>
        </w:tc>
      </w:tr>
      <w:tr>
        <w:trPr>
          <w:tblHeader w:val="false"/>
        </w:trPr>
        <w:tc>
          <w:tcPr>
            <w:tcW w:type="dxa" w:w="15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shuffle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1000000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8.23</w:t>
            </w:r>
          </w:p>
        </w:tc>
        <w:tc>
          <w:tcPr>
            <w:tcW w:type="dxa" w:w="20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2.93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0.36×</w:t>
            </w:r>
          </w:p>
        </w:tc>
      </w:tr>
      <w:tr>
        <w:trPr>
          <w:tblHeader w:val="false"/>
        </w:trPr>
        <w:tc>
          <w:tcPr>
            <w:tcW w:type="dxa" w:w="15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shuffle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5000000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11.47</w:t>
            </w:r>
          </w:p>
        </w:tc>
        <w:tc>
          <w:tcPr>
            <w:tcW w:type="dxa" w:w="20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shuffle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10000000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14.69</w:t>
            </w:r>
          </w:p>
        </w:tc>
        <w:tc>
          <w:tcPr>
            <w:tcW w:type="dxa" w:w="20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Interpretação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Ordem sorted (a carga do grupo): o cruzamento acontece antes de n=383.</w:t>
      </w:r>
      <w:r>
        <w:t xml:space="preserve"> Já no menor cenário medido (N=1k, 383 chaves vivas) a AVL vence (4,9 vs 5,9 µs), e em N=10k a vantagem é 15,6×, crescendo linearmente com n. Para a carga real do Grupo 7, não existe faixa em que a ingênua compense.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Ordem shuffle: o cruzamento não ocorre na faixa medida — a ingênua é 2,8–4,9× mais rápida.</w:t>
      </w:r>
      <w:r>
        <w:t xml:space="preserve"> Com inserção aleatória a BST fica só ~2× mais profunda, e cada operação dela executa muito menos trabalho em Python (laço iterativo, sem _update, sem rebalanceamento, sem recursão). A vantagem da ingênua, porém, </w:t>
      </w:r>
      <w:r>
        <w:rPr>
          <w:b/>
          <w:bCs/>
        </w:rPr>
        <w:t xml:space="preserve">encolhe com n</w:t>
      </w:r>
      <w:r>
        <w:t xml:space="preserve"> (4,9× em 1k → 2,8× em 1M), porque a profundidade 2·log₂(n) dela paga cada vez mais cache misses que a AVL, mais rasa. Extrapolando a tendência, o cruzamento ocorreria em n na casa das dezenas/centenas de milhões — mas, principalmente, essa comparação só vale para carga aleatória e sem adversários.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Síntese: o que se compra com o rebalanceamento é a garantia, não a média.</w:t>
      </w:r>
      <w:r>
        <w:t xml:space="preserve"> A ingênua é imbatível quando a ordem de chegada é aleatória e o pior caso não importa; basta a ordem ser desfavorável (a nossa é!) para ela colapsar em O(n). A AVL paga um fator constante (~3×) na carga aleatória para garantir O(log n) em </w:t>
      </w:r>
      <w:r>
        <w:rPr>
          <w:b/>
          <w:bCs/>
        </w:rPr>
        <w:t xml:space="preserve">qualquer</w:t>
      </w:r>
      <w:r>
        <w:t xml:space="preserve"> carga — incluindo p99 estável.</w:t>
      </w:r>
    </w:p>
    <w:p>
      <w:pPr>
        <w:pStyle w:val="Heading1"/>
        <w:spacing w:after="160" w:before="320"/>
      </w:pPr>
      <w:r>
        <w:t xml:space="preserve">7. Conclusões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comportamento O(log n) da AVL aumentada </w:t>
      </w:r>
      <w:r>
        <w:rPr>
          <w:b/>
          <w:bCs/>
        </w:rPr>
        <w:t xml:space="preserve">se confirmou nas quatro ordens de grandeza</w:t>
      </w:r>
      <w:r>
        <w:t xml:space="preserve">, com altura a ≤ 5% do log₂(n) mínimo e todas as 26 execuções aprovadas pelo oráculo transitivo.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divergências entre curva medida e teórica têm três causas mensuráveis, em ordem de importância: constantes do interpretador (~100×), efeitos de cache quando a árvore excede o L3 (custo por nível ~2,8×) e outliers de GC/rotação concentrados no p99.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enviesamento Zipfiano ajuda o caso típico (p50 da busca cai ~48% em θ=1.2) e não muda a cauda — quem dimensiona por p99 não deve contar com a distribuição de acessos.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a carga específica do grupo (55% inserções </w:t>
      </w:r>
      <w:r>
        <w:rPr>
          <w:b/>
          <w:bCs/>
        </w:rPr>
        <w:t xml:space="preserve">ordenadas</w:t>
      </w:r>
      <w:r>
        <w:t xml:space="preserve">), o balanceamento não é otimização: é a diferença entre 3,3 µs e um custo O(n) que já era 15,6× pior com apenas 10k operações.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Apêndice A — Dados completos das medições</w:t>
      </w:r>
    </w:p>
    <w:p>
      <w:pPr>
        <w:spacing w:after="120"/>
      </w:pPr>
      <w:r>
        <w:t xml:space="preserve">Fonte: </w:t>
      </w:r>
      <w:r>
        <w:rPr>
          <w:rFonts w:ascii="Consolas" w:cs="Consolas" w:eastAsia="Consolas" w:hAnsi="Consolas"/>
        </w:rPr>
        <w:t xml:space="preserve">benchmark_summary.csv</w:t>
      </w:r>
      <w:r>
        <w:t xml:space="preserve">, gerado por </w:t>
      </w:r>
      <w:r>
        <w:rPr>
          <w:rFonts w:ascii="Consolas" w:cs="Consolas" w:eastAsia="Consolas" w:hAnsi="Consolas"/>
        </w:rPr>
        <w:t xml:space="preserve">benchmark_manager.py</w:t>
      </w:r>
      <w:r>
        <w:t xml:space="preserve"> na máquina da §1.1 (seed 7). Latências em microssegundos (µs). Todas as 26 execuções foram verificadas pelo oráculo (coluna Oráculo).</w:t>
      </w:r>
    </w:p>
    <w:p>
      <w:pPr>
        <w:pStyle w:val="Heading3"/>
        <w:spacing w:after="100" w:before="200"/>
      </w:pPr>
      <w:r>
        <w:t xml:space="preserve">Tabela A1 — visão geral por cenário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1"/>
        <w:gridCol w:w="1740"/>
        <w:gridCol w:w="652"/>
        <w:gridCol w:w="761"/>
        <w:gridCol w:w="652"/>
        <w:gridCol w:w="435"/>
        <w:gridCol w:w="652"/>
        <w:gridCol w:w="652"/>
        <w:gridCol w:w="652"/>
        <w:gridCol w:w="652"/>
        <w:gridCol w:w="544"/>
        <w:gridCol w:w="870"/>
      </w:tblGrid>
      <w:tr>
        <w:trPr>
          <w:tblHeader/>
        </w:trPr>
        <w:tc>
          <w:tcPr>
            <w:tcW w:type="dxa" w:w="761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Experimento</w:t>
            </w:r>
          </w:p>
        </w:tc>
        <w:tc>
          <w:tcPr>
            <w:tcW w:type="dxa" w:w="1740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Cenário</w:t>
            </w:r>
          </w:p>
        </w:tc>
        <w:tc>
          <w:tcPr>
            <w:tcW w:type="dxa" w:w="652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Estrutura</w:t>
            </w:r>
          </w:p>
        </w:tc>
        <w:tc>
          <w:tcPr>
            <w:tcW w:type="dxa" w:w="761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Ops</w:t>
            </w:r>
          </w:p>
        </w:tc>
        <w:tc>
          <w:tcPr>
            <w:tcW w:type="dxa" w:w="652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Ordem</w:t>
            </w:r>
          </w:p>
        </w:tc>
        <w:tc>
          <w:tcPr>
            <w:tcW w:type="dxa" w:w="435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θ</w:t>
            </w:r>
          </w:p>
        </w:tc>
        <w:tc>
          <w:tcPr>
            <w:tcW w:type="dxa" w:w="652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Oráculo</w:t>
            </w:r>
          </w:p>
        </w:tc>
        <w:tc>
          <w:tcPr>
            <w:tcW w:type="dxa" w:w="652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Média</w:t>
            </w:r>
          </w:p>
        </w:tc>
        <w:tc>
          <w:tcPr>
            <w:tcW w:type="dxa" w:w="652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p50</w:t>
            </w:r>
          </w:p>
        </w:tc>
        <w:tc>
          <w:tcPr>
            <w:tcW w:type="dxa" w:w="652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p99</w:t>
            </w:r>
          </w:p>
        </w:tc>
        <w:tc>
          <w:tcPr>
            <w:tcW w:type="dxa" w:w="544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Altura</w:t>
            </w:r>
          </w:p>
        </w:tc>
        <w:tc>
          <w:tcPr>
            <w:tcW w:type="dxa" w:w="870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Chaves vivas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escala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wiki_1k_sorted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sorted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4.91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6.00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9.40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383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escala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wiki_1k_sorted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naive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sorted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5.95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15.30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383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383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escala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wiki_1k_shuffle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shuffle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2.66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3.10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6.20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393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escala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wiki_1k_shuffle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naive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shuffle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0.54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0.50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1.50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393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escala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wiki_10k_sorted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sorted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3.91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4.80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8.30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4022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escala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wiki_10k_sorted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naive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sorted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61.13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50.80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157.90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4022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4022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escala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wiki_10k_shuffle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shuffle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3.86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4.60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7.90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4130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escala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wiki_10k_shuffle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naive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shuffle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0.72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0.70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1.70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4130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escala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wiki_100k_sorted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sorted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5.19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6.30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10.60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40698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escala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wiki_100k_shuffle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shuffle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5.37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6.30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11.90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41064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escala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wiki_100k_shuffle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naive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shuffle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1.20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2.90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35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41064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escala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wiki_1M_sorted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sorted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7.40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8.10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16.40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407757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escala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wiki_1M_shuffle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shuffle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8.23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9.30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16.50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407265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escala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wiki_1M_shuffle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naive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shuffle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2.93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2.20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7.40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42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407265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escala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wiki_5M_sorted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5000000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sorted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9.56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9.10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16.10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2038165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escala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wiki_5M_shuffle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5000000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shuffle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11.47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11.70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18.90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2036332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escala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wiki_10M_sorted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sorted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11.10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9.60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16.70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23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4075389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escala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wiki_10M_shuffle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shuffle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14.69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12.90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24.80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26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4074567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theta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wiki_1M_sorted_theta0_0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sorted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7.15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15.10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407757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theta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wiki_1M_shuffle_theta0_0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shuffle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8.13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17.80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407265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theta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wiki_1M_sorted_theta0_6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sorted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7.11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15.00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407757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theta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wiki_1M_shuffle_theta0_6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shuffle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8.21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18.00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407265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theta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wiki_1M_sorted_theta0_99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sorted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0.99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7.02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7.90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15.20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407757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theta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wiki_1M_shuffle_theta0_99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shuffle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0.99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8.32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8.90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18.70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407265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theta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wiki_1M_sorted_theta1_2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sorted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1.2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6.93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7.80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14.80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407757</w:t>
            </w:r>
          </w:p>
        </w:tc>
      </w:tr>
      <w:tr>
        <w:trPr>
          <w:tblHeader w:val="false"/>
        </w:trPr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theta</w:t>
            </w:r>
          </w:p>
        </w:tc>
        <w:tc>
          <w:tcPr>
            <w:tcW w:type="dxa" w:w="1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wiki_1M_shuffle_theta1_2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1000000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shuffle</w:t>
            </w:r>
          </w:p>
        </w:tc>
        <w:tc>
          <w:tcPr>
            <w:tcW w:type="dxa" w:w="4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1.2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OK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8.10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8.80</w:t>
            </w:r>
          </w:p>
        </w:tc>
        <w:tc>
          <w:tcPr>
            <w:tcW w:type="dxa" w:w="6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18.30</w:t>
            </w:r>
          </w:p>
        </w:tc>
        <w:tc>
          <w:tcPr>
            <w:tcW w:type="dxa" w:w="5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407265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Tabela A2 — latências por tipo de operação (µs)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</w:tblGrid>
      <w:tr>
        <w:trPr>
          <w:tblHeader/>
        </w:trPr>
        <w:tc>
          <w:tcPr>
            <w:tcW w:type="dxa" w:w="1900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Cenário</w:t>
            </w:r>
          </w:p>
        </w:tc>
        <w:tc>
          <w:tcPr>
            <w:tcW w:type="dxa" w:w="713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Estrutura</w:t>
            </w:r>
          </w:p>
        </w:tc>
        <w:tc>
          <w:tcPr>
            <w:tcW w:type="dxa" w:w="713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I média</w:t>
            </w:r>
          </w:p>
        </w:tc>
        <w:tc>
          <w:tcPr>
            <w:tcW w:type="dxa" w:w="713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I p50</w:t>
            </w:r>
          </w:p>
        </w:tc>
        <w:tc>
          <w:tcPr>
            <w:tcW w:type="dxa" w:w="713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I p99</w:t>
            </w:r>
          </w:p>
        </w:tc>
        <w:tc>
          <w:tcPr>
            <w:tcW w:type="dxa" w:w="713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D média</w:t>
            </w:r>
          </w:p>
        </w:tc>
        <w:tc>
          <w:tcPr>
            <w:tcW w:type="dxa" w:w="713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D p50</w:t>
            </w:r>
          </w:p>
        </w:tc>
        <w:tc>
          <w:tcPr>
            <w:tcW w:type="dxa" w:w="713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D p99</w:t>
            </w:r>
          </w:p>
        </w:tc>
        <w:tc>
          <w:tcPr>
            <w:tcW w:type="dxa" w:w="713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S média</w:t>
            </w:r>
          </w:p>
        </w:tc>
        <w:tc>
          <w:tcPr>
            <w:tcW w:type="dxa" w:w="713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S p50</w:t>
            </w:r>
          </w:p>
        </w:tc>
        <w:tc>
          <w:tcPr>
            <w:tcW w:type="dxa" w:w="713"/>
            <w:shd w:fill="EDF3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S p99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wiki_1k_sorted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7.06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7.30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10.30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5.22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5.40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7.50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0.83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0.80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2.60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wiki_1k_sorted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naive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8.11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8.00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15.40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4.07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2.90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3.05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12.80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wiki_1k_shuffle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3.74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7.40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3.05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0.49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0.50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wiki_1k_shuffle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naive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0.59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0.61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1.50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0.42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0.40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1.40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wiki_10k_sorted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5.52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9.00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4.43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4.40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7.80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0.68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0.70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1.30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wiki_10k_sorted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naive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81.70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81.20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160.10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40.85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29.60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145.00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33.85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23.10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131.80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wiki_10k_shuffle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5.34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8.40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4.69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4.70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6.90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0.71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0.70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1.20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wiki_10k_shuffle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naive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0.80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0.70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1.80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0.75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0.70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1.70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0.57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1.10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wiki_100k_sorted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6.97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6.80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6.57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11.20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1.22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2.60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wiki_100k_shuffle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7.32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12.80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6.64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11.90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1.19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2.60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wiki_100k_shuffle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naive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1.31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3.00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1.27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1.20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0.98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0.90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2.50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wiki_1M_sorted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9.46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8.40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10.19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9.70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20.50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2.21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5.30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wiki_1M_shuffle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11.09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10.30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17.60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9.83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9.80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16.40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2.19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2.20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4.20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wiki_1M_shuffle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naive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3.38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2.20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2.71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2.40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7.80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2.21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1.90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6.70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wiki_5M_sorted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12.36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9.30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15.40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12.43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12.50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20.30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2.99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5.50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wiki_5M_shuffle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15.72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12.90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20.20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12.39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12.40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19.30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3.21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3.20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5.60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wiki_10M_sorted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14.70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10.00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13.41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13.60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19.90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3.33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3.40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5.80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wiki_10M_shuffle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20.81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14.30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25.70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14.14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13.80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24.50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3.75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3.70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7.10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wiki_1M_sorted_theta0_0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9.22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8.30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14.80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9.68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9.40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17.50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2.06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4.20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wiki_1M_shuffle_theta0_0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10.98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10.00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18.60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9.71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9.50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17.30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4.20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wiki_1M_sorted_theta0_6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9.19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8.30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14.70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9.40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17.30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2.03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4.20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wiki_1M_shuffle_theta0_6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18.80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9.84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17.50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2.11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4.20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wiki_1M_sorted_theta0_99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9.29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8.30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15.10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17.50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1.83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1.70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4.30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wiki_1M_shuffle_theta0_99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11.41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10.20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19.50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9.58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9.20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17.80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2.02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4.30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wiki_1M_sorted_theta1_2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9.39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8.30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14.90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8.50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17.50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1.62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1.10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4.60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wiki_1M_shuffle_theta1_2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avl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11.28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10.20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19.20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8.96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8.40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16.90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1.83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1.60</w:t>
            </w:r>
          </w:p>
        </w:tc>
        <w:tc>
          <w:tcPr>
            <w:tcW w:type="dxa" w:w="7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4.20</w:t>
            </w:r>
          </w:p>
        </w:tc>
      </w:tr>
    </w:tbl>
    <w:p>
      <w:pPr>
        <w:spacing w:after="100"/>
      </w:pPr>
    </w:p>
    <w:p>
      <w:pPr>
        <w:spacing w:before="240"/>
      </w:pPr>
      <w:r>
        <w:rPr>
          <w:i/>
          <w:iCs/>
          <w:color w:val="52514E"/>
          <w:sz w:val="18"/>
          <w:szCs w:val="18"/>
        </w:rPr>
        <w:t xml:space="preserve">Todos os gráficos e tabelas deste relatório foram gerados a partir de medições executadas na máquina identificada na §1.1 (scripts/generate_charts.py, dados brutos em data/outputs/, verificados pelo oráculo).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84F95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C5CAB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0B0B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11bf71e06194d86349e94129e0ae3cb5e37262.png"/><Relationship Id="rId8" Type="http://schemas.openxmlformats.org/officeDocument/2006/relationships/image" Target="media/498a7f17eb130eec7616a04c3a7bd40047d28bbd.png"/><Relationship Id="rId9" Type="http://schemas.openxmlformats.org/officeDocument/2006/relationships/image" Target="media/4231fa32152a6a2d35effa77ec761058e56209ed.png"/><Relationship Id="rId10" Type="http://schemas.openxmlformats.org/officeDocument/2006/relationships/image" Target="media/6e48b927686716f19771576cfa7338ce8e0fcdeb.png"/><Relationship Id="rId11" Type="http://schemas.openxmlformats.org/officeDocument/2006/relationships/image" Target="media/07e13e188b4164aee6456106f45f5f02b3f7698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2026-07-15T18:30:18.888Z</dcterms:created>
  <dcterms:modified xsi:type="dcterms:W3CDTF">2026-07-15T18:30:18.889Z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