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  <w:color w:val="24292E"/>
        </w:rPr>
        <w:t xml:space="preserve">Usecase «Планирование дорожных работ»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24292E"/>
        </w:rPr>
        <w:t xml:space="preserve">Сценарий использования –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«Просмотр экспонатов (прямой переход)».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24292E"/>
        </w:rPr>
        <w:t xml:space="preserve">Действующее лицо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: Пользователь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24292E"/>
        </w:rPr>
        <w:t xml:space="preserve">Основной сценарий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открывает приложение.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пункт «Продолжить как Гость».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В случае, если пользователь желает вернуться на шаг назад, он нажимает «Стрелку».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зал по изображению одного из экспонатов, находящихся в этом зале. При наведении на изображение появляется краткое описание зала.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страницу, где отображены экспонаты выбранного зала, их названия и эпоха.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экспонат для просмотра путем нажатия на соответствующее изображение.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описанием экспоната (при наличии Название, Автор, Период, Категория, Ключевые слова, Описание).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возвращается в коллекцию зала по нажатию на стрелку.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Далее пользователь может выбрать: перейти к выбору другого зала (по нажатию на стрелку) или перейти к выбору другого экспоната (по нажатию на соответствующее изображение).</w:t>
      </w:r>
      <w:r>
        <w:rPr>
          <w:rFonts w:ascii="Times New Roman" w:hAnsi="Times New Roman" w:cs="Times New Roman"/>
          <w:sz w:val="24"/>
          <w:sz-cs w:val="24"/>
          <w:b/>
          <w:color w:val="24292E"/>
        </w:rPr>
        <w:t xml:space="preserve"/>
        <w:br w:type="page"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24292E"/>
        </w:rPr>
        <w:t xml:space="preserve">Сценарий использования –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«Просмотр экспонатов по заданным критериям».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24292E"/>
        </w:rPr>
        <w:t xml:space="preserve">Действующее лицо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: Пользователь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24292E"/>
        </w:rPr>
        <w:t xml:space="preserve">Основной сценарий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открывает приложение.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пункт «Продолжить как Гость».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В случае, если пользователь желает вернуться на шаг назад, он нажимает «Стрелку».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один из пунктов меню в верхней части экрана: «Поиск по автору», «Поиск по категории», «Поиск по ключевым словам», «Поиск по периодам».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В случае, когда пользователь выбирает «Поиск по автору», он попадает на страницу «Поиск по автору».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автора.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экспонатами, принадлежащими выбранному автору.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экспонат для просмотра путем нажатия на соответствующее изображение.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описанием экспоната (при наличии Название, Автор, Период, Категория, Ключевые слова, Описание).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возвращается в собрание автора по нажатию на стрелку.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Далее пользователь может выбрать: перейти к выбору другого автора (по нажатию на стрелку) или перейти к выбору другого экспоната (по нажатию на соответствующее изображение).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В случае, когда пользователь выбирает «Поиск по категории», он попадает на страницу «Поиск по категории».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категорию.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экспонатами, относящимися к выбранной категории.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экспонат для просмотра путем нажатия на соответствующее изображение.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описанием экспоната (при наличии Название, Автор, Период, Категория, Ключевые слова, Описание).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возвращается в коллекцию по категории по нажатию на стрелку.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Далее пользователь может выбрать: перейти к выбору другой категории (по нажатию на стрелку) или перейти к выбору другого экспоната (по нажатию на соответствующее изображение).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В случае, когда пользователь выбирает «Поиск по ключевым словам», он попадает на страницу «Поиск по ключевым словам».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ключевое слово.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экспонатами, относящимися к выбранному ключевому слову.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экспонат для просмотра путем нажатия на соответствующее изображение.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описанием экспоната (при наличии Название, Автор, Период, Категория, Ключевые слова, Описание).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возвращается в коллекцию по ключевому слову по нажатию на стрелку.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Далее пользователь может выбрать: перейти к выбору ключевого слова (по нажатию на стрелку) или перейти к выбору другого экспоната (по нажатию на соответствующее изображение).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В случае, когда пользователь выбирает «Поиск по периодам», он попадает на страницу «Поиск по периодам».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период.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экспонатами, относящимися к выбранному периоду.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экспонат для просмотра путем нажатия на соответствующее изображение.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описанием экспоната (при наличии Название, Автор, Период, Категория, Ключевые слова, Описание).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возвращается в коллекцию по периоду по нажатию на стрелку.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Далее пользователь может выбрать: перейти к выбору другого периода (по нажатию на стрелку) или перейти к выбору другого экспоната (по нажатию на соответствующее изображение).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Вставить вместо текущего первого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Вставить вместо текущего второго экрана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Вставить 13-е окно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Вставить 15-е окно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Вставить 17-е окно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Вставить 18-е окно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Вставить 19-е окно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Вставить 20-е окно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Вставить 16-е окно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sectPr>
      <w:pgSz w:w="11900" w:h="16840"/>
      <w:pgMar w:top="1134" w:right="851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</cp:coreProperties>
</file>

<file path=docProps/meta.xml><?xml version="1.0" encoding="utf-8"?>
<meta xmlns="http://schemas.apple.com/cocoa/2006/metadata">
  <generator>CocoaOOXMLWriter/1894.6</generator>
</meta>
</file>