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5045710</wp:posOffset>
            </wp:positionH>
            <wp:positionV relativeFrom="page">
              <wp:posOffset>492759</wp:posOffset>
            </wp:positionV>
            <wp:extent cx="1558289" cy="295036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8289" cy="29503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8000" cy="99060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06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8" w:lineRule="exact" w:before="100" w:after="0"/>
        <w:ind w:left="96" w:right="792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Taktiqa Capital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>Global Macro Investing</w:t>
      </w:r>
    </w:p>
    <w:p>
      <w:pPr>
        <w:autoSpaceDN w:val="0"/>
        <w:autoSpaceDE w:val="0"/>
        <w:widowControl/>
        <w:spacing w:line="330" w:lineRule="exact" w:before="408" w:after="210"/>
        <w:ind w:left="14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April 2025 </w:t>
      </w:r>
      <w:r>
        <w:rPr>
          <w:rFonts w:ascii="" w:hAnsi="" w:eastAsia=""/>
          <w:b w:val="0"/>
          <w:i w:val="0"/>
          <w:color w:val="000000"/>
          <w:sz w:val="24"/>
        </w:rPr>
        <w:t>| Monthly Factsheet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6.000000000000014" w:type="dxa"/>
      </w:tblPr>
      <w:tblGrid>
        <w:gridCol w:w="3433"/>
        <w:gridCol w:w="3433"/>
        <w:gridCol w:w="3433"/>
      </w:tblGrid>
      <w:tr>
        <w:trPr>
          <w:trHeight w:hRule="exact" w:val="364"/>
        </w:trPr>
        <w:tc>
          <w:tcPr>
            <w:tcW w:type="dxa" w:w="4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94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Summary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60" w:after="0"/>
              <w:ind w:left="0" w:right="61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FFFF"/>
                <w:sz w:val="18"/>
              </w:rPr>
              <w:t>Risk Profile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60" w:after="0"/>
              <w:ind w:left="0" w:right="150" w:firstLine="0"/>
              <w:jc w:val="righ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Higher risk</w:t>
            </w:r>
          </w:p>
        </w:tc>
      </w:tr>
      <w:tr>
        <w:trPr>
          <w:trHeight w:hRule="exact" w:val="264"/>
        </w:trPr>
        <w:tc>
          <w:tcPr>
            <w:tcW w:type="dxa" w:w="3433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92" w:after="0"/>
              <w:ind w:left="0" w:right="964" w:firstLine="0"/>
              <w:jc w:val="righ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Lower risk</w:t>
            </w:r>
          </w:p>
        </w:tc>
        <w:tc>
          <w:tcPr>
            <w:tcW w:type="dxa" w:w="343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56" w:lineRule="exact" w:before="14" w:after="0"/>
        <w:ind w:left="14" w:right="0" w:firstLine="0"/>
        <w:jc w:val="left"/>
      </w:pPr>
      <w:r>
        <w:rPr>
          <w:rFonts w:ascii="" w:hAnsi="" w:eastAsia=""/>
          <w:b/>
          <w:i w:val="0"/>
          <w:color w:val="000000"/>
          <w:sz w:val="14"/>
        </w:rPr>
        <w:t>Taktiqa Capital is an alternative investment firm founded by practitioners with a track record of navigating</w:t>
      </w:r>
    </w:p>
    <w:p>
      <w:pPr>
        <w:autoSpaceDN w:val="0"/>
        <w:autoSpaceDE w:val="0"/>
        <w:widowControl/>
        <w:spacing w:line="154" w:lineRule="exact" w:before="28" w:after="0"/>
        <w:ind w:left="14" w:right="0" w:firstLine="0"/>
        <w:jc w:val="left"/>
      </w:pPr>
      <w:r>
        <w:rPr>
          <w:rFonts w:ascii="" w:hAnsi="" w:eastAsia=""/>
          <w:b/>
          <w:i w:val="0"/>
          <w:color w:val="000000"/>
          <w:sz w:val="14"/>
        </w:rPr>
        <w:t>complexity across regimes. Originating from the proprietary trading desk of a leading Central European bank,</w:t>
      </w:r>
    </w:p>
    <w:p>
      <w:pPr>
        <w:autoSpaceDN w:val="0"/>
        <w:autoSpaceDE w:val="0"/>
        <w:widowControl/>
        <w:spacing w:line="156" w:lineRule="exact" w:before="4" w:after="0"/>
        <w:ind w:left="14" w:right="0" w:firstLine="0"/>
        <w:jc w:val="left"/>
      </w:pPr>
      <w:r>
        <w:rPr>
          <w:rFonts w:ascii="" w:hAnsi="" w:eastAsia=""/>
          <w:b/>
          <w:i w:val="0"/>
          <w:color w:val="000000"/>
          <w:sz w:val="14"/>
        </w:rPr>
        <w:t>we pursue a tactical and risk-disciplined approach to macro investing. Our strategy targets mid-teen returns with</w:t>
      </w:r>
    </w:p>
    <w:p>
      <w:pPr>
        <w:autoSpaceDN w:val="0"/>
        <w:autoSpaceDE w:val="0"/>
        <w:widowControl/>
        <w:spacing w:line="156" w:lineRule="exact" w:before="26" w:after="0"/>
        <w:ind w:left="14" w:right="0" w:firstLine="0"/>
        <w:jc w:val="left"/>
      </w:pPr>
      <w:r>
        <w:rPr>
          <w:rFonts w:ascii="" w:hAnsi="" w:eastAsia=""/>
          <w:b/>
          <w:i w:val="0"/>
          <w:color w:val="000000"/>
          <w:sz w:val="14"/>
        </w:rPr>
        <w:t>low correlation to traditional asset classes. Capital is allocated with intent, across liquid instruments in sovereign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6.000000000000014" w:type="dxa"/>
      </w:tblPr>
      <w:tblGrid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  <w:gridCol w:w="858"/>
      </w:tblGrid>
      <w:tr>
        <w:trPr>
          <w:trHeight w:hRule="exact" w:val="16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rates,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currencies,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commodities,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and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equity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indices.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Decisions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are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discretionary,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grounded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in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" w:after="0"/>
              <w:ind w:left="6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macro</w:t>
            </w:r>
          </w:p>
        </w:tc>
      </w:tr>
    </w:tbl>
    <w:p>
      <w:pPr>
        <w:autoSpaceDN w:val="0"/>
        <w:autoSpaceDE w:val="0"/>
        <w:widowControl/>
        <w:spacing w:line="156" w:lineRule="exact" w:before="0" w:after="276"/>
        <w:ind w:left="14" w:right="0" w:firstLine="0"/>
        <w:jc w:val="left"/>
      </w:pPr>
      <w:r>
        <w:rPr>
          <w:rFonts w:ascii="" w:hAnsi="" w:eastAsia=""/>
          <w:b/>
          <w:i w:val="0"/>
          <w:color w:val="000000"/>
          <w:sz w:val="14"/>
        </w:rPr>
        <w:t>fundamentals, and executed with a structured, narrative-aware, and multi-factor process refined over 15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>
        <w:trPr>
          <w:trHeight w:hRule="exact" w:val="370"/>
        </w:trPr>
        <w:tc>
          <w:tcPr>
            <w:tcW w:type="dxa" w:w="3074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1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Investment Objective</w:t>
            </w:r>
          </w:p>
        </w:tc>
        <w:tc>
          <w:tcPr>
            <w:tcW w:type="dxa" w:w="37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46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Who Should Invest?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4" w:after="0"/>
              <w:ind w:left="37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FFFF"/>
                <w:sz w:val="18"/>
              </w:rPr>
              <w:t>Strategy Parameters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96" w:after="0"/>
              <w:ind w:left="0" w:right="40" w:firstLine="0"/>
              <w:jc w:val="right"/>
            </w:pPr>
            <w:r>
              <w:rPr>
                <w:rFonts w:ascii="" w:hAnsi="" w:eastAsia=""/>
                <w:b/>
                <w:i w:val="0"/>
                <w:color w:val="FFF9F3"/>
                <w:sz w:val="14"/>
              </w:rPr>
              <w:t>Global Macro</w:t>
            </w:r>
          </w:p>
        </w:tc>
      </w:tr>
      <w:tr>
        <w:trPr>
          <w:trHeight w:hRule="exact" w:val="218"/>
        </w:trPr>
        <w:tc>
          <w:tcPr>
            <w:tcW w:type="dxa" w:w="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54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A.</w:t>
            </w:r>
          </w:p>
        </w:tc>
        <w:tc>
          <w:tcPr>
            <w:tcW w:type="dxa" w:w="294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54" w:after="0"/>
              <w:ind w:left="24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The fund targets an absolute return of 12%</w:t>
            </w:r>
          </w:p>
        </w:tc>
        <w:tc>
          <w:tcPr>
            <w:tcW w:type="dxa" w:w="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54" w:after="0"/>
              <w:ind w:left="0" w:right="114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1.</w:t>
            </w:r>
          </w:p>
        </w:tc>
        <w:tc>
          <w:tcPr>
            <w:tcW w:type="dxa" w:w="305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54" w:after="0"/>
              <w:ind w:left="11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Professional investors seeking absolute return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26" w:after="0"/>
              <w:ind w:left="35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9F3"/>
                <w:sz w:val="14"/>
              </w:rPr>
              <w:t>Strategy</w:t>
            </w:r>
          </w:p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3074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" w:after="0"/>
              <w:ind w:left="37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over the cash rate, across all market cycles.</w:t>
            </w:r>
          </w:p>
        </w:tc>
        <w:tc>
          <w:tcPr>
            <w:tcW w:type="dxa" w:w="37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" w:after="0"/>
              <w:ind w:left="82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strategies designed to perform across macro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B.</w:t>
            </w:r>
          </w:p>
        </w:tc>
        <w:tc>
          <w:tcPr>
            <w:tcW w:type="dxa" w:w="67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" w:after="0"/>
              <w:ind w:left="0" w:right="62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Strong</w:t>
            </w:r>
          </w:p>
        </w:tc>
        <w:tc>
          <w:tcPr>
            <w:tcW w:type="dxa" w:w="4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focus</w:t>
            </w:r>
          </w:p>
        </w:tc>
        <w:tc>
          <w:tcPr>
            <w:tcW w:type="dxa" w:w="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on</w:t>
            </w:r>
          </w:p>
        </w:tc>
        <w:tc>
          <w:tcPr>
            <w:tcW w:type="dxa" w:w="3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risk</w:t>
            </w:r>
          </w:p>
        </w:tc>
        <w:tc>
          <w:tcPr>
            <w:tcW w:type="dxa" w:w="5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control,</w:t>
            </w:r>
          </w:p>
        </w:tc>
        <w:tc>
          <w:tcPr>
            <w:tcW w:type="dxa" w:w="4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aiming</w:t>
            </w:r>
          </w:p>
        </w:tc>
        <w:tc>
          <w:tcPr>
            <w:tcW w:type="dxa" w:w="2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" w:after="0"/>
              <w:ind w:left="0" w:right="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for</w:t>
            </w:r>
          </w:p>
        </w:tc>
        <w:tc>
          <w:tcPr>
            <w:tcW w:type="dxa" w:w="37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" w:after="0"/>
              <w:ind w:left="82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regimes.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74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37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volatility under 10% and limiting potential</w:t>
            </w:r>
          </w:p>
        </w:tc>
        <w:tc>
          <w:tcPr>
            <w:tcW w:type="dxa" w:w="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114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2.</w:t>
            </w:r>
          </w:p>
        </w:tc>
        <w:tc>
          <w:tcPr>
            <w:tcW w:type="dxa" w:w="3056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11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Asset allocators looking to introduce a low-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35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Style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8" w:after="0"/>
              <w:ind w:left="0" w:right="40" w:firstLine="0"/>
              <w:jc w:val="righ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Discretionary</w:t>
            </w:r>
          </w:p>
        </w:tc>
      </w:tr>
      <w:tr>
        <w:trPr>
          <w:trHeight w:hRule="exact" w:val="160"/>
        </w:trPr>
        <w:tc>
          <w:tcPr>
            <w:tcW w:type="dxa" w:w="3074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losses to a maximum drawdown of 12%.</w:t>
            </w:r>
          </w:p>
        </w:tc>
        <w:tc>
          <w:tcPr>
            <w:tcW w:type="dxa" w:w="37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82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correlation, risk-conscious return stream to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7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4" w:after="0"/>
              <w:ind w:left="1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C.</w:t>
            </w:r>
          </w:p>
        </w:tc>
        <w:tc>
          <w:tcPr>
            <w:tcW w:type="dxa" w:w="2804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4" w:after="0"/>
              <w:ind w:left="10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To maintain a low correlation to traditional</w:t>
            </w:r>
          </w:p>
        </w:tc>
        <w:tc>
          <w:tcPr>
            <w:tcW w:type="dxa" w:w="37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4" w:after="0"/>
              <w:ind w:left="82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their portfolios.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35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Inception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0" w:after="0"/>
              <w:ind w:left="0" w:right="40" w:firstLine="0"/>
              <w:jc w:val="righ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April 2023</w:t>
            </w:r>
          </w:p>
        </w:tc>
      </w:tr>
      <w:tr>
        <w:trPr>
          <w:trHeight w:hRule="exact" w:val="104"/>
        </w:trPr>
        <w:tc>
          <w:tcPr>
            <w:tcW w:type="dxa" w:w="72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64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asset</w:t>
            </w:r>
          </w:p>
        </w:tc>
        <w:tc>
          <w:tcPr>
            <w:tcW w:type="dxa" w:w="53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classes,</w:t>
            </w:r>
          </w:p>
        </w:tc>
        <w:tc>
          <w:tcPr>
            <w:tcW w:type="dxa" w:w="71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providing</w:t>
            </w:r>
          </w:p>
        </w:tc>
        <w:tc>
          <w:tcPr>
            <w:tcW w:type="dxa" w:w="61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investors</w:t>
            </w:r>
          </w:p>
        </w:tc>
        <w:tc>
          <w:tcPr>
            <w:tcW w:type="dxa" w:w="3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with</w:t>
            </w:r>
          </w:p>
        </w:tc>
        <w:tc>
          <w:tcPr>
            <w:tcW w:type="dxa" w:w="1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a</w:t>
            </w:r>
          </w:p>
        </w:tc>
        <w:tc>
          <w:tcPr>
            <w:tcW w:type="dxa" w:w="7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114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3.</w:t>
            </w:r>
          </w:p>
        </w:tc>
        <w:tc>
          <w:tcPr>
            <w:tcW w:type="dxa" w:w="75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Institutions</w:t>
            </w:r>
          </w:p>
        </w:tc>
        <w:tc>
          <w:tcPr>
            <w:tcW w:type="dxa" w:w="6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prioritize</w:t>
            </w:r>
          </w:p>
        </w:tc>
        <w:tc>
          <w:tcPr>
            <w:tcW w:type="dxa" w:w="53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capital</w:t>
            </w:r>
          </w:p>
        </w:tc>
        <w:tc>
          <w:tcPr>
            <w:tcW w:type="dxa" w:w="11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6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preservation,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1404"/>
            <w:gridSpan w:val="3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1404"/>
            <w:gridSpan w:val="3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0" w:after="0"/>
              <w:ind w:left="35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Currency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0" w:after="0"/>
              <w:ind w:left="0" w:right="38" w:firstLine="0"/>
              <w:jc w:val="righ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EUR</w:t>
            </w:r>
          </w:p>
        </w:tc>
      </w:tr>
      <w:tr>
        <w:trPr>
          <w:trHeight w:hRule="exact" w:val="168"/>
        </w:trPr>
        <w:tc>
          <w:tcPr>
            <w:tcW w:type="dxa" w:w="3074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" w:after="0"/>
              <w:ind w:left="37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meaningful diversifying return stream.</w:t>
            </w:r>
          </w:p>
        </w:tc>
        <w:tc>
          <w:tcPr>
            <w:tcW w:type="dxa" w:w="37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" w:after="0"/>
              <w:ind w:left="82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liquidity, and true diversification.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6834"/>
            <w:gridSpan w:val="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8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Performance</w:t>
            </w: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 xml:space="preserve"> (excess returns over cash)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74" w:after="0"/>
              <w:ind w:left="35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AUM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84" w:after="0"/>
              <w:ind w:left="0" w:right="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FFFF"/>
                <w:sz w:val="14"/>
              </w:rPr>
              <w:t>€</w:t>
            </w: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800,000</w:t>
            </w:r>
          </w:p>
        </w:tc>
      </w:tr>
      <w:tr>
        <w:trPr>
          <w:trHeight w:hRule="exact" w:val="220"/>
        </w:trPr>
        <w:tc>
          <w:tcPr>
            <w:tcW w:type="dxa" w:w="9360"/>
            <w:gridSpan w:val="20"/>
            <w:vMerge/>
            <w:tcBorders/>
          </w:tcPr>
          <w:p/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6" w:after="0"/>
              <w:ind w:left="35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Benchmark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8" w:after="0"/>
              <w:ind w:left="2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FFFF"/>
                <w:sz w:val="14"/>
              </w:rPr>
              <w:t>Absolute Return</w:t>
            </w:r>
          </w:p>
        </w:tc>
      </w:tr>
      <w:tr>
        <w:trPr>
          <w:trHeight w:hRule="exact" w:val="420"/>
        </w:trPr>
        <w:tc>
          <w:tcPr>
            <w:tcW w:type="dxa" w:w="4114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262" w:after="0"/>
              <w:ind w:left="0" w:right="420" w:firstLine="0"/>
              <w:jc w:val="right"/>
            </w:pPr>
            <w:r>
              <w:rPr>
                <w:rFonts w:ascii="" w:hAnsi="" w:eastAsia=""/>
                <w:b/>
                <w:i w:val="0"/>
                <w:color w:val="FFF9F3"/>
                <w:sz w:val="12"/>
              </w:rPr>
              <w:t>vs. Peers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262" w:after="0"/>
              <w:ind w:left="0" w:right="204" w:firstLine="0"/>
              <w:jc w:val="right"/>
            </w:pPr>
            <w:r>
              <w:rPr>
                <w:rFonts w:ascii="" w:hAnsi="" w:eastAsia=""/>
                <w:b/>
                <w:i w:val="0"/>
                <w:color w:val="FFF9F3"/>
                <w:sz w:val="12"/>
              </w:rPr>
              <w:t>vs. Equities</w:t>
            </w:r>
          </w:p>
        </w:tc>
        <w:tc>
          <w:tcPr>
            <w:tcW w:type="dxa" w:w="1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262" w:after="0"/>
              <w:ind w:left="0" w:right="690" w:firstLine="0"/>
              <w:jc w:val="right"/>
            </w:pPr>
            <w:r>
              <w:rPr>
                <w:rFonts w:ascii="" w:hAnsi="" w:eastAsia=""/>
                <w:b/>
                <w:i w:val="0"/>
                <w:color w:val="FFF9F3"/>
                <w:sz w:val="12"/>
              </w:rPr>
              <w:t>vs. Bonds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8" w:after="0"/>
              <w:ind w:left="35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Return Target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8" w:after="0"/>
              <w:ind w:left="0" w:right="38" w:firstLine="0"/>
              <w:jc w:val="righ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Cash + 12%</w:t>
            </w:r>
          </w:p>
        </w:tc>
      </w:tr>
      <w:tr>
        <w:trPr>
          <w:trHeight w:hRule="exact" w:val="240"/>
        </w:trPr>
        <w:tc>
          <w:tcPr>
            <w:tcW w:type="dxa" w:w="125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6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Return Stats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*Taktiqa </w:t>
            </w:r>
          </w:p>
        </w:tc>
        <w:tc>
          <w:tcPr>
            <w:tcW w:type="dxa" w:w="101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6" w:after="0"/>
              <w:ind w:left="0" w:right="1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Taktiqa </w:t>
            </w:r>
          </w:p>
        </w:tc>
        <w:tc>
          <w:tcPr>
            <w:tcW w:type="dxa" w:w="126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HFRI Macro Index </w:t>
            </w:r>
          </w:p>
        </w:tc>
        <w:tc>
          <w:tcPr>
            <w:tcW w:type="dxa" w:w="137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6" w:after="0"/>
              <w:ind w:left="1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iShares S&amp;P 500 </w:t>
            </w: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3-year Annualized</w:t>
            </w:r>
          </w:p>
        </w:tc>
        <w:tc>
          <w:tcPr>
            <w:tcW w:type="dxa" w:w="13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6" w:after="0"/>
              <w:ind w:left="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Bloomberg US 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0" w:after="0"/>
              <w:ind w:left="35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Max Drawdown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0" w:after="0"/>
              <w:ind w:left="0" w:right="38" w:firstLine="0"/>
              <w:jc w:val="righ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12%</w:t>
            </w:r>
          </w:p>
        </w:tc>
      </w:tr>
      <w:tr>
        <w:trPr>
          <w:trHeight w:hRule="exact" w:val="280"/>
        </w:trPr>
        <w:tc>
          <w:tcPr>
            <w:tcW w:type="dxa" w:w="183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6" w:after="0"/>
              <w:ind w:left="0" w:right="1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0"/>
              </w:rPr>
              <w:t xml:space="preserve">(3vol) </w:t>
            </w:r>
          </w:p>
        </w:tc>
        <w:tc>
          <w:tcPr>
            <w:tcW w:type="dxa" w:w="12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6" w:after="0"/>
              <w:ind w:left="0" w:right="5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0"/>
              </w:rPr>
              <w:t>(10vol)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4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(Total)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4" w:after="0"/>
              <w:ind w:left="0" w:right="37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ETF</w:t>
            </w:r>
          </w:p>
        </w:tc>
        <w:tc>
          <w:tcPr>
            <w:tcW w:type="dxa" w:w="1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4" w:after="0"/>
              <w:ind w:left="0" w:right="6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Bond Agg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02" w:after="0"/>
              <w:ind w:left="35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Leverage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02" w:after="0"/>
              <w:ind w:left="0" w:right="38" w:firstLine="0"/>
              <w:jc w:val="righ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Up to 30%</w:t>
            </w:r>
          </w:p>
        </w:tc>
      </w:tr>
      <w:tr>
        <w:trPr>
          <w:trHeight w:hRule="exact" w:val="300"/>
        </w:trPr>
        <w:tc>
          <w:tcPr>
            <w:tcW w:type="dxa" w:w="125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April 2025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3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2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3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0.30%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36" w:after="0"/>
              <w:ind w:left="2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C00000"/>
                <w:sz w:val="12"/>
              </w:rPr>
              <w:t>-2.69%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36" w:after="0"/>
              <w:ind w:left="0" w:right="2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C00000"/>
                <w:sz w:val="12"/>
              </w:rPr>
              <w:t>-2.18%</w:t>
            </w:r>
          </w:p>
        </w:tc>
        <w:tc>
          <w:tcPr>
            <w:tcW w:type="dxa" w:w="1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36" w:after="0"/>
              <w:ind w:left="0" w:right="7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C00000"/>
                <w:sz w:val="12"/>
              </w:rPr>
              <w:t>-4.80%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35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Holding Period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34" w:after="0"/>
              <w:ind w:left="0" w:right="38" w:firstLine="0"/>
              <w:jc w:val="righ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Intra-month</w:t>
            </w:r>
          </w:p>
        </w:tc>
      </w:tr>
      <w:tr>
        <w:trPr>
          <w:trHeight w:hRule="exact" w:val="300"/>
        </w:trPr>
        <w:tc>
          <w:tcPr>
            <w:tcW w:type="dxa" w:w="125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YTD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2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1.05%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4" w:after="0"/>
              <w:ind w:left="2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C00000"/>
                <w:sz w:val="12"/>
              </w:rPr>
              <w:t>-2.61%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4" w:after="0"/>
              <w:ind w:left="0" w:right="27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C00000"/>
                <w:sz w:val="12"/>
              </w:rPr>
              <w:t>-6.68%</w:t>
            </w:r>
          </w:p>
        </w:tc>
        <w:tc>
          <w:tcPr>
            <w:tcW w:type="dxa" w:w="1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4" w:after="0"/>
              <w:ind w:left="0" w:right="71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C00000"/>
                <w:sz w:val="12"/>
              </w:rPr>
              <w:t>-6.00%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4" w:after="0"/>
              <w:ind w:left="35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Instruments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4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Futures, Options, CFDs</w:t>
            </w:r>
          </w:p>
        </w:tc>
      </w:tr>
      <w:tr>
        <w:trPr>
          <w:trHeight w:hRule="exact" w:val="230"/>
        </w:trPr>
        <w:tc>
          <w:tcPr>
            <w:tcW w:type="dxa" w:w="125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6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Inception 5/23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7.35%</w:t>
            </w:r>
          </w:p>
        </w:tc>
        <w:tc>
          <w:tcPr>
            <w:tcW w:type="dxa" w:w="12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22.93%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2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4.06%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2" w:after="0"/>
              <w:ind w:left="0" w:right="2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31.65%</w:t>
            </w:r>
          </w:p>
        </w:tc>
        <w:tc>
          <w:tcPr>
            <w:tcW w:type="dxa" w:w="1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2" w:after="0"/>
              <w:ind w:left="0" w:right="7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C00000"/>
                <w:sz w:val="12"/>
              </w:rPr>
              <w:t>-0.40%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326" w:after="0"/>
              <w:ind w:left="35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Markets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58" w:after="0"/>
              <w:ind w:left="0" w:right="0" w:firstLine="0"/>
              <w:jc w:val="righ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 xml:space="preserve">Sovereign Rates, </w:t>
            </w:r>
          </w:p>
        </w:tc>
      </w:tr>
      <w:tr>
        <w:trPr>
          <w:trHeight w:hRule="exact" w:val="94"/>
        </w:trPr>
        <w:tc>
          <w:tcPr>
            <w:tcW w:type="dxa" w:w="1254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4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Annualised</w:t>
            </w:r>
          </w:p>
        </w:tc>
        <w:tc>
          <w:tcPr>
            <w:tcW w:type="dxa" w:w="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4.62%</w:t>
            </w:r>
          </w:p>
        </w:tc>
        <w:tc>
          <w:tcPr>
            <w:tcW w:type="dxa" w:w="12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10.87%</w:t>
            </w:r>
          </w:p>
        </w:tc>
        <w:tc>
          <w:tcPr>
            <w:tcW w:type="dxa" w:w="1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0" w:after="0"/>
              <w:ind w:left="23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2.42%</w:t>
            </w:r>
          </w:p>
        </w:tc>
        <w:tc>
          <w:tcPr>
            <w:tcW w:type="dxa" w:w="1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0" w:after="0"/>
              <w:ind w:left="0" w:right="2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7.40%</w:t>
            </w:r>
          </w:p>
        </w:tc>
        <w:tc>
          <w:tcPr>
            <w:tcW w:type="dxa" w:w="1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0" w:after="0"/>
              <w:ind w:left="0" w:right="74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-3.61%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2340"/>
            <w:gridSpan w:val="5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2808"/>
            <w:gridSpan w:val="6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1404"/>
            <w:gridSpan w:val="3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34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 xml:space="preserve">FX, Commodities, </w:t>
            </w:r>
          </w:p>
        </w:tc>
      </w:tr>
      <w:tr>
        <w:trPr>
          <w:trHeight w:hRule="exact" w:val="320"/>
        </w:trPr>
        <w:tc>
          <w:tcPr>
            <w:tcW w:type="dxa" w:w="6834"/>
            <w:gridSpan w:val="2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152" w:after="0"/>
              <w:ind w:left="1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 xml:space="preserve">* merged with 10vol from January 2025 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" w:after="0"/>
              <w:ind w:left="0" w:right="38" w:firstLine="0"/>
              <w:jc w:val="righ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Equity Indices</w:t>
            </w:r>
          </w:p>
        </w:tc>
      </w:tr>
    </w:tbl>
    <w:p>
      <w:pPr>
        <w:autoSpaceDN w:val="0"/>
        <w:autoSpaceDE w:val="0"/>
        <w:widowControl/>
        <w:spacing w:line="134" w:lineRule="exact" w:before="38" w:after="32"/>
        <w:ind w:left="0" w:right="4998" w:firstLine="0"/>
        <w:jc w:val="right"/>
      </w:pPr>
      <w:r>
        <w:rPr>
          <w:rFonts w:ascii="" w:hAnsi="" w:eastAsia=""/>
          <w:b/>
          <w:i w:val="0"/>
          <w:color w:val="FFF9F3"/>
          <w:sz w:val="12"/>
        </w:rPr>
        <w:t>3-year Annualized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.999999999999986" w:type="dxa"/>
      </w:tblPr>
      <w:tblGrid>
        <w:gridCol w:w="1287"/>
        <w:gridCol w:w="1287"/>
        <w:gridCol w:w="1287"/>
        <w:gridCol w:w="1287"/>
        <w:gridCol w:w="1287"/>
        <w:gridCol w:w="1287"/>
        <w:gridCol w:w="1287"/>
        <w:gridCol w:w="1287"/>
      </w:tblGrid>
      <w:tr>
        <w:trPr>
          <w:trHeight w:hRule="exact" w:val="2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4" w:after="0"/>
              <w:ind w:left="6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Risk Metrics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2" w:after="0"/>
              <w:ind w:left="0" w:right="18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*Taktiqa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Taktiqa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HFRI Macro Index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iShares S&amp;P 500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72" w:after="0"/>
              <w:ind w:left="2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 xml:space="preserve">Bloomberg US 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14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FFFF"/>
                <w:sz w:val="14"/>
              </w:rPr>
              <w:t>•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2" w:after="0"/>
              <w:ind w:left="1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FFFF"/>
                <w:sz w:val="18"/>
              </w:rPr>
              <w:t>Portfolio Manager</w:t>
            </w:r>
          </w:p>
        </w:tc>
      </w:tr>
      <w:tr>
        <w:trPr>
          <w:trHeight w:hRule="exact" w:val="140"/>
        </w:trPr>
        <w:tc>
          <w:tcPr>
            <w:tcW w:type="dxa" w:w="1287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0" w:after="0"/>
              <w:ind w:left="0" w:right="3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0"/>
              </w:rPr>
              <w:t>(3vol)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0"/>
              </w:rPr>
              <w:t>(10vol)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(Total)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ETF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32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Bond Agg</w:t>
            </w:r>
          </w:p>
        </w:tc>
        <w:tc>
          <w:tcPr>
            <w:tcW w:type="dxa" w:w="1287"/>
            <w:vMerge/>
            <w:tcBorders/>
          </w:tcPr>
          <w:p/>
        </w:tc>
        <w:tc>
          <w:tcPr>
            <w:tcW w:type="dxa" w:w="128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174" w:after="0"/>
              <w:ind w:left="6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 xml:space="preserve">Volatility 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8" w:after="0"/>
              <w:ind w:left="0" w:right="2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3.06%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9.87%</w:t>
            </w:r>
          </w:p>
        </w:tc>
        <w:tc>
          <w:tcPr>
            <w:tcW w:type="dxa" w:w="1287"/>
            <w:vMerge/>
            <w:tcBorders/>
          </w:tcPr>
          <w:p/>
        </w:tc>
        <w:tc>
          <w:tcPr>
            <w:tcW w:type="dxa" w:w="1287"/>
            <w:vMerge/>
            <w:tcBorders/>
          </w:tcPr>
          <w:p/>
        </w:tc>
        <w:tc>
          <w:tcPr>
            <w:tcW w:type="dxa" w:w="1287"/>
            <w:vMerge/>
            <w:tcBorders/>
          </w:tcPr>
          <w:p/>
        </w:tc>
        <w:tc>
          <w:tcPr>
            <w:tcW w:type="dxa" w:w="1287"/>
            <w:vMerge/>
            <w:tcBorders/>
          </w:tcPr>
          <w:p/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42" w:after="0"/>
              <w:ind w:left="23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24 years’ experience</w:t>
            </w:r>
          </w:p>
        </w:tc>
      </w:tr>
      <w:tr>
        <w:trPr>
          <w:trHeight w:hRule="exact" w:val="308"/>
        </w:trPr>
        <w:tc>
          <w:tcPr>
            <w:tcW w:type="dxa" w:w="1287"/>
            <w:vMerge/>
            <w:tcBorders/>
          </w:tcPr>
          <w:p/>
        </w:tc>
        <w:tc>
          <w:tcPr>
            <w:tcW w:type="dxa" w:w="1287"/>
            <w:vMerge/>
            <w:tcBorders/>
          </w:tcPr>
          <w:p/>
        </w:tc>
        <w:tc>
          <w:tcPr>
            <w:tcW w:type="dxa" w:w="128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4.54%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18.10%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8" w:after="0"/>
              <w:ind w:left="0" w:right="6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10.35%</w:t>
            </w:r>
          </w:p>
        </w:tc>
        <w:tc>
          <w:tcPr>
            <w:tcW w:type="dxa" w:w="1287"/>
            <w:vMerge/>
            <w:tcBorders/>
          </w:tcPr>
          <w:p/>
        </w:tc>
        <w:tc>
          <w:tcPr>
            <w:tcW w:type="dxa" w:w="1287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4" w:after="0"/>
              <w:ind w:left="6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Drawdown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8" w:after="0"/>
              <w:ind w:left="0" w:right="24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-2.20%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-7.96%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-4.06%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-18.75%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8" w:after="0"/>
              <w:ind w:left="0" w:right="5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-12.80%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FFFF"/>
                <w:sz w:val="14"/>
              </w:rPr>
              <w:t>•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8" w:after="0"/>
              <w:ind w:left="23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Sr. Trader (Major CEE Bank, 2009-25)</w:t>
            </w:r>
          </w:p>
        </w:tc>
      </w:tr>
      <w:tr>
        <w:trPr>
          <w:trHeight w:hRule="exact" w:val="107"/>
        </w:trPr>
        <w:tc>
          <w:tcPr>
            <w:tcW w:type="dxa" w:w="1287"/>
            <w:vMerge/>
            <w:tcBorders/>
          </w:tcPr>
          <w:p/>
        </w:tc>
        <w:tc>
          <w:tcPr>
            <w:tcW w:type="dxa" w:w="1287"/>
            <w:vMerge/>
            <w:tcBorders/>
          </w:tcPr>
          <w:p/>
        </w:tc>
        <w:tc>
          <w:tcPr>
            <w:tcW w:type="dxa" w:w="1287"/>
            <w:vMerge/>
            <w:tcBorders/>
          </w:tcPr>
          <w:p/>
        </w:tc>
        <w:tc>
          <w:tcPr>
            <w:tcW w:type="dxa" w:w="1287"/>
            <w:vMerge/>
            <w:tcBorders/>
          </w:tcPr>
          <w:p/>
        </w:tc>
        <w:tc>
          <w:tcPr>
            <w:tcW w:type="dxa" w:w="1287"/>
            <w:vMerge/>
            <w:tcBorders/>
          </w:tcPr>
          <w:p/>
        </w:tc>
        <w:tc>
          <w:tcPr>
            <w:tcW w:type="dxa" w:w="1287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4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FFFF"/>
                <w:sz w:val="14"/>
              </w:rPr>
              <w:t>•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 xml:space="preserve">Sr. PM </w:t>
            </w:r>
            <w:r>
              <w:rPr>
                <w:rFonts w:ascii="" w:hAnsi="" w:eastAsia=""/>
                <w:b w:val="0"/>
                <w:i w:val="0"/>
                <w:color w:val="FFFFFF"/>
                <w:sz w:val="14"/>
              </w:rPr>
              <w:t>(€</w:t>
            </w: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3bn Asset Manager, 2001-08)</w:t>
            </w:r>
          </w:p>
        </w:tc>
      </w:tr>
      <w:tr>
        <w:trPr>
          <w:trHeight w:hRule="exact" w:val="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82" w:after="0"/>
              <w:ind w:left="6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Sharpe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6" w:after="0"/>
              <w:ind w:left="0" w:right="3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1.71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1.11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0.79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0.40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6" w:after="0"/>
              <w:ind w:left="0" w:right="70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0.12</w:t>
            </w:r>
          </w:p>
        </w:tc>
        <w:tc>
          <w:tcPr>
            <w:tcW w:type="dxa" w:w="1287"/>
            <w:vMerge/>
            <w:tcBorders/>
          </w:tcPr>
          <w:p/>
        </w:tc>
        <w:tc>
          <w:tcPr>
            <w:tcW w:type="dxa" w:w="1287"/>
            <w:vMerge/>
            <w:tcBorders/>
          </w:tcPr>
          <w:p/>
        </w:tc>
      </w:tr>
      <w:tr>
        <w:trPr>
          <w:trHeight w:hRule="exact" w:val="165"/>
        </w:trPr>
        <w:tc>
          <w:tcPr>
            <w:tcW w:type="dxa" w:w="1287"/>
            <w:vMerge/>
            <w:tcBorders/>
          </w:tcPr>
          <w:p/>
        </w:tc>
        <w:tc>
          <w:tcPr>
            <w:tcW w:type="dxa" w:w="1287"/>
            <w:vMerge/>
            <w:tcBorders/>
          </w:tcPr>
          <w:p/>
        </w:tc>
        <w:tc>
          <w:tcPr>
            <w:tcW w:type="dxa" w:w="1287"/>
            <w:vMerge/>
            <w:tcBorders/>
          </w:tcPr>
          <w:p/>
        </w:tc>
        <w:tc>
          <w:tcPr>
            <w:tcW w:type="dxa" w:w="1287"/>
            <w:vMerge/>
            <w:tcBorders/>
          </w:tcPr>
          <w:p/>
        </w:tc>
        <w:tc>
          <w:tcPr>
            <w:tcW w:type="dxa" w:w="1287"/>
            <w:vMerge/>
            <w:tcBorders/>
          </w:tcPr>
          <w:p/>
        </w:tc>
        <w:tc>
          <w:tcPr>
            <w:tcW w:type="dxa" w:w="1287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FFFF"/>
                <w:sz w:val="14"/>
              </w:rPr>
              <w:t>•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" w:after="0"/>
              <w:ind w:left="23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Financial Engineering MSc. (London)</w:t>
            </w:r>
          </w:p>
        </w:tc>
      </w:tr>
      <w:tr>
        <w:trPr>
          <w:trHeight w:hRule="exact" w:val="24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116" w:after="0"/>
              <w:ind w:left="6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Sortino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04" w:after="0"/>
              <w:ind w:left="0" w:right="3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4.02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2.22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1.14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0.82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04" w:after="0"/>
              <w:ind w:left="0" w:right="7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FFFF"/>
                <w:sz w:val="14"/>
              </w:rPr>
              <w:t>•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2" w:after="0"/>
              <w:ind w:left="23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Pased all three CFA level exams</w:t>
            </w:r>
          </w:p>
        </w:tc>
      </w:tr>
      <w:tr>
        <w:trPr>
          <w:trHeight w:hRule="exact" w:val="2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148" w:after="0"/>
              <w:ind w:left="6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Calmar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0" w:after="0"/>
              <w:ind w:left="0" w:right="3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2.38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2.41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3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0.83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3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0.57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36" w:after="0"/>
              <w:ind w:left="0" w:right="68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0.05</w:t>
            </w:r>
          </w:p>
        </w:tc>
        <w:tc>
          <w:tcPr>
            <w:tcW w:type="dxa" w:w="1287"/>
            <w:vMerge/>
            <w:tcBorders/>
          </w:tcPr>
          <w:p/>
        </w:tc>
        <w:tc>
          <w:tcPr>
            <w:tcW w:type="dxa" w:w="1287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174" w:after="0"/>
              <w:ind w:left="6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Correlation</w:t>
            </w:r>
          </w:p>
        </w:tc>
        <w:tc>
          <w:tcPr>
            <w:tcW w:type="dxa" w:w="1287"/>
            <w:vMerge/>
            <w:tcBorders/>
          </w:tcPr>
          <w:p/>
        </w:tc>
        <w:tc>
          <w:tcPr>
            <w:tcW w:type="dxa" w:w="128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-0.16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-0.15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8" w:after="0"/>
              <w:ind w:left="0" w:right="6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0.06</w:t>
            </w:r>
          </w:p>
        </w:tc>
        <w:tc>
          <w:tcPr>
            <w:tcW w:type="dxa" w:w="1287"/>
            <w:vMerge/>
            <w:tcBorders/>
          </w:tcPr>
          <w:p/>
        </w:tc>
        <w:tc>
          <w:tcPr>
            <w:tcW w:type="dxa" w:w="128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56" w:lineRule="exact" w:before="304" w:after="0"/>
        <w:ind w:left="14" w:right="0" w:firstLine="0"/>
        <w:jc w:val="left"/>
      </w:pPr>
      <w:r>
        <w:rPr>
          <w:rFonts w:ascii="" w:hAnsi="" w:eastAsia=""/>
          <w:b/>
          <w:i w:val="0"/>
          <w:color w:val="000000"/>
          <w:sz w:val="14"/>
        </w:rPr>
        <w:t>Cumulative returns vs. Direct Competition, Equities and Bonds</w:t>
      </w:r>
    </w:p>
    <w:p>
      <w:pPr>
        <w:autoSpaceDN w:val="0"/>
        <w:autoSpaceDE w:val="0"/>
        <w:widowControl/>
        <w:spacing w:line="120" w:lineRule="exact" w:before="66" w:after="0"/>
        <w:ind w:left="118" w:right="0" w:firstLine="0"/>
        <w:jc w:val="left"/>
      </w:pPr>
      <w:r>
        <w:rPr>
          <w:rFonts w:ascii="" w:hAnsi="" w:eastAsia=""/>
          <w:b w:val="0"/>
          <w:i w:val="0"/>
          <w:color w:val="595959"/>
          <w:sz w:val="10"/>
        </w:rPr>
        <w:t>150</w:t>
      </w:r>
    </w:p>
    <w:p>
      <w:pPr>
        <w:autoSpaceDN w:val="0"/>
        <w:autoSpaceDE w:val="0"/>
        <w:widowControl/>
        <w:spacing w:line="120" w:lineRule="exact" w:before="366" w:after="0"/>
        <w:ind w:left="112" w:right="0" w:firstLine="0"/>
        <w:jc w:val="left"/>
      </w:pPr>
      <w:r>
        <w:rPr>
          <w:rFonts w:ascii="" w:hAnsi="" w:eastAsia=""/>
          <w:b w:val="0"/>
          <w:i w:val="0"/>
          <w:color w:val="595959"/>
          <w:sz w:val="10"/>
        </w:rPr>
        <w:t>140</w:t>
      </w:r>
    </w:p>
    <w:p>
      <w:pPr>
        <w:autoSpaceDN w:val="0"/>
        <w:autoSpaceDE w:val="0"/>
        <w:widowControl/>
        <w:spacing w:line="120" w:lineRule="exact" w:before="364" w:after="0"/>
        <w:ind w:left="118" w:right="0" w:firstLine="0"/>
        <w:jc w:val="left"/>
      </w:pPr>
      <w:r>
        <w:rPr>
          <w:rFonts w:ascii="" w:hAnsi="" w:eastAsia=""/>
          <w:b w:val="0"/>
          <w:i w:val="0"/>
          <w:color w:val="595959"/>
          <w:sz w:val="10"/>
        </w:rPr>
        <w:t>130</w:t>
      </w:r>
    </w:p>
    <w:p>
      <w:pPr>
        <w:autoSpaceDN w:val="0"/>
        <w:autoSpaceDE w:val="0"/>
        <w:widowControl/>
        <w:spacing w:line="120" w:lineRule="exact" w:before="366" w:after="0"/>
        <w:ind w:left="120" w:right="0" w:firstLine="0"/>
        <w:jc w:val="left"/>
      </w:pPr>
      <w:r>
        <w:rPr>
          <w:rFonts w:ascii="" w:hAnsi="" w:eastAsia=""/>
          <w:b w:val="0"/>
          <w:i w:val="0"/>
          <w:color w:val="595959"/>
          <w:sz w:val="10"/>
        </w:rPr>
        <w:t>120</w:t>
      </w:r>
    </w:p>
    <w:p>
      <w:pPr>
        <w:autoSpaceDN w:val="0"/>
        <w:autoSpaceDE w:val="0"/>
        <w:widowControl/>
        <w:spacing w:line="120" w:lineRule="exact" w:before="360" w:after="0"/>
        <w:ind w:left="146" w:right="0" w:firstLine="0"/>
        <w:jc w:val="left"/>
      </w:pPr>
      <w:r>
        <w:rPr>
          <w:rFonts w:ascii="" w:hAnsi="" w:eastAsia=""/>
          <w:b w:val="0"/>
          <w:i w:val="0"/>
          <w:color w:val="595959"/>
          <w:sz w:val="10"/>
        </w:rPr>
        <w:t>110</w:t>
      </w:r>
    </w:p>
    <w:p>
      <w:pPr>
        <w:autoSpaceDN w:val="0"/>
        <w:autoSpaceDE w:val="0"/>
        <w:widowControl/>
        <w:spacing w:line="120" w:lineRule="exact" w:before="364" w:after="0"/>
        <w:ind w:left="108" w:right="0" w:firstLine="0"/>
        <w:jc w:val="left"/>
      </w:pPr>
      <w:r>
        <w:rPr>
          <w:rFonts w:ascii="" w:hAnsi="" w:eastAsia=""/>
          <w:b w:val="0"/>
          <w:i w:val="0"/>
          <w:color w:val="595959"/>
          <w:sz w:val="10"/>
        </w:rPr>
        <w:t>100</w:t>
      </w:r>
    </w:p>
    <w:p>
      <w:pPr>
        <w:autoSpaceDN w:val="0"/>
        <w:autoSpaceDE w:val="0"/>
        <w:widowControl/>
        <w:spacing w:line="120" w:lineRule="exact" w:before="364" w:after="4"/>
        <w:ind w:left="148" w:right="0" w:firstLine="0"/>
        <w:jc w:val="left"/>
      </w:pPr>
      <w:r>
        <w:rPr>
          <w:rFonts w:ascii="" w:hAnsi="" w:eastAsia=""/>
          <w:b w:val="0"/>
          <w:i w:val="0"/>
          <w:color w:val="595959"/>
          <w:sz w:val="10"/>
        </w:rPr>
        <w:t>90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4.0" w:type="dxa"/>
      </w:tblPr>
      <w:tblGrid>
        <w:gridCol w:w="1144"/>
        <w:gridCol w:w="1144"/>
        <w:gridCol w:w="1144"/>
        <w:gridCol w:w="1144"/>
        <w:gridCol w:w="1144"/>
        <w:gridCol w:w="1144"/>
        <w:gridCol w:w="1144"/>
        <w:gridCol w:w="1144"/>
        <w:gridCol w:w="1144"/>
      </w:tblGrid>
      <w:tr>
        <w:trPr>
          <w:trHeight w:hRule="exact" w:val="24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6" w:after="0"/>
              <w:ind w:left="1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595959"/>
                <w:sz w:val="10"/>
              </w:rPr>
              <w:t>01/05/2023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595959"/>
                <w:sz w:val="10"/>
              </w:rPr>
              <w:t>31/07/2023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595959"/>
                <w:sz w:val="10"/>
              </w:rPr>
              <w:t>31/10/2023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6" w:after="0"/>
              <w:ind w:left="0" w:right="25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595959"/>
                <w:sz w:val="10"/>
              </w:rPr>
              <w:t>31/01/2024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6" w:after="0"/>
              <w:ind w:left="0" w:right="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595959"/>
                <w:sz w:val="10"/>
              </w:rPr>
              <w:t>30/04/2024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6" w:after="0"/>
              <w:ind w:left="0" w:right="27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595959"/>
                <w:sz w:val="10"/>
              </w:rPr>
              <w:t>31/07/2024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595959"/>
                <w:sz w:val="10"/>
              </w:rPr>
              <w:t>31/10/2024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6" w:after="0"/>
              <w:ind w:left="0" w:right="38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595959"/>
                <w:sz w:val="10"/>
              </w:rPr>
              <w:t>31/01/2025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595959"/>
                <w:sz w:val="10"/>
              </w:rPr>
              <w:t>30/04/2025</w:t>
            </w:r>
          </w:p>
        </w:tc>
      </w:tr>
      <w:tr>
        <w:trPr>
          <w:trHeight w:hRule="exact" w:val="230"/>
        </w:trPr>
        <w:tc>
          <w:tcPr>
            <w:tcW w:type="dxa" w:w="1144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138" w:after="0"/>
              <w:ind w:left="0" w:right="23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0"/>
              </w:rPr>
              <w:t>TAKT IQA</w:t>
            </w:r>
          </w:p>
        </w:tc>
        <w:tc>
          <w:tcPr>
            <w:tcW w:type="dxa" w:w="1144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138" w:after="0"/>
              <w:ind w:left="18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0"/>
              </w:rPr>
              <w:t>iShares S&amp;P 50 0</w:t>
            </w:r>
          </w:p>
        </w:tc>
        <w:tc>
          <w:tcPr>
            <w:tcW w:type="dxa" w:w="1144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138" w:after="0"/>
              <w:ind w:left="7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0"/>
              </w:rPr>
              <w:t>HFRI Macro Index</w:t>
            </w:r>
          </w:p>
        </w:tc>
        <w:tc>
          <w:tcPr>
            <w:tcW w:type="dxa" w:w="1144"/>
            <w:vMerge/>
            <w:tcBorders/>
          </w:tcPr>
          <w:p/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138" w:after="0"/>
              <w:ind w:left="1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0"/>
              </w:rPr>
              <w:t>Bloomberg US Bonds Aggregate</w:t>
            </w:r>
          </w:p>
        </w:tc>
        <w:tc>
          <w:tcPr>
            <w:tcW w:type="dxa" w:w="114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00" w:h="15600"/>
          <w:pgMar w:top="356" w:right="36" w:bottom="136" w:left="4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5045710</wp:posOffset>
            </wp:positionH>
            <wp:positionV relativeFrom="page">
              <wp:posOffset>269240</wp:posOffset>
            </wp:positionV>
            <wp:extent cx="1557019" cy="294796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7019" cy="29479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8000" cy="99060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06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74" w:lineRule="exact" w:before="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Investment Approach &amp; Strategy</w:t>
      </w:r>
    </w:p>
    <w:p>
      <w:pPr>
        <w:autoSpaceDN w:val="0"/>
        <w:autoSpaceDE w:val="0"/>
        <w:widowControl/>
        <w:spacing w:line="216" w:lineRule="exact" w:before="288" w:after="52"/>
        <w:ind w:left="10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Strategy Overview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6.000000000000014" w:type="dxa"/>
      </w:tblPr>
      <w:tblGrid>
        <w:gridCol w:w="3355"/>
        <w:gridCol w:w="3355"/>
        <w:gridCol w:w="3355"/>
      </w:tblGrid>
      <w:tr>
        <w:trPr>
          <w:trHeight w:hRule="exact" w:val="772"/>
        </w:trPr>
        <w:tc>
          <w:tcPr>
            <w:tcW w:type="dxa" w:w="6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6" w:after="0"/>
              <w:ind w:left="10" w:right="288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 xml:space="preserve">We employ a discretionary global macro strategy built on a structured, multi-factor investment framework that </w:t>
            </w: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blends macroeconomic, fundamental, behavioral, technical, and positioning inputs.</w:t>
            </w:r>
          </w:p>
          <w:p>
            <w:pPr>
              <w:autoSpaceDN w:val="0"/>
              <w:autoSpaceDE w:val="0"/>
              <w:widowControl/>
              <w:spacing w:line="164" w:lineRule="exact" w:before="178" w:after="0"/>
              <w:ind w:left="10" w:right="334" w:firstLine="0"/>
              <w:jc w:val="both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 xml:space="preserve">Our edge lies in the ability to deconstruct market narratives into their underlying factors - global macro trends, </w:t>
            </w: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 xml:space="preserve">domestic fundamentals, sentiment, positioning, and price action - enabling us to identify high-conviction trades </w:t>
            </w: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 xml:space="preserve">with favorable risk/reward dynamics. We operate across global liquid markets with a flexible mandate and </w:t>
            </w: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 xml:space="preserve">intra-month holding periods. Risk management is foundational, with volatility targeted under 10% and strict </w:t>
            </w: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drawdown controls embedded into portfolio construction.</w:t>
            </w:r>
          </w:p>
        </w:tc>
        <w:tc>
          <w:tcPr>
            <w:tcW w:type="dxa" w:w="3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8" w:lineRule="exact" w:before="34" w:after="0"/>
              <w:ind w:left="288" w:right="1296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FFFF"/>
                <w:sz w:val="18"/>
              </w:rPr>
              <w:t xml:space="preserve">Our Differentiators </w:t>
            </w:r>
            <w:r>
              <w:br/>
            </w: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Alpha Through Risk Control</w:t>
            </w:r>
          </w:p>
        </w:tc>
      </w:tr>
      <w:tr>
        <w:trPr>
          <w:trHeight w:hRule="exact" w:val="160"/>
        </w:trPr>
        <w:tc>
          <w:tcPr>
            <w:tcW w:type="dxa" w:w="3355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FFFF"/>
                <w:sz w:val="12"/>
              </w:rPr>
              <w:t>•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28" w:after="0"/>
              <w:ind w:left="12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2"/>
              </w:rPr>
              <w:t>We treat risk not as an afterthought but as a source</w:t>
            </w:r>
          </w:p>
        </w:tc>
      </w:tr>
      <w:tr>
        <w:trPr>
          <w:trHeight w:hRule="exact" w:val="488"/>
        </w:trPr>
        <w:tc>
          <w:tcPr>
            <w:tcW w:type="dxa" w:w="3355"/>
            <w:vMerge/>
            <w:tcBorders/>
          </w:tcPr>
          <w:p/>
        </w:tc>
        <w:tc>
          <w:tcPr>
            <w:tcW w:type="dxa" w:w="3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64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2"/>
              </w:rPr>
              <w:t xml:space="preserve">of return. Our process is designed to preserve </w:t>
            </w:r>
            <w:r>
              <w:rPr>
                <w:rFonts w:ascii="" w:hAnsi="" w:eastAsia=""/>
                <w:b/>
                <w:i w:val="0"/>
                <w:color w:val="FFFFFF"/>
                <w:sz w:val="12"/>
              </w:rPr>
              <w:t>capital while positioning for opportunity.</w:t>
            </w:r>
          </w:p>
        </w:tc>
      </w:tr>
    </w:tbl>
    <w:p>
      <w:pPr>
        <w:autoSpaceDN w:val="0"/>
        <w:autoSpaceDE w:val="0"/>
        <w:widowControl/>
        <w:spacing w:line="156" w:lineRule="exact" w:before="34" w:after="18"/>
        <w:ind w:left="0" w:right="1568" w:firstLine="0"/>
        <w:jc w:val="right"/>
      </w:pPr>
      <w:r>
        <w:rPr>
          <w:rFonts w:ascii="" w:hAnsi="" w:eastAsia=""/>
          <w:b/>
          <w:i w:val="0"/>
          <w:color w:val="FFFFFF"/>
          <w:sz w:val="14"/>
        </w:rPr>
        <w:t>All-Weather, Not All-In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rPr>
          <w:trHeight w:hRule="exact" w:val="144"/>
        </w:trPr>
        <w:tc>
          <w:tcPr>
            <w:tcW w:type="dxa" w:w="6814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78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Philosophy</w:t>
            </w:r>
          </w:p>
          <w:p>
            <w:pPr>
              <w:autoSpaceDN w:val="0"/>
              <w:autoSpaceDE w:val="0"/>
              <w:widowControl/>
              <w:spacing w:line="168" w:lineRule="exact" w:before="120" w:after="0"/>
              <w:ind w:left="14" w:right="288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 xml:space="preserve">We believe that markets, while efficient in the long run, often misprice risk in the short term - particularly around </w:t>
            </w: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 xml:space="preserve">transitions, asymmetries, and behavioral biases. These moments of dislocation are where we find opportunity. </w:t>
            </w: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 xml:space="preserve">Our investment lens is built around the idea that macro forces drive asset prices, but the market’s interpretation is </w:t>
            </w: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 xml:space="preserve">rarely linear or immediate. By focusing on periods where price diverges from economic logic, we aim to </w:t>
            </w: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 xml:space="preserve">capture convex payoffs without assuming structural beta. In addition, sovereign countries/regions have </w:t>
            </w: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independent economic drivers, which often give rise to uncorrelated opportunities.</w:t>
            </w:r>
          </w:p>
          <w:p>
            <w:pPr>
              <w:autoSpaceDN w:val="0"/>
              <w:autoSpaceDE w:val="0"/>
              <w:widowControl/>
              <w:spacing w:line="216" w:lineRule="exact" w:before="552" w:after="0"/>
              <w:ind w:left="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Investment Process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8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FFFF"/>
                <w:sz w:val="12"/>
              </w:rPr>
              <w:t>•</w:t>
            </w:r>
          </w:p>
        </w:tc>
        <w:tc>
          <w:tcPr>
            <w:tcW w:type="dxa" w:w="272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12" w:after="0"/>
              <w:ind w:left="12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2"/>
              </w:rPr>
              <w:t>Pursuing consistency and delivering low correlation</w:t>
            </w:r>
          </w:p>
        </w:tc>
      </w:tr>
      <w:tr>
        <w:trPr>
          <w:trHeight w:hRule="exact" w:val="680"/>
        </w:trPr>
        <w:tc>
          <w:tcPr>
            <w:tcW w:type="dxa" w:w="4026"/>
            <w:gridSpan w:val="6"/>
            <w:vMerge/>
            <w:tcBorders/>
          </w:tcPr>
          <w:p/>
        </w:tc>
        <w:tc>
          <w:tcPr>
            <w:tcW w:type="dxa" w:w="32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6" w:after="0"/>
              <w:ind w:left="64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2"/>
              </w:rPr>
              <w:t xml:space="preserve">to both equities and bonds — providing LPs a </w:t>
            </w:r>
            <w:r>
              <w:rPr>
                <w:rFonts w:ascii="" w:hAnsi="" w:eastAsia=""/>
                <w:b/>
                <w:i w:val="0"/>
                <w:color w:val="FFFFFF"/>
                <w:sz w:val="12"/>
              </w:rPr>
              <w:t>strategic complement, not a return-chaser.</w:t>
            </w:r>
          </w:p>
          <w:p>
            <w:pPr>
              <w:autoSpaceDN w:val="0"/>
              <w:autoSpaceDE w:val="0"/>
              <w:widowControl/>
              <w:spacing w:line="156" w:lineRule="exact" w:before="230" w:after="0"/>
              <w:ind w:left="37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Conviction with Constraint</w:t>
            </w:r>
          </w:p>
        </w:tc>
      </w:tr>
      <w:tr>
        <w:trPr>
          <w:trHeight w:hRule="exact" w:val="160"/>
        </w:trPr>
        <w:tc>
          <w:tcPr>
            <w:tcW w:type="dxa" w:w="4026"/>
            <w:gridSpan w:val="6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FFFF"/>
                <w:sz w:val="12"/>
              </w:rPr>
              <w:t>•</w:t>
            </w:r>
          </w:p>
        </w:tc>
        <w:tc>
          <w:tcPr>
            <w:tcW w:type="dxa" w:w="272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28" w:after="0"/>
              <w:ind w:left="12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2"/>
              </w:rPr>
              <w:t>Trades are sized with purpose, reflecting both</w:t>
            </w:r>
          </w:p>
        </w:tc>
      </w:tr>
      <w:tr>
        <w:trPr>
          <w:trHeight w:hRule="exact" w:val="680"/>
        </w:trPr>
        <w:tc>
          <w:tcPr>
            <w:tcW w:type="dxa" w:w="4026"/>
            <w:gridSpan w:val="6"/>
            <w:vMerge/>
            <w:tcBorders/>
          </w:tcPr>
          <w:p/>
        </w:tc>
        <w:tc>
          <w:tcPr>
            <w:tcW w:type="dxa" w:w="32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64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2"/>
              </w:rPr>
              <w:t xml:space="preserve">opportunity and risk budget. We actively manage </w:t>
            </w:r>
            <w:r>
              <w:rPr>
                <w:rFonts w:ascii="" w:hAnsi="" w:eastAsia=""/>
                <w:b/>
                <w:i w:val="0"/>
                <w:color w:val="FFFFFF"/>
                <w:sz w:val="12"/>
              </w:rPr>
              <w:t>exposures as new information unfolds.</w:t>
            </w:r>
          </w:p>
          <w:p>
            <w:pPr>
              <w:autoSpaceDN w:val="0"/>
              <w:autoSpaceDE w:val="0"/>
              <w:widowControl/>
              <w:spacing w:line="156" w:lineRule="exact" w:before="210" w:after="0"/>
              <w:ind w:left="37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Seasoned Perspective</w:t>
            </w:r>
          </w:p>
        </w:tc>
      </w:tr>
      <w:tr>
        <w:trPr>
          <w:trHeight w:hRule="exact" w:val="160"/>
        </w:trPr>
        <w:tc>
          <w:tcPr>
            <w:tcW w:type="dxa" w:w="4026"/>
            <w:gridSpan w:val="6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" w:after="0"/>
              <w:ind w:left="0" w:right="1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FFFFFF"/>
                <w:sz w:val="12"/>
              </w:rPr>
              <w:t>•</w:t>
            </w:r>
          </w:p>
        </w:tc>
        <w:tc>
          <w:tcPr>
            <w:tcW w:type="dxa" w:w="272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28" w:after="0"/>
              <w:ind w:left="12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2"/>
              </w:rPr>
              <w:t>With 24 years of experience, our team brings a</w:t>
            </w:r>
          </w:p>
        </w:tc>
      </w:tr>
      <w:tr>
        <w:trPr>
          <w:trHeight w:hRule="exact" w:val="140"/>
        </w:trPr>
        <w:tc>
          <w:tcPr>
            <w:tcW w:type="dxa" w:w="4026"/>
            <w:gridSpan w:val="6"/>
            <w:vMerge/>
            <w:tcBorders/>
          </w:tcPr>
          <w:p/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" w:after="0"/>
              <w:ind w:left="0" w:right="160" w:firstLine="0"/>
              <w:jc w:val="right"/>
            </w:pPr>
            <w:r>
              <w:rPr>
                <w:rFonts w:ascii="" w:hAnsi="" w:eastAsia=""/>
                <w:b/>
                <w:i w:val="0"/>
                <w:color w:val="FFFFFF"/>
                <w:sz w:val="12"/>
              </w:rPr>
              <w:t>measured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" w:after="0"/>
              <w:ind w:left="1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2"/>
              </w:rPr>
              <w:t>approach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FFFFFF"/>
                <w:sz w:val="12"/>
              </w:rPr>
              <w:t>to</w:t>
            </w:r>
          </w:p>
        </w:tc>
        <w:tc>
          <w:tcPr>
            <w:tcW w:type="dxa" w:w="7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FFFFFF"/>
                <w:sz w:val="12"/>
              </w:rPr>
              <w:t>navigating</w:t>
            </w:r>
          </w:p>
        </w:tc>
        <w:tc>
          <w:tcPr>
            <w:tcW w:type="dxa" w:w="4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" w:after="0"/>
              <w:ind w:left="8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2"/>
              </w:rPr>
              <w:t>macro</w:t>
            </w:r>
          </w:p>
        </w:tc>
      </w:tr>
      <w:tr>
        <w:trPr>
          <w:trHeight w:hRule="exact" w:val="140"/>
        </w:trPr>
        <w:tc>
          <w:tcPr>
            <w:tcW w:type="dxa" w:w="4026"/>
            <w:gridSpan w:val="6"/>
            <w:vMerge/>
            <w:tcBorders/>
          </w:tcPr>
          <w:p/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8" w:after="0"/>
              <w:ind w:left="0" w:right="114" w:firstLine="0"/>
              <w:jc w:val="right"/>
            </w:pPr>
            <w:r>
              <w:rPr>
                <w:rFonts w:ascii="" w:hAnsi="" w:eastAsia=""/>
                <w:b/>
                <w:i w:val="0"/>
                <w:color w:val="FFFFFF"/>
                <w:sz w:val="12"/>
              </w:rPr>
              <w:t>complexity</w:t>
            </w:r>
          </w:p>
        </w:tc>
        <w:tc>
          <w:tcPr>
            <w:tcW w:type="dxa" w:w="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FFFFFF"/>
                <w:sz w:val="12"/>
              </w:rPr>
              <w:t>-</w:t>
            </w:r>
          </w:p>
        </w:tc>
        <w:tc>
          <w:tcPr>
            <w:tcW w:type="dxa" w:w="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FFFFFF"/>
                <w:sz w:val="12"/>
              </w:rPr>
              <w:t>avoiding</w:t>
            </w:r>
          </w:p>
        </w:tc>
        <w:tc>
          <w:tcPr>
            <w:tcW w:type="dxa" w:w="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FFFFFF"/>
                <w:sz w:val="12"/>
              </w:rPr>
              <w:t>noise,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FFFFFF"/>
                <w:sz w:val="12"/>
              </w:rPr>
              <w:t>and</w:t>
            </w:r>
          </w:p>
        </w:tc>
        <w:tc>
          <w:tcPr>
            <w:tcW w:type="dxa" w:w="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FFFFFF"/>
                <w:sz w:val="12"/>
              </w:rPr>
              <w:t>anchoring</w:t>
            </w:r>
          </w:p>
        </w:tc>
      </w:tr>
      <w:tr>
        <w:trPr>
          <w:trHeight w:hRule="exact" w:val="280"/>
        </w:trPr>
        <w:tc>
          <w:tcPr>
            <w:tcW w:type="dxa" w:w="4026"/>
            <w:gridSpan w:val="6"/>
            <w:vMerge/>
            <w:tcBorders/>
          </w:tcPr>
          <w:p/>
        </w:tc>
        <w:tc>
          <w:tcPr>
            <w:tcW w:type="dxa" w:w="324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8" w:after="0"/>
              <w:ind w:left="64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2"/>
              </w:rPr>
              <w:t>decisions in substance.</w:t>
            </w:r>
          </w:p>
          <w:p>
            <w:pPr>
              <w:autoSpaceDN w:val="0"/>
              <w:autoSpaceDE w:val="0"/>
              <w:widowControl/>
              <w:spacing w:line="248" w:lineRule="exact" w:before="534" w:after="0"/>
              <w:ind w:left="37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FFFFFF"/>
                <w:sz w:val="18"/>
              </w:rPr>
              <w:t>Contact</w:t>
            </w:r>
          </w:p>
          <w:p>
            <w:pPr>
              <w:autoSpaceDN w:val="0"/>
              <w:autoSpaceDE w:val="0"/>
              <w:widowControl/>
              <w:spacing w:line="156" w:lineRule="exact" w:before="158" w:after="0"/>
              <w:ind w:left="36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9F3"/>
                <w:sz w:val="14"/>
              </w:rPr>
              <w:t xml:space="preserve">Website: </w:t>
            </w:r>
            <w:r>
              <w:rPr>
                <w:rFonts w:ascii="" w:hAnsi="" w:eastAsia=""/>
                <w:b/>
                <w:i w:val="0"/>
                <w:color w:val="FFF9F3"/>
                <w:sz w:val="14"/>
              </w:rPr>
              <w:hyperlink r:id="rId11" w:history="1">
                <w:r>
                  <w:rPr>
                    <w:rStyle w:val="Hyperlink"/>
                  </w:rPr>
                  <w:t>www.taktiqa.com</w:t>
                </w:r>
              </w:hyperlink>
            </w:r>
          </w:p>
          <w:p>
            <w:pPr>
              <w:autoSpaceDN w:val="0"/>
              <w:autoSpaceDE w:val="0"/>
              <w:widowControl/>
              <w:spacing w:line="154" w:lineRule="exact" w:before="22" w:after="0"/>
              <w:ind w:left="36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Email: info@taktiqa.com</w:t>
            </w:r>
          </w:p>
          <w:p>
            <w:pPr>
              <w:autoSpaceDN w:val="0"/>
              <w:autoSpaceDE w:val="0"/>
              <w:widowControl/>
              <w:spacing w:line="156" w:lineRule="exact" w:before="8" w:after="0"/>
              <w:ind w:left="36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Phone: +421 915 432 523</w:t>
            </w:r>
          </w:p>
        </w:tc>
      </w:tr>
      <w:tr>
        <w:trPr>
          <w:trHeight w:hRule="exact" w:val="340"/>
        </w:trPr>
        <w:tc>
          <w:tcPr>
            <w:tcW w:type="dxa" w:w="12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132" w:after="0"/>
              <w:ind w:left="0" w:right="448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I.</w:t>
            </w:r>
          </w:p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128" w:after="0"/>
              <w:ind w:left="0" w:right="486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II.</w:t>
            </w:r>
          </w:p>
        </w:tc>
        <w:tc>
          <w:tcPr>
            <w:tcW w:type="dxa" w:w="1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132" w:after="0"/>
              <w:ind w:left="0" w:right="572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III.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13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IV.</w:t>
            </w:r>
          </w:p>
        </w:tc>
        <w:tc>
          <w:tcPr>
            <w:tcW w:type="dxa" w:w="6039"/>
            <w:gridSpan w:val="9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2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2" w:after="0"/>
              <w:ind w:left="0" w:right="54" w:firstLine="0"/>
              <w:jc w:val="righ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Factor Analysis</w:t>
            </w:r>
          </w:p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2" w:after="0"/>
              <w:ind w:left="0" w:right="36" w:firstLine="0"/>
              <w:jc w:val="righ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Idea Generation</w:t>
            </w:r>
          </w:p>
        </w:tc>
        <w:tc>
          <w:tcPr>
            <w:tcW w:type="dxa" w:w="1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8" w:after="0"/>
              <w:ind w:left="0" w:right="8" w:firstLine="0"/>
              <w:jc w:val="right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Portfolio Construction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8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FFFFFF"/>
                <w:sz w:val="14"/>
              </w:rPr>
              <w:t>Active Monitoring</w:t>
            </w:r>
          </w:p>
        </w:tc>
        <w:tc>
          <w:tcPr>
            <w:tcW w:type="dxa" w:w="6039"/>
            <w:gridSpan w:val="9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5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32" w:after="0"/>
              <w:ind w:left="15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0"/>
              </w:rPr>
              <w:t xml:space="preserve">Decomposing markets into </w:t>
            </w:r>
          </w:p>
        </w:tc>
        <w:tc>
          <w:tcPr>
            <w:tcW w:type="dxa" w:w="13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136" w:after="0"/>
              <w:ind w:left="2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0"/>
              </w:rPr>
              <w:t xml:space="preserve">Using an asset matrix and </w:t>
            </w:r>
          </w:p>
        </w:tc>
        <w:tc>
          <w:tcPr>
            <w:tcW w:type="dxa" w:w="1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146" w:after="0"/>
              <w:ind w:left="0" w:right="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0"/>
              </w:rPr>
              <w:t xml:space="preserve">Structuring trades with a clear 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14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0"/>
              </w:rPr>
              <w:t xml:space="preserve">Reactively adjusting positions </w:t>
            </w:r>
          </w:p>
        </w:tc>
        <w:tc>
          <w:tcPr>
            <w:tcW w:type="dxa" w:w="6039"/>
            <w:gridSpan w:val="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2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15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0"/>
              </w:rPr>
              <w:t xml:space="preserve">key drivers and assigning </w:t>
            </w:r>
          </w:p>
        </w:tc>
        <w:tc>
          <w:tcPr>
            <w:tcW w:type="dxa" w:w="1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0" w:after="0"/>
              <w:ind w:left="0" w:right="35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0"/>
              </w:rPr>
              <w:t xml:space="preserve">tactical allocation </w:t>
            </w:r>
          </w:p>
        </w:tc>
        <w:tc>
          <w:tcPr>
            <w:tcW w:type="dxa" w:w="1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8" w:after="0"/>
              <w:ind w:left="0" w:right="356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0"/>
              </w:rPr>
              <w:t xml:space="preserve">rationale, sizing, risk 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8" w:after="0"/>
              <w:ind w:left="45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0"/>
              </w:rPr>
              <w:t xml:space="preserve">based on evolving data, </w:t>
            </w:r>
          </w:p>
        </w:tc>
        <w:tc>
          <w:tcPr>
            <w:tcW w:type="dxa" w:w="6039"/>
            <w:gridSpan w:val="9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2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15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0"/>
              </w:rPr>
              <w:t>factor weights.</w:t>
            </w:r>
          </w:p>
        </w:tc>
        <w:tc>
          <w:tcPr>
            <w:tcW w:type="dxa" w:w="200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0" w:after="0"/>
              <w:ind w:left="0" w:right="264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0"/>
              </w:rPr>
              <w:t xml:space="preserve">framework to identify trade </w:t>
            </w:r>
          </w:p>
        </w:tc>
        <w:tc>
          <w:tcPr>
            <w:tcW w:type="dxa" w:w="14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8" w:after="0"/>
              <w:ind w:left="26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0"/>
              </w:rPr>
              <w:t xml:space="preserve">budgeting, and execution 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10" w:after="0"/>
              <w:ind w:left="45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0"/>
              </w:rPr>
              <w:t xml:space="preserve">volatility shifts, and risk </w:t>
            </w:r>
          </w:p>
        </w:tc>
        <w:tc>
          <w:tcPr>
            <w:tcW w:type="dxa" w:w="6039"/>
            <w:gridSpan w:val="9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95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0" w:after="0"/>
              <w:ind w:left="0" w:right="55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0"/>
              </w:rPr>
              <w:t>opportunities.</w:t>
            </w:r>
          </w:p>
        </w:tc>
        <w:tc>
          <w:tcPr>
            <w:tcW w:type="dxa" w:w="1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6" w:after="0"/>
              <w:ind w:left="0" w:right="886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0"/>
              </w:rPr>
              <w:t>strategy.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10" w:after="0"/>
              <w:ind w:left="45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0"/>
              </w:rPr>
              <w:t>triggers.</w:t>
            </w:r>
          </w:p>
        </w:tc>
        <w:tc>
          <w:tcPr>
            <w:tcW w:type="dxa" w:w="6039"/>
            <w:gridSpan w:val="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68" w:lineRule="exact" w:before="94" w:after="70"/>
        <w:ind w:left="2512" w:right="0" w:firstLine="0"/>
        <w:jc w:val="left"/>
      </w:pPr>
      <w:r>
        <w:rPr>
          <w:rFonts w:ascii="" w:hAnsi="" w:eastAsia=""/>
          <w:b w:val="0"/>
          <w:i w:val="0"/>
          <w:color w:val="FFFFFF"/>
          <w:sz w:val="14"/>
        </w:rPr>
        <w:t>RISK MANAGEMENT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4.0" w:type="dxa"/>
      </w:tblPr>
      <w:tblGrid>
        <w:gridCol w:w="2516"/>
        <w:gridCol w:w="2516"/>
        <w:gridCol w:w="2516"/>
        <w:gridCol w:w="2516"/>
      </w:tblGrid>
      <w:tr>
        <w:trPr>
          <w:trHeight w:hRule="exact" w:val="258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0" w:after="0"/>
              <w:ind w:left="15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Risk/Budget Sizing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Volatility Monitoring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Reasessement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41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12% Max Drawdown</w:t>
            </w:r>
          </w:p>
        </w:tc>
      </w:tr>
    </w:tbl>
    <w:p>
      <w:pPr>
        <w:autoSpaceDN w:val="0"/>
        <w:autoSpaceDE w:val="0"/>
        <w:widowControl/>
        <w:spacing w:line="274" w:lineRule="exact" w:before="314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Appendix</w:t>
      </w:r>
    </w:p>
    <w:p>
      <w:pPr>
        <w:autoSpaceDN w:val="0"/>
        <w:autoSpaceDE w:val="0"/>
        <w:widowControl/>
        <w:spacing w:line="156" w:lineRule="exact" w:before="348" w:after="66"/>
        <w:ind w:left="10" w:right="0" w:firstLine="0"/>
        <w:jc w:val="left"/>
      </w:pPr>
      <w:r>
        <w:rPr>
          <w:rFonts w:ascii="" w:hAnsi="" w:eastAsia=""/>
          <w:b/>
          <w:i w:val="0"/>
          <w:color w:val="000000"/>
          <w:sz w:val="14"/>
        </w:rPr>
        <w:t xml:space="preserve">TAKTIQA 10vol (monthly EXCESS return over cash)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6.000000000000014" w:type="dxa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>
        <w:trPr>
          <w:trHeight w:hRule="exact" w:val="284"/>
        </w:trPr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372" w:after="0"/>
              <w:ind w:left="2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123417"/>
                <w:sz w:val="12"/>
              </w:rPr>
              <w:t>2023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Jan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Feb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Mar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Apr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May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Jun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Jul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Aug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Sep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Oct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Nov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Dec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Total</w:t>
            </w:r>
          </w:p>
        </w:tc>
      </w:tr>
      <w:tr>
        <w:trPr>
          <w:trHeight w:hRule="exact" w:val="220"/>
        </w:trPr>
        <w:tc>
          <w:tcPr>
            <w:tcW w:type="dxa" w:w="719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-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-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-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5.98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12"/>
              </w:rPr>
              <w:t>-1.37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12"/>
              </w:rPr>
              <w:t>-1.01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2.27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4.24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12"/>
              </w:rPr>
              <w:t>-0.08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0.33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12"/>
              </w:rPr>
              <w:t>-4.63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7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5.46</w:t>
            </w:r>
          </w:p>
        </w:tc>
      </w:tr>
      <w:tr>
        <w:trPr>
          <w:trHeight w:hRule="exact" w:val="30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168" w:after="0"/>
              <w:ind w:left="2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2024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3.51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3.00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1.65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12"/>
              </w:rPr>
              <w:t>-2.44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1.78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4.78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1.60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12"/>
              </w:rPr>
              <w:t>-1.89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12"/>
              </w:rPr>
              <w:t>-1.50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6.03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0.36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12"/>
              </w:rPr>
              <w:t>-2.09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5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15.32</w:t>
            </w:r>
          </w:p>
        </w:tc>
      </w:tr>
      <w:tr>
        <w:trPr>
          <w:trHeight w:hRule="exact" w:val="35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162" w:after="0"/>
              <w:ind w:left="2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123417"/>
                <w:sz w:val="12"/>
              </w:rPr>
              <w:t>2025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0.54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12"/>
              </w:rPr>
              <w:t>-2.79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3.09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0.30</w:t>
            </w:r>
          </w:p>
        </w:tc>
        <w:tc>
          <w:tcPr>
            <w:tcW w:type="dxa" w:w="719"/>
            <w:vMerge/>
            <w:tcBorders/>
          </w:tcPr>
          <w:p/>
        </w:tc>
        <w:tc>
          <w:tcPr>
            <w:tcW w:type="dxa" w:w="719"/>
            <w:vMerge/>
            <w:tcBorders/>
          </w:tcPr>
          <w:p/>
        </w:tc>
        <w:tc>
          <w:tcPr>
            <w:tcW w:type="dxa" w:w="719"/>
            <w:vMerge/>
            <w:tcBorders/>
          </w:tcPr>
          <w:p/>
        </w:tc>
        <w:tc>
          <w:tcPr>
            <w:tcW w:type="dxa" w:w="719"/>
            <w:vMerge/>
            <w:tcBorders/>
          </w:tcPr>
          <w:p/>
        </w:tc>
        <w:tc>
          <w:tcPr>
            <w:tcW w:type="dxa" w:w="719"/>
            <w:vMerge/>
            <w:tcBorders/>
          </w:tcPr>
          <w:p/>
        </w:tc>
        <w:tc>
          <w:tcPr>
            <w:tcW w:type="dxa" w:w="719"/>
            <w:vMerge/>
            <w:tcBorders/>
          </w:tcPr>
          <w:p/>
        </w:tc>
        <w:tc>
          <w:tcPr>
            <w:tcW w:type="dxa" w:w="719"/>
            <w:vMerge/>
            <w:tcBorders/>
          </w:tcPr>
          <w:p/>
        </w:tc>
        <w:tc>
          <w:tcPr>
            <w:tcW w:type="dxa" w:w="719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1.05</w:t>
            </w:r>
          </w:p>
        </w:tc>
      </w:tr>
    </w:tbl>
    <w:p>
      <w:pPr>
        <w:autoSpaceDN w:val="0"/>
        <w:autoSpaceDE w:val="0"/>
        <w:widowControl/>
        <w:spacing w:line="156" w:lineRule="exact" w:before="306" w:after="112"/>
        <w:ind w:left="14" w:right="0" w:firstLine="0"/>
        <w:jc w:val="left"/>
      </w:pPr>
      <w:r>
        <w:rPr>
          <w:rFonts w:ascii="" w:hAnsi="" w:eastAsia=""/>
          <w:b/>
          <w:i w:val="0"/>
          <w:color w:val="000000"/>
          <w:sz w:val="14"/>
        </w:rPr>
        <w:t xml:space="preserve">TAKTIQA 3vol (merged with 10vol from 1/2025)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6.000000000000014" w:type="dxa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>
        <w:trPr>
          <w:trHeight w:hRule="exact" w:val="292"/>
        </w:trPr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382" w:after="0"/>
              <w:ind w:left="2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123417"/>
                <w:sz w:val="12"/>
              </w:rPr>
              <w:t>2023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Jan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Feb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Mar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Apr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May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Jun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Jul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Aug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Sep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Oct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Nov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Dec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Total</w:t>
            </w:r>
          </w:p>
        </w:tc>
      </w:tr>
      <w:tr>
        <w:trPr>
          <w:trHeight w:hRule="exact" w:val="220"/>
        </w:trPr>
        <w:tc>
          <w:tcPr>
            <w:tcW w:type="dxa" w:w="719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-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-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-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0.60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1.11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0.94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0.33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0.20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0.83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7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0.11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8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4.40</w:t>
            </w:r>
          </w:p>
        </w:tc>
      </w:tr>
      <w:tr>
        <w:trPr>
          <w:trHeight w:hRule="exact" w:val="362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172" w:after="0"/>
              <w:ind w:left="2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2"/>
              </w:rPr>
              <w:t>2024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12"/>
              </w:rPr>
              <w:t>-1.29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0.21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0.64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C00000"/>
                <w:sz w:val="12"/>
              </w:rPr>
              <w:t>-0.22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0.13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1.43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12"/>
              </w:rPr>
              <w:t>-0.13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0.99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2.64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12"/>
              </w:rPr>
              <w:t>-0.39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2"/>
              </w:rPr>
              <w:t>1.40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FF0000"/>
                <w:sz w:val="12"/>
              </w:rPr>
              <w:t>-0.98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5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123417"/>
                <w:sz w:val="12"/>
              </w:rPr>
              <w:t>4.45</w:t>
            </w:r>
          </w:p>
        </w:tc>
      </w:tr>
    </w:tbl>
    <w:p>
      <w:pPr>
        <w:autoSpaceDN w:val="0"/>
        <w:autoSpaceDE w:val="0"/>
        <w:widowControl/>
        <w:spacing w:line="156" w:lineRule="exact" w:before="562" w:after="0"/>
        <w:ind w:left="10" w:right="0" w:firstLine="0"/>
        <w:jc w:val="left"/>
      </w:pPr>
      <w:r>
        <w:rPr>
          <w:rFonts w:ascii="" w:hAnsi="" w:eastAsia=""/>
          <w:b/>
          <w:i w:val="0"/>
          <w:color w:val="000000"/>
          <w:sz w:val="14"/>
        </w:rPr>
        <w:t>Glossary of Terms</w:t>
      </w:r>
    </w:p>
    <w:p>
      <w:pPr>
        <w:autoSpaceDN w:val="0"/>
        <w:autoSpaceDE w:val="0"/>
        <w:widowControl/>
        <w:spacing w:line="114" w:lineRule="exact" w:before="210" w:after="0"/>
        <w:ind w:left="10" w:right="0" w:firstLine="0"/>
        <w:jc w:val="left"/>
      </w:pPr>
      <w:r>
        <w:rPr>
          <w:rFonts w:ascii="" w:hAnsi="" w:eastAsia=""/>
          <w:b/>
          <w:i w:val="0"/>
          <w:color w:val="000000"/>
          <w:sz w:val="10"/>
        </w:rPr>
        <w:t>3m EURIBOR (Cash)</w:t>
      </w:r>
      <w:r>
        <w:rPr>
          <w:rFonts w:ascii="" w:hAnsi="" w:eastAsia=""/>
          <w:b/>
          <w:i w:val="0"/>
          <w:color w:val="000000"/>
          <w:sz w:val="10"/>
        </w:rPr>
        <w:t xml:space="preserve"> — financial market indicator that shows the average interest rate on short-term loans in the European banking sector over a three-month period.</w:t>
      </w:r>
    </w:p>
    <w:p>
      <w:pPr>
        <w:autoSpaceDN w:val="0"/>
        <w:autoSpaceDE w:val="0"/>
        <w:widowControl/>
        <w:spacing w:line="114" w:lineRule="exact" w:before="6" w:after="0"/>
        <w:ind w:left="10" w:right="0" w:firstLine="0"/>
        <w:jc w:val="left"/>
      </w:pPr>
      <w:r>
        <w:rPr>
          <w:rFonts w:ascii="" w:hAnsi="" w:eastAsia=""/>
          <w:b/>
          <w:i w:val="0"/>
          <w:color w:val="000000"/>
          <w:sz w:val="10"/>
        </w:rPr>
        <w:t>Alpha</w:t>
      </w:r>
      <w:r>
        <w:rPr>
          <w:rFonts w:ascii="" w:hAnsi="" w:eastAsia=""/>
          <w:b/>
          <w:i w:val="0"/>
          <w:color w:val="000000"/>
          <w:sz w:val="10"/>
        </w:rPr>
        <w:t xml:space="preserve"> - a term used in investing to describe an investment strategy's ability to beat the market, or its edge.</w:t>
      </w:r>
    </w:p>
    <w:p>
      <w:pPr>
        <w:autoSpaceDN w:val="0"/>
        <w:autoSpaceDE w:val="0"/>
        <w:widowControl/>
        <w:spacing w:line="114" w:lineRule="exact" w:before="6" w:after="0"/>
        <w:ind w:left="10" w:right="0" w:firstLine="0"/>
        <w:jc w:val="left"/>
      </w:pPr>
      <w:r>
        <w:rPr>
          <w:rFonts w:ascii="" w:hAnsi="" w:eastAsia=""/>
          <w:b/>
          <w:i w:val="0"/>
          <w:color w:val="000000"/>
          <w:sz w:val="10"/>
        </w:rPr>
        <w:t>Absolute Return</w:t>
      </w:r>
      <w:r>
        <w:rPr>
          <w:rFonts w:ascii="" w:hAnsi="" w:eastAsia=""/>
          <w:b/>
          <w:i w:val="0"/>
          <w:color w:val="000000"/>
          <w:sz w:val="10"/>
        </w:rPr>
        <w:t xml:space="preserve"> — the goal is to have a positive return, regardless of market direction. An absolute return strategy is not managed relative to a market index.</w:t>
      </w:r>
    </w:p>
    <w:p>
      <w:pPr>
        <w:autoSpaceDN w:val="0"/>
        <w:autoSpaceDE w:val="0"/>
        <w:widowControl/>
        <w:spacing w:line="114" w:lineRule="exact" w:before="6" w:after="0"/>
        <w:ind w:left="10" w:right="0" w:firstLine="0"/>
        <w:jc w:val="left"/>
      </w:pPr>
      <w:r>
        <w:rPr>
          <w:rFonts w:ascii="" w:hAnsi="" w:eastAsia=""/>
          <w:b/>
          <w:i w:val="0"/>
          <w:color w:val="000000"/>
          <w:sz w:val="10"/>
        </w:rPr>
        <w:t>Annualised Return</w:t>
      </w:r>
      <w:r>
        <w:rPr>
          <w:rFonts w:ascii="" w:hAnsi="" w:eastAsia=""/>
          <w:b/>
          <w:i w:val="0"/>
          <w:color w:val="000000"/>
          <w:sz w:val="10"/>
        </w:rPr>
        <w:t xml:space="preserve"> — refers to the conversion of the return on an investment into a yearly rate.</w:t>
      </w:r>
    </w:p>
    <w:p>
      <w:pPr>
        <w:autoSpaceDN w:val="0"/>
        <w:autoSpaceDE w:val="0"/>
        <w:widowControl/>
        <w:spacing w:line="120" w:lineRule="exact" w:before="0" w:after="0"/>
        <w:ind w:left="10" w:right="144" w:firstLine="0"/>
        <w:jc w:val="left"/>
      </w:pPr>
      <w:r>
        <w:rPr>
          <w:rFonts w:ascii="" w:hAnsi="" w:eastAsia=""/>
          <w:b/>
          <w:i w:val="0"/>
          <w:color w:val="000000"/>
          <w:sz w:val="10"/>
        </w:rPr>
        <w:t>Bloomberg US Bond Aggregate</w:t>
      </w:r>
      <w:r>
        <w:rPr>
          <w:rFonts w:ascii="" w:hAnsi="" w:eastAsia=""/>
          <w:b/>
          <w:i w:val="0"/>
          <w:color w:val="000000"/>
          <w:sz w:val="10"/>
        </w:rPr>
        <w:t xml:space="preserve"> - the Bloomberg US Aggregate Bond index tracks USD denominated fixed rate bonds including Treasuries, government-related, securitised and corporate securities. Rating: Investment Grade. </w:t>
      </w:r>
      <w:r>
        <w:rPr>
          <w:rFonts w:ascii="" w:hAnsi="" w:eastAsia=""/>
          <w:b/>
          <w:i w:val="0"/>
          <w:color w:val="000000"/>
          <w:sz w:val="10"/>
        </w:rPr>
        <w:t>Calmar Ratio -</w:t>
      </w:r>
      <w:r>
        <w:rPr>
          <w:rFonts w:ascii="" w:hAnsi="" w:eastAsia=""/>
          <w:b/>
          <w:i w:val="0"/>
          <w:color w:val="000000"/>
          <w:sz w:val="10"/>
        </w:rPr>
        <w:t xml:space="preserve"> a risk-adjusted performance metric that divides an investment strategy’s annualized rate of return by its maximum drawdown, focusing specifically on the strategy’s return per unit of downside risk. A higher Calmar Ratio </w:t>
      </w:r>
      <w:r>
        <w:rPr>
          <w:rFonts w:ascii="" w:hAnsi="" w:eastAsia=""/>
          <w:b/>
          <w:i w:val="0"/>
          <w:color w:val="000000"/>
          <w:sz w:val="10"/>
        </w:rPr>
        <w:t>indicates better risk-adjusted performance and is generally more favourable.</w:t>
      </w:r>
    </w:p>
    <w:p>
      <w:pPr>
        <w:autoSpaceDN w:val="0"/>
        <w:autoSpaceDE w:val="0"/>
        <w:widowControl/>
        <w:spacing w:line="114" w:lineRule="exact" w:before="6" w:after="0"/>
        <w:ind w:left="10" w:right="0" w:firstLine="0"/>
        <w:jc w:val="left"/>
      </w:pPr>
      <w:r>
        <w:rPr>
          <w:rFonts w:ascii="" w:hAnsi="" w:eastAsia=""/>
          <w:b/>
          <w:i w:val="0"/>
          <w:color w:val="000000"/>
          <w:sz w:val="10"/>
        </w:rPr>
        <w:t>Correlation</w:t>
      </w:r>
      <w:r>
        <w:rPr>
          <w:rFonts w:ascii="" w:hAnsi="" w:eastAsia=""/>
          <w:b/>
          <w:i w:val="0"/>
          <w:color w:val="000000"/>
          <w:sz w:val="10"/>
        </w:rPr>
        <w:t xml:space="preserve"> — a measure of how strategy returns move with one another, in a range of —1 to +1. A correlation of —1 implies that the strategies move in opposite directions.</w:t>
      </w:r>
    </w:p>
    <w:p>
      <w:pPr>
        <w:autoSpaceDN w:val="0"/>
        <w:autoSpaceDE w:val="0"/>
        <w:widowControl/>
        <w:spacing w:line="114" w:lineRule="exact" w:before="6" w:after="0"/>
        <w:ind w:left="10" w:right="0" w:firstLine="0"/>
        <w:jc w:val="left"/>
      </w:pPr>
      <w:r>
        <w:rPr>
          <w:rFonts w:ascii="" w:hAnsi="" w:eastAsia=""/>
          <w:b/>
          <w:i w:val="0"/>
          <w:color w:val="000000"/>
          <w:sz w:val="10"/>
        </w:rPr>
        <w:t>Drawdown</w:t>
      </w:r>
      <w:r>
        <w:rPr>
          <w:rFonts w:ascii="" w:hAnsi="" w:eastAsia=""/>
          <w:b/>
          <w:i w:val="0"/>
          <w:color w:val="000000"/>
          <w:sz w:val="10"/>
        </w:rPr>
        <w:t xml:space="preserve"> — the percentage loss from a fund’s highest value to its lowest, over a particular time frame. A fund’s “maximum drawdown” is often looked at as a measure of potential risk.</w:t>
      </w:r>
    </w:p>
    <w:p>
      <w:pPr>
        <w:autoSpaceDN w:val="0"/>
        <w:autoSpaceDE w:val="0"/>
        <w:widowControl/>
        <w:spacing w:line="114" w:lineRule="exact" w:before="6" w:after="0"/>
        <w:ind w:left="10" w:right="0" w:firstLine="0"/>
        <w:jc w:val="left"/>
      </w:pPr>
      <w:r>
        <w:rPr>
          <w:rFonts w:ascii="" w:hAnsi="" w:eastAsia=""/>
          <w:b/>
          <w:i w:val="0"/>
          <w:color w:val="000000"/>
          <w:sz w:val="10"/>
        </w:rPr>
        <w:t>Excess Return</w:t>
      </w:r>
      <w:r>
        <w:rPr>
          <w:rFonts w:ascii="" w:hAnsi="" w:eastAsia=""/>
          <w:b/>
          <w:i w:val="0"/>
          <w:color w:val="000000"/>
          <w:sz w:val="10"/>
        </w:rPr>
        <w:t xml:space="preserve"> — refers to the return on an investment that exceeds the return of a benchmark or a risk-free rate.</w:t>
      </w:r>
    </w:p>
    <w:p>
      <w:pPr>
        <w:autoSpaceDN w:val="0"/>
        <w:autoSpaceDE w:val="0"/>
        <w:widowControl/>
        <w:spacing w:line="114" w:lineRule="exact" w:before="6" w:after="0"/>
        <w:ind w:left="10" w:right="0" w:firstLine="0"/>
        <w:jc w:val="left"/>
      </w:pPr>
      <w:r>
        <w:rPr>
          <w:rFonts w:ascii="" w:hAnsi="" w:eastAsia=""/>
          <w:b/>
          <w:i w:val="0"/>
          <w:color w:val="000000"/>
          <w:sz w:val="10"/>
        </w:rPr>
        <w:t>Global Macro</w:t>
      </w:r>
      <w:r>
        <w:rPr>
          <w:rFonts w:ascii="" w:hAnsi="" w:eastAsia=""/>
          <w:b/>
          <w:i w:val="0"/>
          <w:color w:val="000000"/>
          <w:sz w:val="10"/>
        </w:rPr>
        <w:t xml:space="preserve"> - investment strategy that leverages macroeconomic and geopolitical data to analyse and predict moves in financial markets.</w:t>
      </w:r>
    </w:p>
    <w:p>
      <w:pPr>
        <w:autoSpaceDN w:val="0"/>
        <w:autoSpaceDE w:val="0"/>
        <w:widowControl/>
        <w:spacing w:line="120" w:lineRule="exact" w:before="0" w:after="0"/>
        <w:ind w:left="10" w:right="144" w:firstLine="0"/>
        <w:jc w:val="left"/>
      </w:pPr>
      <w:r>
        <w:rPr>
          <w:rFonts w:ascii="" w:hAnsi="" w:eastAsia=""/>
          <w:b/>
          <w:i w:val="0"/>
          <w:color w:val="000000"/>
          <w:sz w:val="10"/>
        </w:rPr>
        <w:t>HFRI Macro (Total)</w:t>
      </w:r>
      <w:r>
        <w:rPr>
          <w:rFonts w:ascii="" w:hAnsi="" w:eastAsia=""/>
          <w:b/>
          <w:i w:val="0"/>
          <w:color w:val="000000"/>
          <w:sz w:val="10"/>
        </w:rPr>
        <w:t xml:space="preserve"> - Fund Weighted Composite Index of global macro strategies/equal-weighted index of global macro single-manager funds that report to HFR Database. Constituent funds report monthly net of all fees performance in US </w:t>
      </w:r>
      <w:r>
        <w:rPr>
          <w:rFonts w:ascii="" w:hAnsi="" w:eastAsia=""/>
          <w:b/>
          <w:i w:val="0"/>
          <w:color w:val="000000"/>
          <w:sz w:val="10"/>
        </w:rPr>
        <w:t>Dollar and have a minimum of $50 Million under management or $10 Million under management and a twelve (12) month track record of active performance.</w:t>
      </w:r>
    </w:p>
    <w:p>
      <w:pPr>
        <w:autoSpaceDN w:val="0"/>
        <w:autoSpaceDE w:val="0"/>
        <w:widowControl/>
        <w:spacing w:line="114" w:lineRule="exact" w:before="6" w:after="0"/>
        <w:ind w:left="10" w:right="0" w:firstLine="0"/>
        <w:jc w:val="left"/>
      </w:pPr>
      <w:r>
        <w:rPr>
          <w:rFonts w:ascii="" w:hAnsi="" w:eastAsia=""/>
          <w:b/>
          <w:i w:val="0"/>
          <w:color w:val="000000"/>
          <w:sz w:val="10"/>
        </w:rPr>
        <w:t>High water mark</w:t>
      </w:r>
      <w:r>
        <w:rPr>
          <w:rFonts w:ascii="" w:hAnsi="" w:eastAsia=""/>
          <w:b/>
          <w:i w:val="0"/>
          <w:color w:val="000000"/>
          <w:sz w:val="10"/>
        </w:rPr>
        <w:t xml:space="preserve"> - the existence of the high water mark ensures that a fund only takes performance-related fees on new profits.</w:t>
      </w:r>
    </w:p>
    <w:p>
      <w:pPr>
        <w:autoSpaceDN w:val="0"/>
        <w:autoSpaceDE w:val="0"/>
        <w:widowControl/>
        <w:spacing w:line="120" w:lineRule="exact" w:before="0" w:after="0"/>
        <w:ind w:left="10" w:right="864" w:firstLine="0"/>
        <w:jc w:val="left"/>
      </w:pPr>
      <w:r>
        <w:rPr>
          <w:rFonts w:ascii="" w:hAnsi="" w:eastAsia=""/>
          <w:b/>
          <w:i w:val="0"/>
          <w:color w:val="000000"/>
          <w:sz w:val="10"/>
        </w:rPr>
        <w:t>iShares S&amp;P 500</w:t>
      </w:r>
      <w:r>
        <w:rPr>
          <w:rFonts w:ascii="" w:hAnsi="" w:eastAsia=""/>
          <w:b/>
          <w:i w:val="0"/>
          <w:color w:val="000000"/>
          <w:sz w:val="10"/>
        </w:rPr>
        <w:t xml:space="preserve"> - the iShares S&amp;P 500 EUR Hedged UCITS ETF (Acc) seeks to track the S&amp;P 500® (EUR Hedged) index. The S&amp;P 500® (EUR Hedged) index tracks the largest US stocks. Currency hedged to Euro (EUR). </w:t>
      </w:r>
      <w:r>
        <w:rPr>
          <w:rFonts w:ascii="" w:hAnsi="" w:eastAsia=""/>
          <w:b/>
          <w:i w:val="0"/>
          <w:color w:val="000000"/>
          <w:sz w:val="10"/>
        </w:rPr>
        <w:t>Leverage</w:t>
      </w:r>
      <w:r>
        <w:rPr>
          <w:rFonts w:ascii="" w:hAnsi="" w:eastAsia=""/>
          <w:b/>
          <w:i w:val="0"/>
          <w:color w:val="000000"/>
          <w:sz w:val="10"/>
        </w:rPr>
        <w:t xml:space="preserve"> — one uses leverage if he borrows money to increase his position in a security.</w:t>
      </w:r>
    </w:p>
    <w:p>
      <w:pPr>
        <w:autoSpaceDN w:val="0"/>
        <w:autoSpaceDE w:val="0"/>
        <w:widowControl/>
        <w:spacing w:line="120" w:lineRule="exact" w:before="0" w:after="0"/>
        <w:ind w:left="10" w:right="144" w:firstLine="0"/>
        <w:jc w:val="left"/>
      </w:pPr>
      <w:r>
        <w:rPr>
          <w:rFonts w:ascii="" w:hAnsi="" w:eastAsia=""/>
          <w:b/>
          <w:i w:val="0"/>
          <w:color w:val="000000"/>
          <w:sz w:val="10"/>
        </w:rPr>
        <w:t>Sharpe Ratio</w:t>
      </w:r>
      <w:r>
        <w:rPr>
          <w:rFonts w:ascii="" w:hAnsi="" w:eastAsia=""/>
          <w:b/>
          <w:i w:val="0"/>
          <w:color w:val="000000"/>
          <w:sz w:val="10"/>
        </w:rPr>
        <w:t xml:space="preserve"> — a measure of risk-adjusted return, computed by dividing a fund’s return over the risk-free rate by the standard deviation of returns. The ratio describes how much excess return you are receiving for the extra volatility you endure </w:t>
      </w:r>
      <w:r>
        <w:rPr>
          <w:rFonts w:ascii="" w:hAnsi="" w:eastAsia=""/>
          <w:b/>
          <w:i w:val="0"/>
          <w:color w:val="000000"/>
          <w:sz w:val="10"/>
        </w:rPr>
        <w:t>for holding a riskier asset.</w:t>
      </w:r>
    </w:p>
    <w:p>
      <w:pPr>
        <w:autoSpaceDN w:val="0"/>
        <w:autoSpaceDE w:val="0"/>
        <w:widowControl/>
        <w:spacing w:line="114" w:lineRule="exact" w:before="6" w:after="0"/>
        <w:ind w:left="10" w:right="0" w:firstLine="0"/>
        <w:jc w:val="left"/>
      </w:pPr>
      <w:r>
        <w:rPr>
          <w:rFonts w:ascii="" w:hAnsi="" w:eastAsia=""/>
          <w:b/>
          <w:i w:val="0"/>
          <w:color w:val="000000"/>
          <w:sz w:val="10"/>
        </w:rPr>
        <w:t>Sortino Ratio</w:t>
      </w:r>
      <w:r>
        <w:rPr>
          <w:rFonts w:ascii="" w:hAnsi="" w:eastAsia=""/>
          <w:b/>
          <w:i w:val="0"/>
          <w:color w:val="000000"/>
          <w:sz w:val="10"/>
        </w:rPr>
        <w:t xml:space="preserve"> - variation of the Sharpe ratio that only factors in downside volatility.</w:t>
      </w:r>
    </w:p>
    <w:p>
      <w:pPr>
        <w:autoSpaceDN w:val="0"/>
        <w:autoSpaceDE w:val="0"/>
        <w:widowControl/>
        <w:spacing w:line="120" w:lineRule="exact" w:before="0" w:after="0"/>
        <w:ind w:left="10" w:right="144" w:firstLine="0"/>
        <w:jc w:val="left"/>
      </w:pPr>
      <w:r>
        <w:rPr>
          <w:rFonts w:ascii="" w:hAnsi="" w:eastAsia=""/>
          <w:b/>
          <w:i w:val="0"/>
          <w:color w:val="000000"/>
          <w:sz w:val="10"/>
        </w:rPr>
        <w:t>TAKTIQA (3vol)</w:t>
      </w:r>
      <w:r>
        <w:rPr>
          <w:rFonts w:ascii="" w:hAnsi="" w:eastAsia=""/>
          <w:b/>
          <w:i w:val="0"/>
          <w:color w:val="000000"/>
          <w:sz w:val="10"/>
        </w:rPr>
        <w:t xml:space="preserve"> — in-house strategy targeting 3% annual volatility, initially designed for a particular institutional investor. The strategy merged with TBD 10vol in January 2025, its volatility target has increased to 10% annual and its total </w:t>
      </w:r>
      <w:r>
        <w:rPr>
          <w:rFonts w:ascii="" w:hAnsi="" w:eastAsia=""/>
          <w:b/>
          <w:i w:val="0"/>
          <w:color w:val="000000"/>
          <w:sz w:val="10"/>
        </w:rPr>
        <w:t>performance contribution weight is generally around 50% of NAV.</w:t>
      </w:r>
    </w:p>
    <w:p>
      <w:pPr>
        <w:autoSpaceDN w:val="0"/>
        <w:autoSpaceDE w:val="0"/>
        <w:widowControl/>
        <w:spacing w:line="114" w:lineRule="exact" w:before="6" w:after="0"/>
        <w:ind w:left="10" w:right="0" w:firstLine="0"/>
        <w:jc w:val="left"/>
      </w:pPr>
      <w:r>
        <w:rPr>
          <w:rFonts w:ascii="" w:hAnsi="" w:eastAsia=""/>
          <w:b/>
          <w:i w:val="0"/>
          <w:color w:val="000000"/>
          <w:sz w:val="10"/>
        </w:rPr>
        <w:t>TAKTIQA (10vol)</w:t>
      </w:r>
      <w:r>
        <w:rPr>
          <w:rFonts w:ascii="" w:hAnsi="" w:eastAsia=""/>
          <w:b/>
          <w:i w:val="0"/>
          <w:color w:val="000000"/>
          <w:sz w:val="10"/>
        </w:rPr>
        <w:t xml:space="preserve"> — in-house strategy targeting 10% annual volatility.</w:t>
      </w:r>
    </w:p>
    <w:p>
      <w:pPr>
        <w:autoSpaceDN w:val="0"/>
        <w:autoSpaceDE w:val="0"/>
        <w:widowControl/>
        <w:spacing w:line="120" w:lineRule="exact" w:before="0" w:after="0"/>
        <w:ind w:left="10" w:right="144" w:firstLine="0"/>
        <w:jc w:val="left"/>
      </w:pPr>
      <w:r>
        <w:rPr>
          <w:rFonts w:ascii="" w:hAnsi="" w:eastAsia=""/>
          <w:b/>
          <w:i w:val="0"/>
          <w:color w:val="000000"/>
          <w:sz w:val="10"/>
        </w:rPr>
        <w:t>Volatility (vol)</w:t>
      </w:r>
      <w:r>
        <w:rPr>
          <w:rFonts w:ascii="" w:hAnsi="" w:eastAsia=""/>
          <w:b/>
          <w:i w:val="0"/>
          <w:color w:val="000000"/>
          <w:sz w:val="10"/>
        </w:rPr>
        <w:t xml:space="preserve"> - variation of returns over a specified time period, also reported as the standard deviation of returns. A measure of how much the value of an asset moves up and down. For example, a fund with low volatility will typically show </w:t>
      </w:r>
      <w:r>
        <w:rPr>
          <w:rFonts w:ascii="" w:hAnsi="" w:eastAsia=""/>
          <w:b/>
          <w:i w:val="0"/>
          <w:color w:val="000000"/>
          <w:sz w:val="10"/>
        </w:rPr>
        <w:t>more stable performance across market cycles.</w:t>
      </w:r>
    </w:p>
    <w:p>
      <w:pPr>
        <w:autoSpaceDN w:val="0"/>
        <w:autoSpaceDE w:val="0"/>
        <w:widowControl/>
        <w:spacing w:line="114" w:lineRule="exact" w:before="6" w:after="0"/>
        <w:ind w:left="10" w:right="0" w:firstLine="0"/>
        <w:jc w:val="left"/>
      </w:pPr>
      <w:r>
        <w:rPr>
          <w:rFonts w:ascii="" w:hAnsi="" w:eastAsia=""/>
          <w:b/>
          <w:i w:val="0"/>
          <w:color w:val="000000"/>
          <w:sz w:val="10"/>
        </w:rPr>
        <w:t>YTD (Year to date)</w:t>
      </w:r>
      <w:r>
        <w:rPr>
          <w:rFonts w:ascii="" w:hAnsi="" w:eastAsia=""/>
          <w:b/>
          <w:i w:val="0"/>
          <w:color w:val="000000"/>
          <w:sz w:val="10"/>
        </w:rPr>
        <w:t xml:space="preserve"> - this figure indicates how well the fund, index or category has performed to this date in the year.</w:t>
      </w:r>
    </w:p>
    <w:p>
      <w:pPr>
        <w:sectPr>
          <w:pgSz w:w="10800" w:h="15600"/>
          <w:pgMar w:top="248" w:right="228" w:bottom="308" w:left="506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8.0" w:type="dxa"/>
      </w:tblPr>
      <w:tblGrid>
        <w:gridCol w:w="3960"/>
        <w:gridCol w:w="3960"/>
      </w:tblGrid>
      <w:tr>
        <w:trPr>
          <w:trHeight w:hRule="exact" w:val="1240"/>
        </w:trPr>
        <w:tc>
          <w:tcPr>
            <w:tcW w:type="dxa" w:w="9996"/>
            <w:gridSpan w:val="2"/>
            <w:tcBorders>
              <w:bottom w:sz="4.0" w:val="single" w:color="#12341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674" w:after="0"/>
              <w:ind w:left="10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36"/>
              </w:rPr>
              <w:t xml:space="preserve">The Case for Global Macro Allocation </w:t>
            </w:r>
          </w:p>
        </w:tc>
      </w:tr>
      <w:tr>
        <w:trPr>
          <w:trHeight w:hRule="exact" w:val="652"/>
        </w:trPr>
        <w:tc>
          <w:tcPr>
            <w:tcW w:type="dxa" w:w="3142"/>
            <w:tcBorders>
              <w:top w:sz="4.0" w:val="single" w:color="#12341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4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1. Time for active risk management. </w:t>
            </w:r>
          </w:p>
        </w:tc>
        <w:tc>
          <w:tcPr>
            <w:tcW w:type="dxa" w:w="6854"/>
            <w:tcBorders>
              <w:top w:sz="4.0" w:val="single" w:color="#12341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10" w:after="0"/>
              <w:ind w:left="10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/ Higher rate environment and heightened macro-volatility are beneficial for us.</w:t>
            </w:r>
          </w:p>
        </w:tc>
      </w:tr>
    </w:tbl>
    <w:p>
      <w:pPr>
        <w:autoSpaceDN w:val="0"/>
        <w:autoSpaceDE w:val="0"/>
        <w:widowControl/>
        <w:spacing w:line="170" w:lineRule="exact" w:before="112" w:after="0"/>
        <w:ind w:left="502" w:right="438" w:firstLine="0"/>
        <w:jc w:val="both"/>
      </w:pPr>
      <w:r>
        <w:rPr>
          <w:shd w:val="clear" w:color="auto" w:fill="fff9f3"/>
          <w:rFonts w:ascii="" w:hAnsi="" w:eastAsia=""/>
          <w:b/>
          <w:i w:val="0"/>
          <w:color w:val="000000"/>
          <w:sz w:val="14"/>
        </w:rPr>
        <w:t xml:space="preserve">Traditional asset classes derive returns primarily from well-known risk factors: equities are exposed to economic contractions and tail events; bonds reflect inflation risk </w:t>
      </w:r>
      <w:r>
        <w:rPr>
          <w:shd w:val="clear" w:color="auto" w:fill="fff9f3"/>
          <w:rFonts w:ascii="" w:hAnsi="" w:eastAsia=""/>
          <w:b/>
          <w:i w:val="0"/>
          <w:color w:val="000000"/>
          <w:sz w:val="14"/>
        </w:rPr>
        <w:t xml:space="preserve">premia and business cycles; and credit markets are sensitive to volatility and default risk. By contrast, global macro strategies are designed to tap into non-traditional </w:t>
      </w:r>
      <w:r>
        <w:rPr>
          <w:shd w:val="clear" w:color="auto" w:fill="fff9f3"/>
          <w:rFonts w:ascii="" w:hAnsi="" w:eastAsia=""/>
          <w:b/>
          <w:i w:val="0"/>
          <w:color w:val="000000"/>
          <w:sz w:val="14"/>
        </w:rPr>
        <w:t>sources of return-enhancing portfolio risk/return profiles through dynamic positioning, active risk management, and tactical flexibility</w:t>
      </w:r>
      <w:r>
        <w:rPr>
          <w:shd w:val="clear" w:color="auto" w:fill="fff9f3"/>
          <w:rFonts w:ascii="" w:hAnsi="" w:eastAsia=""/>
          <w:b/>
          <w:i w:val="0"/>
          <w:color w:val="000000"/>
          <w:sz w:val="14"/>
        </w:rPr>
        <w:t>.</w:t>
      </w:r>
    </w:p>
    <w:p>
      <w:pPr>
        <w:autoSpaceDN w:val="0"/>
        <w:autoSpaceDE w:val="0"/>
        <w:widowControl/>
        <w:spacing w:line="168" w:lineRule="exact" w:before="172" w:after="0"/>
        <w:ind w:left="502" w:right="436" w:firstLine="0"/>
        <w:jc w:val="both"/>
      </w:pPr>
      <w:r>
        <w:rPr>
          <w:rFonts w:ascii="" w:hAnsi="" w:eastAsia=""/>
          <w:b/>
          <w:i w:val="0"/>
          <w:color w:val="000000"/>
          <w:sz w:val="14"/>
        </w:rPr>
        <w:t xml:space="preserve">As interest rates and liquidity conditions normalize, the rising cost of capital has become a key catalyst for credit stress and greater dispersion across equity markets. </w:t>
      </w:r>
      <w:r>
        <w:rPr>
          <w:rFonts w:ascii="" w:hAnsi="" w:eastAsia=""/>
          <w:b/>
          <w:i w:val="0"/>
          <w:color w:val="000000"/>
          <w:sz w:val="14"/>
        </w:rPr>
        <w:t>Additionally, shifts in policy rates continue to generate volatility across global rate and FX markets.</w:t>
      </w:r>
      <w:r>
        <w:rPr>
          <w:rFonts w:ascii="" w:hAnsi="" w:eastAsia=""/>
          <w:b/>
          <w:i w:val="0"/>
          <w:color w:val="000000"/>
          <w:sz w:val="14"/>
        </w:rPr>
        <w:t xml:space="preserve"> These dislocations, which were largely absent during the post-GFC </w:t>
      </w:r>
      <w:r>
        <w:rPr>
          <w:rFonts w:ascii="" w:hAnsi="" w:eastAsia=""/>
          <w:b/>
          <w:i w:val="0"/>
          <w:color w:val="000000"/>
          <w:sz w:val="14"/>
        </w:rPr>
        <w:t>zero-rate era, now provide fertile ground for macro strategies to generate alpha.</w:t>
      </w:r>
    </w:p>
    <w:p>
      <w:pPr>
        <w:autoSpaceDN w:val="0"/>
        <w:autoSpaceDE w:val="0"/>
        <w:widowControl/>
        <w:spacing w:line="160" w:lineRule="exact" w:before="178" w:after="0"/>
        <w:ind w:left="502" w:right="436" w:firstLine="0"/>
        <w:jc w:val="both"/>
      </w:pPr>
      <w:r>
        <w:rPr>
          <w:rFonts w:ascii="" w:hAnsi="" w:eastAsia=""/>
          <w:b/>
          <w:i w:val="0"/>
          <w:color w:val="000000"/>
          <w:sz w:val="14"/>
        </w:rPr>
        <w:t xml:space="preserve">Moreover, global macro strategies are often benchmarked to a “cash plus” return target, making their profitability structurally linked to the level of short-term interest rates. </w:t>
      </w:r>
      <w:r>
        <w:rPr>
          <w:rFonts w:ascii="" w:hAnsi="" w:eastAsia=""/>
          <w:b/>
          <w:i w:val="0"/>
          <w:color w:val="000000"/>
          <w:sz w:val="14"/>
        </w:rPr>
        <w:t xml:space="preserve">This link is reinforced by the fact that hedge funds earn interest on idle cash posted as margin or received from short-selling activity–further anchoring their performance to </w:t>
      </w:r>
      <w:r>
        <w:rPr>
          <w:rFonts w:ascii="" w:hAnsi="" w:eastAsia=""/>
          <w:b/>
          <w:i w:val="0"/>
          <w:color w:val="000000"/>
          <w:sz w:val="14"/>
        </w:rPr>
        <w:t>the prevailing cash yield environment.</w:t>
      </w:r>
    </w:p>
    <w:p>
      <w:pPr>
        <w:autoSpaceDN w:val="0"/>
        <w:tabs>
          <w:tab w:pos="3606" w:val="left"/>
        </w:tabs>
        <w:autoSpaceDE w:val="0"/>
        <w:widowControl/>
        <w:spacing w:line="246" w:lineRule="exact" w:before="414" w:after="0"/>
        <w:ind w:left="504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2. Providing diversification benefit. </w:t>
      </w:r>
      <w:r>
        <w:tab/>
      </w:r>
      <w:r>
        <w:rPr>
          <w:rFonts w:ascii="" w:hAnsi="" w:eastAsia=""/>
          <w:b/>
          <w:i w:val="0"/>
          <w:color w:val="000000"/>
          <w:sz w:val="14"/>
        </w:rPr>
        <w:t>/ Risk reduction to equities, expected outperformance with a similar risk profile to bonds.</w:t>
      </w:r>
    </w:p>
    <w:p>
      <w:pPr>
        <w:autoSpaceDN w:val="0"/>
        <w:autoSpaceDE w:val="0"/>
        <w:widowControl/>
        <w:spacing w:line="182" w:lineRule="exact" w:before="214" w:after="0"/>
        <w:ind w:left="502" w:right="432" w:firstLine="0"/>
        <w:jc w:val="left"/>
      </w:pPr>
      <w:r>
        <w:rPr>
          <w:rFonts w:ascii="" w:hAnsi="" w:eastAsia=""/>
          <w:b/>
          <w:i w:val="0"/>
          <w:color w:val="000000"/>
          <w:sz w:val="14"/>
        </w:rPr>
        <w:t xml:space="preserve">Some investors perceive macro hedge funds negatively, often citing their underperformance relative to the broader equity market. However, this argument rests on a </w:t>
      </w:r>
      <w:r>
        <w:rPr>
          <w:rFonts w:ascii="" w:hAnsi="" w:eastAsia=""/>
          <w:b/>
          <w:i w:val="0"/>
          <w:color w:val="000000"/>
          <w:sz w:val="14"/>
        </w:rPr>
        <w:t>flawed comparison–like comparing a chess player to a sprinter or evaluating a compass by how fast it gets you there.</w:t>
      </w:r>
    </w:p>
    <w:p>
      <w:pPr>
        <w:autoSpaceDN w:val="0"/>
        <w:autoSpaceDE w:val="0"/>
        <w:widowControl/>
        <w:spacing w:line="164" w:lineRule="exact" w:before="172" w:after="0"/>
        <w:ind w:left="502" w:right="432" w:firstLine="0"/>
        <w:jc w:val="left"/>
      </w:pPr>
      <w:r>
        <w:rPr>
          <w:rFonts w:ascii="" w:hAnsi="" w:eastAsia=""/>
          <w:b/>
          <w:i w:val="0"/>
          <w:color w:val="000000"/>
          <w:sz w:val="14"/>
        </w:rPr>
        <w:t xml:space="preserve">First, global macro strategies carry a fundamentally different risk profile than equities. For instance, the equity market is roughly three times more volatile than a diversified </w:t>
      </w:r>
      <w:r>
        <w:rPr>
          <w:rFonts w:ascii="" w:hAnsi="" w:eastAsia=""/>
          <w:b/>
          <w:i w:val="0"/>
          <w:color w:val="000000"/>
          <w:sz w:val="14"/>
        </w:rPr>
        <w:t>portfolio of macro hedge fund strategies.</w:t>
      </w:r>
    </w:p>
    <w:p>
      <w:pPr>
        <w:autoSpaceDN w:val="0"/>
        <w:autoSpaceDE w:val="0"/>
        <w:widowControl/>
        <w:spacing w:line="168" w:lineRule="exact" w:before="172" w:after="0"/>
        <w:ind w:left="502" w:right="438" w:firstLine="0"/>
        <w:jc w:val="both"/>
      </w:pPr>
      <w:r>
        <w:rPr>
          <w:rFonts w:ascii="" w:hAnsi="" w:eastAsia=""/>
          <w:b/>
          <w:i w:val="0"/>
          <w:color w:val="000000"/>
          <w:sz w:val="14"/>
        </w:rPr>
        <w:t xml:space="preserve">Second, the core purpose and benefit of global macro strategies lies in their ability to diversify exposure to both equity and interest rate risks. In this sense, we view hedge </w:t>
      </w:r>
      <w:r>
        <w:rPr>
          <w:rFonts w:ascii="" w:hAnsi="" w:eastAsia=""/>
          <w:b/>
          <w:i w:val="0"/>
          <w:color w:val="000000"/>
          <w:sz w:val="14"/>
        </w:rPr>
        <w:t>funds as a</w:t>
      </w:r>
      <w:r>
        <w:rPr>
          <w:rFonts w:ascii="" w:hAnsi="" w:eastAsia=""/>
          <w:b/>
          <w:i w:val="0"/>
          <w:color w:val="000000"/>
          <w:sz w:val="14"/>
        </w:rPr>
        <w:t xml:space="preserve"> strategic complement</w:t>
      </w:r>
      <w:r>
        <w:rPr>
          <w:rFonts w:ascii="" w:hAnsi="" w:eastAsia=""/>
          <w:b/>
          <w:i w:val="0"/>
          <w:color w:val="000000"/>
          <w:sz w:val="14"/>
        </w:rPr>
        <w:t xml:space="preserve"> to traditional “60/40” portfolio -</w:t>
      </w:r>
      <w:r>
        <w:rPr>
          <w:rFonts w:ascii="" w:hAnsi="" w:eastAsia=""/>
          <w:b/>
          <w:i w:val="0"/>
          <w:color w:val="000000"/>
          <w:sz w:val="14"/>
        </w:rPr>
        <w:t xml:space="preserve"> an alternative diversifier with potential to enhance portfolio resilience</w:t>
      </w:r>
      <w:r>
        <w:rPr>
          <w:rFonts w:ascii="" w:hAnsi="" w:eastAsia=""/>
          <w:b/>
          <w:i w:val="0"/>
          <w:color w:val="000000"/>
          <w:sz w:val="14"/>
        </w:rPr>
        <w:t xml:space="preserve">. Given their volatility profile - more </w:t>
      </w:r>
      <w:r>
        <w:rPr>
          <w:rFonts w:ascii="" w:hAnsi="" w:eastAsia=""/>
          <w:b/>
          <w:i w:val="0"/>
          <w:color w:val="000000"/>
          <w:sz w:val="14"/>
        </w:rPr>
        <w:t>comparable to fixed income than equities — macro hedge funds offer the prospect of higher returns with reduced sensitivity to interest rate movements.</w:t>
      </w:r>
    </w:p>
    <w:p>
      <w:pPr>
        <w:autoSpaceDN w:val="0"/>
        <w:autoSpaceDE w:val="0"/>
        <w:widowControl/>
        <w:spacing w:line="156" w:lineRule="exact" w:before="166" w:after="0"/>
        <w:ind w:left="502" w:right="0" w:firstLine="0"/>
        <w:jc w:val="left"/>
      </w:pPr>
      <w:r>
        <w:rPr>
          <w:rFonts w:ascii="" w:hAnsi="" w:eastAsia=""/>
          <w:b/>
          <w:i w:val="0"/>
          <w:color w:val="000000"/>
          <w:sz w:val="14"/>
        </w:rPr>
        <w:t>Third, we think of macro hedge funds as cash + premium investments as their returns are usually directly related to short-term interest rates.</w:t>
      </w:r>
    </w:p>
    <w:p>
      <w:pPr>
        <w:autoSpaceDN w:val="0"/>
        <w:tabs>
          <w:tab w:pos="4008" w:val="left"/>
        </w:tabs>
        <w:autoSpaceDE w:val="0"/>
        <w:widowControl/>
        <w:spacing w:line="246" w:lineRule="exact" w:before="486" w:after="0"/>
        <w:ind w:left="502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3. Relatively high risk-adjusted returns. </w:t>
      </w:r>
      <w:r>
        <w:tab/>
      </w:r>
      <w:r>
        <w:rPr>
          <w:rFonts w:ascii="" w:hAnsi="" w:eastAsia=""/>
          <w:b/>
          <w:i w:val="0"/>
          <w:color w:val="000000"/>
          <w:sz w:val="14"/>
        </w:rPr>
        <w:t>/ Our objective is to target 3m EURIBOR + premium (12%) p.a.</w:t>
      </w:r>
    </w:p>
    <w:p>
      <w:pPr>
        <w:autoSpaceDN w:val="0"/>
        <w:autoSpaceDE w:val="0"/>
        <w:widowControl/>
        <w:spacing w:line="178" w:lineRule="exact" w:before="242" w:after="0"/>
        <w:ind w:left="502" w:right="432" w:firstLine="0"/>
        <w:jc w:val="left"/>
      </w:pPr>
      <w:r>
        <w:rPr>
          <w:rFonts w:ascii="" w:hAnsi="" w:eastAsia=""/>
          <w:b/>
          <w:i w:val="0"/>
          <w:color w:val="000000"/>
          <w:sz w:val="14"/>
        </w:rPr>
        <w:t xml:space="preserve">Returns alone are not sufficient for meaningful comparisons across assets with varying risk profiles. True outperformance lies in delivering excess returns per unit of risk </w:t>
      </w:r>
      <w:r>
        <w:rPr>
          <w:rFonts w:ascii="" w:hAnsi="" w:eastAsia=""/>
          <w:b/>
          <w:i w:val="0"/>
          <w:color w:val="000000"/>
          <w:sz w:val="14"/>
        </w:rPr>
        <w:t>taken. Our objective is to generate exceptional risk-adjusted returns, providing real value beyond headline performance.</w:t>
      </w:r>
    </w:p>
    <w:p>
      <w:pPr>
        <w:autoSpaceDN w:val="0"/>
        <w:autoSpaceDE w:val="0"/>
        <w:widowControl/>
        <w:spacing w:line="156" w:lineRule="exact" w:before="184" w:after="2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14"/>
        </w:rPr>
        <w:t>For return-seeking investors, we aim to deliver attractive performance, targeting 3M Euribor + 12% per annum, positioning the strategy as a</w:t>
      </w:r>
      <w:r>
        <w:rPr>
          <w:rFonts w:ascii="" w:hAnsi="" w:eastAsia=""/>
          <w:b/>
          <w:i w:val="0"/>
          <w:color w:val="000000"/>
          <w:sz w:val="14"/>
        </w:rPr>
        <w:t xml:space="preserve"> compelling solution for those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920"/>
      </w:tblGrid>
      <w:tr>
        <w:trPr>
          <w:trHeight w:hRule="exact" w:val="2598"/>
        </w:trPr>
        <w:tc>
          <w:tcPr>
            <w:tcW w:type="dxa" w:w="10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2" w:after="0"/>
              <w:ind w:left="50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4"/>
              </w:rPr>
              <w:t>seeking higher return potential with disciplined risk control.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920"/>
      </w:tblGrid>
      <w:tr>
        <w:trPr>
          <w:trHeight w:hRule="exact" w:val="4720"/>
        </w:trPr>
        <w:tc>
          <w:tcPr>
            <w:tcW w:type="dxa" w:w="1080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0800"/>
            </w:tblGrid>
            <w:tr>
              <w:trPr>
                <w:trHeight w:hRule="exact" w:val="4720"/>
              </w:trPr>
              <w:tc>
                <w:tcPr>
                  <w:tcW w:type="dxa" w:w="10800"/>
                  <w:tcBorders/>
                  <w:shd w:fill="0b2b2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054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797300" cy="402589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97300" cy="40258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0800" w:h="1560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www.taktiqa.com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