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C1695" w14:textId="77777777" w:rsidR="00946140" w:rsidRDefault="00946140" w:rsidP="00946140">
      <w:pPr>
        <w:pStyle w:val="1"/>
        <w:spacing w:before="0" w:line="288" w:lineRule="auto"/>
        <w:jc w:val="center"/>
        <w:rPr>
          <w:rFonts w:ascii="Times New Roman" w:hAnsi="Times New Roman"/>
          <w:color w:val="auto"/>
        </w:rPr>
      </w:pPr>
      <w:r w:rsidRPr="00930E1B">
        <w:rPr>
          <w:rFonts w:ascii="Times New Roman" w:hAnsi="Times New Roman"/>
          <w:caps/>
          <w:color w:val="auto"/>
        </w:rPr>
        <w:t>ПРАКТИЧЕСКое занятие</w:t>
      </w:r>
      <w:r w:rsidRPr="003225CF">
        <w:rPr>
          <w:rFonts w:ascii="Times New Roman" w:hAnsi="Times New Roman"/>
          <w:color w:val="auto"/>
        </w:rPr>
        <w:t xml:space="preserve"> № </w:t>
      </w:r>
      <w:r>
        <w:rPr>
          <w:rFonts w:ascii="Times New Roman" w:hAnsi="Times New Roman"/>
          <w:color w:val="auto"/>
        </w:rPr>
        <w:t>4</w:t>
      </w:r>
    </w:p>
    <w:p w14:paraId="0A030EB2" w14:textId="19FB8A66" w:rsidR="002767F2" w:rsidRDefault="00946140" w:rsidP="00946140">
      <w:pPr>
        <w:pStyle w:val="1"/>
        <w:spacing w:before="0" w:line="288" w:lineRule="auto"/>
        <w:jc w:val="center"/>
        <w:rPr>
          <w:rFonts w:ascii="Times New Roman" w:hAnsi="Times New Roman"/>
          <w:caps/>
          <w:color w:val="auto"/>
        </w:rPr>
      </w:pPr>
      <w:r w:rsidRPr="00930E1B">
        <w:rPr>
          <w:rFonts w:ascii="Times New Roman" w:hAnsi="Times New Roman"/>
          <w:caps/>
          <w:color w:val="auto"/>
        </w:rPr>
        <w:t>«</w:t>
      </w:r>
      <w:r>
        <w:rPr>
          <w:rFonts w:ascii="Times New Roman" w:hAnsi="Times New Roman"/>
          <w:caps/>
          <w:color w:val="auto"/>
        </w:rPr>
        <w:t>анализ угроз безопасности информации</w:t>
      </w:r>
      <w:r w:rsidRPr="00930E1B">
        <w:rPr>
          <w:rFonts w:ascii="Times New Roman" w:hAnsi="Times New Roman"/>
          <w:caps/>
          <w:color w:val="auto"/>
        </w:rPr>
        <w:t>»</w:t>
      </w:r>
    </w:p>
    <w:p w14:paraId="0B981C3D" w14:textId="05F4C128" w:rsidR="00946140" w:rsidRPr="00946140" w:rsidRDefault="00946140">
      <w:pPr>
        <w:rPr>
          <w:rFonts w:ascii="Times New Roman" w:hAnsi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33"/>
        <w:gridCol w:w="2488"/>
        <w:gridCol w:w="2595"/>
        <w:gridCol w:w="2528"/>
      </w:tblGrid>
      <w:tr w:rsidR="00A80D22" w14:paraId="03E59ACE" w14:textId="77777777" w:rsidTr="00F668DA">
        <w:tc>
          <w:tcPr>
            <w:tcW w:w="2336" w:type="dxa"/>
            <w:vAlign w:val="center"/>
          </w:tcPr>
          <w:p w14:paraId="182F26DF" w14:textId="53137084" w:rsidR="00A80D22" w:rsidRPr="00A80D22" w:rsidRDefault="00A80D22" w:rsidP="00A80D2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80D22">
              <w:rPr>
                <w:rFonts w:ascii="Times New Roman" w:hAnsi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336" w:type="dxa"/>
            <w:vAlign w:val="center"/>
          </w:tcPr>
          <w:p w14:paraId="63F2FE52" w14:textId="2BD04821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0D22">
              <w:rPr>
                <w:rFonts w:ascii="Times New Roman" w:hAnsi="Times New Roman"/>
                <w:sz w:val="24"/>
                <w:szCs w:val="24"/>
              </w:rPr>
              <w:t>Флеш</w:t>
            </w:r>
            <w:proofErr w:type="spellEnd"/>
            <w:r w:rsidRPr="00A80D22">
              <w:rPr>
                <w:rFonts w:ascii="Times New Roman" w:hAnsi="Times New Roman"/>
                <w:sz w:val="24"/>
                <w:szCs w:val="24"/>
              </w:rPr>
              <w:noBreakHyphen/>
              <w:t>карта (USB, на столе, без дубликата)</w:t>
            </w:r>
          </w:p>
        </w:tc>
        <w:tc>
          <w:tcPr>
            <w:tcW w:w="2336" w:type="dxa"/>
            <w:vAlign w:val="center"/>
          </w:tcPr>
          <w:p w14:paraId="7C1378AB" w14:textId="706BDB19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Персональный компьютер (подключён к Интернету, есть резервная копия)</w:t>
            </w:r>
          </w:p>
        </w:tc>
        <w:tc>
          <w:tcPr>
            <w:tcW w:w="2336" w:type="dxa"/>
            <w:vAlign w:val="center"/>
          </w:tcPr>
          <w:p w14:paraId="12092538" w14:textId="74C1485D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Банковская карта (в тумбочке, единственный экземпляр)</w:t>
            </w:r>
          </w:p>
        </w:tc>
      </w:tr>
      <w:tr w:rsidR="00A80D22" w14:paraId="39F0910A" w14:textId="77777777" w:rsidTr="00F668DA">
        <w:tc>
          <w:tcPr>
            <w:tcW w:w="2336" w:type="dxa"/>
            <w:vAlign w:val="center"/>
          </w:tcPr>
          <w:p w14:paraId="1A7092ED" w14:textId="36020269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Style w:val="a5"/>
                <w:rFonts w:ascii="Times New Roman" w:hAnsi="Times New Roman"/>
                <w:sz w:val="24"/>
                <w:szCs w:val="24"/>
              </w:rPr>
              <w:t>Угроза / вид</w:t>
            </w:r>
          </w:p>
        </w:tc>
        <w:tc>
          <w:tcPr>
            <w:tcW w:w="2336" w:type="dxa"/>
            <w:vAlign w:val="center"/>
          </w:tcPr>
          <w:p w14:paraId="6BC14983" w14:textId="06233BE8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Физический доступ / Конфиденциальность, Доступность, Сохранность</w:t>
            </w:r>
          </w:p>
        </w:tc>
        <w:tc>
          <w:tcPr>
            <w:tcW w:w="2336" w:type="dxa"/>
            <w:vAlign w:val="center"/>
          </w:tcPr>
          <w:p w14:paraId="712E285D" w14:textId="10BDEAE2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Несанкционированный доступ через сеть / Конфиденциальность, Целостность; Физический доступ / Доступность</w:t>
            </w:r>
          </w:p>
        </w:tc>
        <w:tc>
          <w:tcPr>
            <w:tcW w:w="2336" w:type="dxa"/>
            <w:vAlign w:val="center"/>
          </w:tcPr>
          <w:p w14:paraId="12CF68B5" w14:textId="60E88B09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Физический доступ / Конфиденциальность, Доступность, Сохранность</w:t>
            </w:r>
          </w:p>
        </w:tc>
      </w:tr>
      <w:tr w:rsidR="00A80D22" w14:paraId="39E1735A" w14:textId="77777777" w:rsidTr="00F668DA">
        <w:tc>
          <w:tcPr>
            <w:tcW w:w="2336" w:type="dxa"/>
            <w:vAlign w:val="center"/>
          </w:tcPr>
          <w:p w14:paraId="5CF909B1" w14:textId="542AB52E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Style w:val="a5"/>
                <w:rFonts w:ascii="Times New Roman" w:hAnsi="Times New Roman"/>
                <w:sz w:val="24"/>
                <w:szCs w:val="24"/>
              </w:rPr>
              <w:t>Негативные последствия</w:t>
            </w:r>
          </w:p>
        </w:tc>
        <w:tc>
          <w:tcPr>
            <w:tcW w:w="2336" w:type="dxa"/>
            <w:vAlign w:val="center"/>
          </w:tcPr>
          <w:p w14:paraId="58F5BC11" w14:textId="0575888C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Разглашение информации; уничтожение или потеря единственного экземпляра</w:t>
            </w:r>
          </w:p>
        </w:tc>
        <w:tc>
          <w:tcPr>
            <w:tcW w:w="2336" w:type="dxa"/>
            <w:vAlign w:val="center"/>
          </w:tcPr>
          <w:p w14:paraId="663CC02D" w14:textId="09040661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Кража или искажение данных; уничтожение или повреждение локальных данных</w:t>
            </w:r>
          </w:p>
        </w:tc>
        <w:tc>
          <w:tcPr>
            <w:tcW w:w="2336" w:type="dxa"/>
            <w:vAlign w:val="center"/>
          </w:tcPr>
          <w:p w14:paraId="43A55CAF" w14:textId="7A756E75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Хищение карты, несанкционированные операции, невозможность пользоваться картой</w:t>
            </w:r>
          </w:p>
        </w:tc>
      </w:tr>
      <w:tr w:rsidR="00A80D22" w14:paraId="086CAE34" w14:textId="77777777" w:rsidTr="00F668DA">
        <w:tc>
          <w:tcPr>
            <w:tcW w:w="2336" w:type="dxa"/>
            <w:vAlign w:val="center"/>
          </w:tcPr>
          <w:p w14:paraId="19130C01" w14:textId="061B79B1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Style w:val="a5"/>
                <w:rFonts w:ascii="Times New Roman" w:hAnsi="Times New Roman"/>
                <w:sz w:val="24"/>
                <w:szCs w:val="24"/>
              </w:rPr>
              <w:t>Ущерб</w:t>
            </w:r>
          </w:p>
        </w:tc>
        <w:tc>
          <w:tcPr>
            <w:tcW w:w="2336" w:type="dxa"/>
            <w:vAlign w:val="center"/>
          </w:tcPr>
          <w:p w14:paraId="0AC040B5" w14:textId="67182017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Не приемлем (утрата или разглашение единственного носителя)</w:t>
            </w:r>
          </w:p>
        </w:tc>
        <w:tc>
          <w:tcPr>
            <w:tcW w:w="2336" w:type="dxa"/>
            <w:vAlign w:val="center"/>
          </w:tcPr>
          <w:p w14:paraId="5E36A923" w14:textId="77777777" w:rsid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Не приемлем (разглашение или искажение информации);</w:t>
            </w:r>
          </w:p>
          <w:p w14:paraId="0C7F1807" w14:textId="1F56C0FF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Приемлем (уничтожение локальных данных, т.к. есть резервная копия)</w:t>
            </w:r>
          </w:p>
        </w:tc>
        <w:tc>
          <w:tcPr>
            <w:tcW w:w="2336" w:type="dxa"/>
            <w:vAlign w:val="center"/>
          </w:tcPr>
          <w:p w14:paraId="02C987D5" w14:textId="7DEA1F8C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Не приемлем (финансовые потери, утрата доступа к средствам)</w:t>
            </w:r>
          </w:p>
        </w:tc>
      </w:tr>
      <w:tr w:rsidR="00A80D22" w14:paraId="66776DD6" w14:textId="77777777" w:rsidTr="00F668DA">
        <w:tc>
          <w:tcPr>
            <w:tcW w:w="2336" w:type="dxa"/>
            <w:vAlign w:val="center"/>
          </w:tcPr>
          <w:p w14:paraId="4C63C0BB" w14:textId="19C935BF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Style w:val="a5"/>
                <w:rFonts w:ascii="Times New Roman" w:hAnsi="Times New Roman"/>
                <w:sz w:val="24"/>
                <w:szCs w:val="24"/>
              </w:rPr>
              <w:t>Методы защиты</w:t>
            </w:r>
          </w:p>
        </w:tc>
        <w:tc>
          <w:tcPr>
            <w:tcW w:w="2336" w:type="dxa"/>
            <w:vAlign w:val="center"/>
          </w:tcPr>
          <w:p w14:paraId="29E5AD7A" w14:textId="571FABD7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Технический; Организационный; Правовой</w:t>
            </w:r>
          </w:p>
        </w:tc>
        <w:tc>
          <w:tcPr>
            <w:tcW w:w="2336" w:type="dxa"/>
            <w:vAlign w:val="center"/>
          </w:tcPr>
          <w:p w14:paraId="6B3CECEC" w14:textId="75102D92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Технический; Организационный</w:t>
            </w:r>
          </w:p>
        </w:tc>
        <w:tc>
          <w:tcPr>
            <w:tcW w:w="2336" w:type="dxa"/>
            <w:vAlign w:val="center"/>
          </w:tcPr>
          <w:p w14:paraId="1B59FE24" w14:textId="08B12B69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Технический; Организационный; Правовой</w:t>
            </w:r>
          </w:p>
        </w:tc>
      </w:tr>
      <w:tr w:rsidR="00A80D22" w14:paraId="67501761" w14:textId="77777777" w:rsidTr="00F668DA">
        <w:tc>
          <w:tcPr>
            <w:tcW w:w="2336" w:type="dxa"/>
            <w:vAlign w:val="center"/>
          </w:tcPr>
          <w:p w14:paraId="0EBDA4E1" w14:textId="0FDB07E1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Style w:val="a5"/>
                <w:rFonts w:ascii="Times New Roman" w:hAnsi="Times New Roman"/>
                <w:sz w:val="24"/>
                <w:szCs w:val="24"/>
              </w:rPr>
              <w:t>Средства / мероприятия</w:t>
            </w:r>
          </w:p>
        </w:tc>
        <w:tc>
          <w:tcPr>
            <w:tcW w:w="2336" w:type="dxa"/>
            <w:vAlign w:val="center"/>
          </w:tcPr>
          <w:p w14:paraId="1C6B0210" w14:textId="60CA0712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Сейф или шкаф с замком; ограничение доступа в помещение; инструкция по работе с носителями</w:t>
            </w:r>
          </w:p>
        </w:tc>
        <w:tc>
          <w:tcPr>
            <w:tcW w:w="2336" w:type="dxa"/>
            <w:vAlign w:val="center"/>
          </w:tcPr>
          <w:p w14:paraId="503AEDBD" w14:textId="417E308E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Межсетевой экран, антивирус, обновления ПО; контроль доступа; политика паролей; резервное копирование на сервер</w:t>
            </w:r>
          </w:p>
        </w:tc>
        <w:tc>
          <w:tcPr>
            <w:tcW w:w="2336" w:type="dxa"/>
            <w:vAlign w:val="center"/>
          </w:tcPr>
          <w:p w14:paraId="7FBF41E6" w14:textId="21198A75" w:rsidR="00A80D22" w:rsidRPr="00A80D22" w:rsidRDefault="00A80D22" w:rsidP="00A80D22">
            <w:pPr>
              <w:rPr>
                <w:rFonts w:ascii="Times New Roman" w:hAnsi="Times New Roman"/>
                <w:sz w:val="24"/>
                <w:szCs w:val="24"/>
              </w:rPr>
            </w:pPr>
            <w:r w:rsidRPr="00A80D22">
              <w:rPr>
                <w:rFonts w:ascii="Times New Roman" w:hAnsi="Times New Roman"/>
                <w:sz w:val="24"/>
                <w:szCs w:val="24"/>
              </w:rPr>
              <w:t>Хранение в сейфе или запираемой тумбочке; установка лимитов и SMS</w:t>
            </w:r>
            <w:r w:rsidRPr="00A80D22">
              <w:rPr>
                <w:rFonts w:ascii="Times New Roman" w:hAnsi="Times New Roman"/>
                <w:sz w:val="24"/>
                <w:szCs w:val="24"/>
              </w:rPr>
              <w:noBreakHyphen/>
              <w:t>уведомлений; правила безопасного хранения карт</w:t>
            </w:r>
          </w:p>
        </w:tc>
      </w:tr>
    </w:tbl>
    <w:p w14:paraId="490F2959" w14:textId="77777777" w:rsidR="00A80D22" w:rsidRDefault="00A80D22"/>
    <w:sectPr w:rsidR="00A80D22" w:rsidSect="00DB09E3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22"/>
    <w:rsid w:val="002767F2"/>
    <w:rsid w:val="00796E9C"/>
    <w:rsid w:val="00946140"/>
    <w:rsid w:val="00A226B0"/>
    <w:rsid w:val="00A80D22"/>
    <w:rsid w:val="00DB09E3"/>
    <w:rsid w:val="00DB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B142"/>
  <w15:chartTrackingRefBased/>
  <w15:docId w15:val="{8D50D30B-EBEC-41AA-984C-BBB9CDD9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22"/>
    <w:pPr>
      <w:spacing w:after="200" w:line="276" w:lineRule="auto"/>
      <w:ind w:firstLine="0"/>
      <w:jc w:val="left"/>
    </w:pPr>
    <w:rPr>
      <w:rFonts w:ascii="Calibri" w:eastAsia="Calibri" w:hAnsi="Calibr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4614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A226B0"/>
    <w:pPr>
      <w:suppressAutoHyphens/>
    </w:pPr>
    <w:rPr>
      <w:rFonts w:eastAsiaTheme="majorEastAsia" w:cstheme="majorBidi"/>
      <w:kern w:val="2"/>
      <w:szCs w:val="32"/>
      <w:lang w:eastAsia="zh-CN" w:bidi="hi-IN"/>
    </w:rPr>
  </w:style>
  <w:style w:type="character" w:customStyle="1" w:styleId="a4">
    <w:name w:val="СТП Знак"/>
    <w:basedOn w:val="a0"/>
    <w:link w:val="a3"/>
    <w:rsid w:val="00A226B0"/>
    <w:rPr>
      <w:rFonts w:ascii="Times New Roman" w:eastAsiaTheme="majorEastAsia" w:hAnsi="Times New Roman" w:cstheme="majorBidi"/>
      <w:kern w:val="2"/>
      <w:sz w:val="28"/>
      <w:szCs w:val="32"/>
      <w:lang w:eastAsia="zh-CN" w:bidi="hi-IN"/>
    </w:rPr>
  </w:style>
  <w:style w:type="character" w:styleId="a5">
    <w:name w:val="Strong"/>
    <w:uiPriority w:val="22"/>
    <w:qFormat/>
    <w:rsid w:val="00A80D22"/>
    <w:rPr>
      <w:b/>
      <w:bCs/>
    </w:rPr>
  </w:style>
  <w:style w:type="table" w:styleId="a6">
    <w:name w:val="Table Grid"/>
    <w:basedOn w:val="a1"/>
    <w:uiPriority w:val="39"/>
    <w:rsid w:val="00A80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46140"/>
    <w:rPr>
      <w:rFonts w:ascii="Cambria" w:eastAsia="Times New Roman" w:hAnsi="Cambria"/>
      <w:b/>
      <w:bCs/>
      <w:color w:val="365F9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annnasilchenk@mail.ru</dc:creator>
  <cp:keywords/>
  <dc:description/>
  <cp:lastModifiedBy>annnasilchenk@mail.ru</cp:lastModifiedBy>
  <cp:revision>1</cp:revision>
  <dcterms:created xsi:type="dcterms:W3CDTF">2025-10-10T14:19:00Z</dcterms:created>
  <dcterms:modified xsi:type="dcterms:W3CDTF">2025-10-10T14:40:00Z</dcterms:modified>
</cp:coreProperties>
</file>