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2E6D8C"/>
          <w:sz w:val="24"/>
        </w:rPr>
        <w:t>ПАЙПЛАЙН БИЗНЕС-АНАЛИЗА — ФАЗА 1 / STARTER</w:t>
      </w:r>
    </w:p>
    <w:p>
      <w:pPr>
        <w:spacing w:after="120"/>
        <w:jc w:val="center"/>
      </w:pPr>
      <w:r>
        <w:rPr>
          <w:rFonts w:ascii="Calibri" w:hAnsi="Calibri"/>
          <w:b/>
          <w:color w:val="1F3A5F"/>
          <w:sz w:val="60"/>
        </w:rPr>
        <w:t>Спецификация системной архитектуры</w:t>
      </w:r>
    </w:p>
    <w:p>
      <w:pPr>
        <w:jc w:val="center"/>
      </w:pPr>
      <w:r>
        <w:rPr>
          <w:i/>
          <w:color w:val="444444"/>
          <w:sz w:val="28"/>
        </w:rPr>
        <w:t>Rumica Starter — Bitrix24-центричная архитектура тонких мостов</w:t>
      </w:r>
    </w:p>
    <w:p/>
    <w:p/>
    <w:p/>
    <w:p/>
    <w:p/>
    <w:p/>
    <w:p>
      <w:pPr>
        <w:jc w:val="center"/>
      </w:pPr>
      <w:r>
        <w:rPr>
          <w:color w:val="444444"/>
          <w:sz w:val="21"/>
        </w:rPr>
        <w:t>Проект: rumica-starter (производный от artdecor-home-design)</w:t>
      </w:r>
    </w:p>
    <w:p>
      <w:pPr>
        <w:jc w:val="center"/>
      </w:pPr>
      <w:r>
        <w:rPr>
          <w:color w:val="444444"/>
          <w:sz w:val="21"/>
        </w:rPr>
        <w:t>Статус: Финализировано — готово к разработке</w:t>
      </w:r>
    </w:p>
    <w:p>
      <w:pPr>
        <w:jc w:val="center"/>
      </w:pPr>
      <w:r>
        <w:rPr>
          <w:color w:val="444444"/>
          <w:sz w:val="21"/>
        </w:rPr>
        <w:t>Язык: русский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Обзор</w:t>
      </w:r>
    </w:p>
    <w:p>
      <w:r>
        <w:t xml:space="preserve">Rumica Starter реализуется как </w:t>
      </w:r>
      <w:r>
        <w:rPr>
          <w:b/>
        </w:rPr>
        <w:t>Bitrix24-центричный модульный монолит</w:t>
      </w:r>
      <w:r>
        <w:t xml:space="preserve">, напрямую продолжающий тонкую мостовую структуру, уже финализированную для родительской архитектуры </w:t>
      </w:r>
      <w:r>
        <w:rPr>
          <w:rFonts w:ascii="Consolas" w:hAnsi="Consolas"/>
          <w:color w:val="A81B3B"/>
          <w:sz w:val="21"/>
        </w:rPr>
        <w:t>artdecor-home-design</w:t>
      </w:r>
      <w:r>
        <w:t xml:space="preserve"> — без новой парадигмы backend, без разделения на микросервисы. Система — это единое развёртываемое приложение (веб/админ-фронтенд + API Gateway/BFF + мосты Auth/Catalog/Commerce + лёгкий асинхронный воркер задач), стоящее перед Bitrix24 Cloud, который остаётся системой записи для идентификации, каталога и заказов/платежей (BR-4). Единственное структурное добавление, которое требуется Starter сверх родительской структуры — небольшая </w:t>
      </w:r>
      <w:r>
        <w:rPr>
          <w:b/>
        </w:rPr>
        <w:t>read-модель каталога (Catalog Read Model)</w:t>
      </w:r>
      <w:r>
        <w:t xml:space="preserve"> внутри существующей прикладной БД, необходимая специально для удовлетворения требования единого поиска (FR-7) по двум независимым по схеме сущностям каталога Bitrix24 без превышения лимитов частоты запросов к API Bitrix24 при каждом запросе просмотра/поиска.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Контекстная 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150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5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4"/>
          <w:sz w:val="19"/>
        </w:rPr>
        <w:t>Figure: Контекстная диаграмма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Компоненты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1928"/>
        <w:gridCol w:w="2268"/>
      </w:tblGrid>
      <w:tr>
        <w:tc>
          <w:tcPr>
            <w:tcW w:type="dxa" w:w="1701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3515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Ответственность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Почему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Веб/админ-фронтенд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Единое React SPA: просмотр/поиск/корзина/чекаут/заказы для покупателя + защищённый ролью экран администратора «Управление каталогом» (FR-9)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React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Одно приложение для обеих поверхностей избавляет от необходимости строить/хостить второй админ-фронтенд для экрана, который сводится к переключателю + форме CRUD — переиспользует стек родительского проекта.</w:t>
            </w:r>
          </w:p>
        </w:tc>
      </w:tr>
      <w:tr>
        <w:tc>
          <w:tcPr>
            <w:tcW w:type="dxa" w:w="1701"/>
            <w:shd w:val="clear" w:color="auto" w:fill="F5F7F9"/>
          </w:tcPr>
          <w:p>
            <w:r/>
            <w:r>
              <w:rPr>
                <w:sz w:val="19"/>
              </w:rPr>
              <w:t>API Gateway/BFF</w:t>
            </w:r>
          </w:p>
        </w:tc>
        <w:tc>
          <w:tcPr>
            <w:tcW w:type="dxa" w:w="3515"/>
            <w:shd w:val="clear" w:color="auto" w:fill="F5F7F9"/>
          </w:tcPr>
          <w:p>
            <w:r/>
            <w:r>
              <w:rPr>
                <w:sz w:val="19"/>
              </w:rPr>
              <w:t>Единая точка входа; проверка авторизации; формирование/агрегация запросов для фронтенда</w:t>
            </w:r>
          </w:p>
        </w:tc>
        <w:tc>
          <w:tcPr>
            <w:tcW w:type="dxa" w:w="1928"/>
            <w:shd w:val="clear" w:color="auto" w:fill="F5F7F9"/>
          </w:tcPr>
          <w:p>
            <w:r/>
            <w:r>
              <w:rPr>
                <w:sz w:val="19"/>
              </w:rPr>
              <w:t>Node/.NET (соответствует стеку родительского проекта)</w:t>
            </w:r>
          </w:p>
        </w:tc>
        <w:tc>
          <w:tcPr>
            <w:tcW w:type="dxa" w:w="2268"/>
            <w:shd w:val="clear" w:color="auto" w:fill="F5F7F9"/>
          </w:tcPr>
          <w:p>
            <w:r/>
            <w:r>
              <w:rPr>
                <w:sz w:val="19"/>
              </w:rPr>
              <w:t>Та же роль, что и в родительской архитектуре; отделяет фронтенд от внутренностей мостов.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Auth Bridge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Регистрация/вход по email/паролю + Google OAuth (FR-1, FR-2); выдача сессии (FR-3); упрощённый профиль (FR-4)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Server-side модуль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Переиспользует паттерн Auth Bridge родительского проекта относительно идентификации Bitrix24 (контакты); Starter просто не использует поля тарифа.</w:t>
            </w:r>
          </w:p>
        </w:tc>
      </w:tr>
      <w:tr>
        <w:tc>
          <w:tcPr>
            <w:tcW w:type="dxa" w:w="1701"/>
            <w:shd w:val="clear" w:color="auto" w:fill="F5F7F9"/>
          </w:tcPr>
          <w:p>
            <w:r/>
            <w:r>
              <w:rPr>
                <w:sz w:val="19"/>
              </w:rPr>
              <w:t>Catalog Sync/Proxy (параметризованный)</w:t>
            </w:r>
          </w:p>
        </w:tc>
        <w:tc>
          <w:tcPr>
            <w:tcW w:type="dxa" w:w="3515"/>
            <w:shd w:val="clear" w:color="auto" w:fill="F5F7F9"/>
          </w:tcPr>
          <w:p>
            <w:r/>
            <w:r>
              <w:rPr>
                <w:sz w:val="19"/>
              </w:rPr>
              <w:t>Синхронизация по вебхукам + периодическая синхронизация между двумя сущностями каталога Bitrix24 (Мебель, Стройматериалы) и read-моделью каталога; сквозная передача для ручного CRUD (FR-9)</w:t>
            </w:r>
          </w:p>
        </w:tc>
        <w:tc>
          <w:tcPr>
            <w:tcW w:type="dxa" w:w="1928"/>
            <w:shd w:val="clear" w:color="auto" w:fill="F5F7F9"/>
          </w:tcPr>
          <w:p>
            <w:r/>
            <w:r>
              <w:rPr>
                <w:sz w:val="19"/>
              </w:rPr>
              <w:t xml:space="preserve">Server-side модуль, параметризованный по </w:t>
            </w:r>
            <w:r>
              <w:rPr>
                <w:rFonts w:ascii="Consolas" w:hAnsi="Consolas"/>
                <w:color w:val="A81B3B"/>
                <w:sz w:val="19"/>
              </w:rPr>
              <w:t>catalog_id</w:t>
            </w:r>
          </w:p>
        </w:tc>
        <w:tc>
          <w:tcPr>
            <w:tcW w:type="dxa" w:w="2268"/>
            <w:shd w:val="clear" w:color="auto" w:fill="F5F7F9"/>
          </w:tcPr>
          <w:p>
            <w:r/>
            <w:r>
              <w:rPr>
                <w:sz w:val="19"/>
              </w:rPr>
              <w:t>Один параметризованный сервис вместо двух параллельных пайплайнов — см. раздел «Ключевые решения».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CSV Import Worker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Асинхронная/пакетная обработка CSV-шаблонов по каталогам (FR-10); построчное логирование успеха/ошибки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Фоновое задание (очередь на базе БД, in-process воркер)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Удовлетворяет требованию NFR-1 «без блокировки» без внедрения брокера сообщений, не обоснованного текущим масштабом.</w:t>
            </w:r>
          </w:p>
        </w:tc>
      </w:tr>
      <w:tr>
        <w:tc>
          <w:tcPr>
            <w:tcW w:type="dxa" w:w="1701"/>
            <w:shd w:val="clear" w:color="auto" w:fill="F5F7F9"/>
          </w:tcPr>
          <w:p>
            <w:r/>
            <w:r>
              <w:rPr>
                <w:sz w:val="19"/>
              </w:rPr>
              <w:t>Read-модель каталога (Catalog Read Model)</w:t>
            </w:r>
          </w:p>
        </w:tc>
        <w:tc>
          <w:tcPr>
            <w:tcW w:type="dxa" w:w="3515"/>
            <w:shd w:val="clear" w:color="auto" w:fill="F5F7F9"/>
          </w:tcPr>
          <w:p>
            <w:r/>
            <w:r>
              <w:rPr>
                <w:sz w:val="19"/>
              </w:rPr>
              <w:t>Денормализованная, индексированная проекция обоих каталогов (общие поля для единого поиска + полные атрибуты и ссылки на фотогалерею для просмотра конкретного каталога/фильтрации и карточки товара, FR-14/UC-6)</w:t>
            </w:r>
          </w:p>
        </w:tc>
        <w:tc>
          <w:tcPr>
            <w:tcW w:type="dxa" w:w="1928"/>
            <w:shd w:val="clear" w:color="auto" w:fill="F5F7F9"/>
          </w:tcPr>
          <w:p>
            <w:r/>
            <w:r>
              <w:rPr>
                <w:sz w:val="19"/>
              </w:rPr>
              <w:t>Таблица(ы) в прикладной БД, полнотекстовые/индексированные столбцы</w:t>
            </w:r>
          </w:p>
        </w:tc>
        <w:tc>
          <w:tcPr>
            <w:tcW w:type="dxa" w:w="2268"/>
            <w:shd w:val="clear" w:color="auto" w:fill="F5F7F9"/>
          </w:tcPr>
          <w:p>
            <w:r/>
            <w:r>
              <w:rPr>
                <w:sz w:val="19"/>
              </w:rPr>
              <w:t>Механизм, делающий возможным FR-7 (единый поиск), когда два каталога — раздельные сущности Bitrix24 — см. «Ключевые решения». Также прямой источник для карточки товара (FR-14/UC-6): изображения синхронизируются как ссылки-URL на файлы, хостируемые в Bitrix24, а не сохраняются повторно, поэтому для этого не требуется объектное хранилище.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Commerce Bridge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Единый флоу оформления заказа (FR-12): отправка заказа с учётом смешанной корзины → Bitrix24 Payment APIs; создание/обновление сделки в Bitrix24 CRM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Server-side модуль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В Starter только один путь оформления заказа (в отличие от двух в родительском проекте), поэтому это упрощённое подмножество родительского Commerce Bridge.</w:t>
            </w:r>
          </w:p>
        </w:tc>
      </w:tr>
      <w:tr>
        <w:tc>
          <w:tcPr>
            <w:tcW w:type="dxa" w:w="1701"/>
            <w:shd w:val="clear" w:color="auto" w:fill="F5F7F9"/>
          </w:tcPr>
          <w:p>
            <w:r/>
            <w:r>
              <w:rPr>
                <w:sz w:val="19"/>
              </w:rPr>
              <w:t>Прикладная БД (Application DB)</w:t>
            </w:r>
          </w:p>
        </w:tc>
        <w:tc>
          <w:tcPr>
            <w:tcW w:type="dxa" w:w="3515"/>
            <w:shd w:val="clear" w:color="auto" w:fill="F5F7F9"/>
          </w:tcPr>
          <w:p>
            <w:r/>
            <w:r>
              <w:rPr>
                <w:sz w:val="19"/>
              </w:rPr>
              <w:t>Связка пользователь↔идентификация Bitrix24; read-модель каталога; статус заданий/логов CSV-импорта</w:t>
            </w:r>
          </w:p>
        </w:tc>
        <w:tc>
          <w:tcPr>
            <w:tcW w:type="dxa" w:w="1928"/>
            <w:shd w:val="clear" w:color="auto" w:fill="F5F7F9"/>
          </w:tcPr>
          <w:p>
            <w:r/>
            <w:r>
              <w:rPr>
                <w:sz w:val="19"/>
              </w:rPr>
              <w:t>Реляционная БД (например, PostgreSQL)</w:t>
            </w:r>
          </w:p>
        </w:tc>
        <w:tc>
          <w:tcPr>
            <w:tcW w:type="dxa" w:w="2268"/>
            <w:shd w:val="clear" w:color="auto" w:fill="F5F7F9"/>
          </w:tcPr>
          <w:p>
            <w:r/>
            <w:r>
              <w:rPr>
                <w:sz w:val="19"/>
              </w:rPr>
              <w:t>Та же БД, что уже использует родительский проект; Starter нужен лишь более узкий её срез (пока нет данных избранного/проектов).</w:t>
            </w:r>
          </w:p>
        </w:tc>
      </w:tr>
    </w:tbl>
    <w:p>
      <w:pPr>
        <w:spacing w:after="200"/>
      </w:pPr>
    </w:p>
    <w:p>
      <w:r>
        <w:t xml:space="preserve">Явно </w:t>
      </w:r>
      <w:r>
        <w:rPr>
          <w:b/>
        </w:rPr>
        <w:t>не включено</w:t>
      </w:r>
      <w:r>
        <w:t xml:space="preserve"> (согласно указаниям родительской архитектуры и скоупу Starter): Projects Service, Plan Recognition Adapter, Export Service, Analytics Forwarder, объектное хранилище (Bitrix24 уже хранит изображения товаров каталога; CSV-шаблоны ссылаются на URL изображений, ничего нового хранить не требуется).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Диаграмма компонентов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003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0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4"/>
          <w:sz w:val="19"/>
        </w:rPr>
        <w:t>Figure: Диаграмма компонентов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Поток данных</w:t>
      </w:r>
    </w:p>
    <w:p>
      <w:r>
        <w:t>Bitrix24 остаётся источником истины для данных каталога, идентификации и заказов. Catalog Sync/Proxy поддерживает read-модель каталога в прикладной БД в близкой к реальному времени синхронизации через вебхуки Bitrix24, дополненные периодической синхронизацией (унаследованное от родительского проекта средство снижения нагрузки от лимитов частоты запросов к API Bitrix24). Все обращения на чтение, обращённые к пользователю (единый поиск, просмотр/фильтрация конкретного каталога, карточка товара), обслуживаются из этой read-модели, а не напрямую из Bitrix24 при каждом запросе. Записи (ручной CRUD администратора, строки CSV-импорта) сначала идут в Bitrix24, затем read-модель обновляется тем же механизмом синхронизации. Оформление заказа и «Мои заказы» — два флоу, которые намеренно минуют read-модель и обращаются к Bitrix24 CRM/Payment API напрямую в реальном времени, поскольку заказы/платежи должны отражать актуальное состояние Bitrix24.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Диаграммы последовательностей ключевых флоу</w:t>
      </w:r>
    </w:p>
    <w:p>
      <w:pPr>
        <w:pStyle w:val="Heading2"/>
      </w:pPr>
      <w:r>
        <w:t>UC-1 Регистрация / вход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321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c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2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4"/>
          <w:sz w:val="19"/>
        </w:rPr>
        <w:t>Figure: UC-1 Регистрация / вход</w:t>
      </w:r>
    </w:p>
    <w:p>
      <w:pPr>
        <w:pStyle w:val="Heading2"/>
      </w:pPr>
      <w:r>
        <w:t>UC-2 Просмотр и поиск по каталогам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169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c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16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4"/>
          <w:sz w:val="19"/>
        </w:rPr>
        <w:t>Figure: UC-2 Просмотр и поиск по каталогам</w:t>
      </w:r>
    </w:p>
    <w:p>
      <w:pPr>
        <w:pStyle w:val="Heading2"/>
      </w:pPr>
      <w:r>
        <w:t>UC-6 Просмотр карточки товара (фото и детали)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986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uc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8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4"/>
          <w:sz w:val="19"/>
        </w:rPr>
        <w:t>Figure: UC-6 Просмотр карточки товара (фото и детали)</w:t>
      </w:r>
    </w:p>
    <w:p>
      <w:r>
        <w:t>Для этого флоу не вводится новый компонент: карточка товара полностью обслуживается той же read-моделью каталога, что уже обслуживает UC-2, поскольку изображения хранятся как ссылки-URL, синхронизированные из Bitrix24, а не в отдельном хранилище медиа.</w:t>
      </w:r>
    </w:p>
    <w:p>
      <w:pPr>
        <w:pStyle w:val="Heading2"/>
      </w:pPr>
      <w:r>
        <w:t>UC-3 Покупка отдельных товаров (смешанная корзина)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017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c-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01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4"/>
          <w:sz w:val="19"/>
        </w:rPr>
        <w:t>Figure: UC-3 Покупка отдельных товаров (смешанная корзина)</w:t>
      </w:r>
    </w:p>
    <w:p>
      <w:pPr>
        <w:pStyle w:val="Heading2"/>
      </w:pPr>
      <w:r>
        <w:t>UC-4 Просмотр «Моих заказов»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75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uc-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4"/>
          <w:sz w:val="19"/>
        </w:rPr>
        <w:t>Figure: UC-4 Просмотр «Моих заказов»</w:t>
      </w:r>
    </w:p>
    <w:p>
      <w:pPr>
        <w:pStyle w:val="Heading2"/>
      </w:pPr>
      <w:r>
        <w:t>UC-5 Администрирование каталога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215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uc-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2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4"/>
          <w:sz w:val="19"/>
        </w:rPr>
        <w:t>Figure: UC-5 Администрирование каталога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Интеграции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041"/>
        <w:gridCol w:w="2494"/>
        <w:gridCol w:w="3061"/>
      </w:tblGrid>
      <w:tr>
        <w:tc>
          <w:tcPr>
            <w:tcW w:type="dxa" w:w="1814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Система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Протокол/метод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Обмен данными</w:t>
            </w:r>
          </w:p>
        </w:tc>
        <w:tc>
          <w:tcPr>
            <w:tcW w:type="dxa" w:w="3061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Bitrix24 CRM/Каталог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REST API (вебхуки + опрос для синхронизации)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Данные товаров обоих каталогов, сделки/заказы, контакты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Две сущности каталога (Мебель, Стройматериалы); лимиты частоты запросов к API Bitrix24 обуславливают приоритет вебхуков и синхронизацию как резервный механизм (по данным родительского проекта).</w:t>
            </w:r>
          </w:p>
        </w:tc>
      </w:tr>
      <w:tr>
        <w:tc>
          <w:tcPr>
            <w:tcW w:type="dxa" w:w="1814"/>
            <w:shd w:val="clear" w:color="auto" w:fill="F5F7F9"/>
          </w:tcPr>
          <w:p>
            <w:r/>
            <w:r>
              <w:rPr>
                <w:sz w:val="19"/>
              </w:rPr>
              <w:t>Bitrix24 Payment APIs</w:t>
            </w:r>
          </w:p>
        </w:tc>
        <w:tc>
          <w:tcPr>
            <w:tcW w:type="dxa" w:w="2041"/>
            <w:shd w:val="clear" w:color="auto" w:fill="F5F7F9"/>
          </w:tcPr>
          <w:p>
            <w:r/>
            <w:r>
              <w:rPr>
                <w:sz w:val="19"/>
              </w:rPr>
              <w:t>REST API</w:t>
            </w:r>
          </w:p>
        </w:tc>
        <w:tc>
          <w:tcPr>
            <w:tcW w:type="dxa" w:w="2494"/>
            <w:shd w:val="clear" w:color="auto" w:fill="F5F7F9"/>
          </w:tcPr>
          <w:p>
            <w:r/>
            <w:r>
              <w:rPr>
                <w:sz w:val="19"/>
              </w:rPr>
              <w:t>Создание платежа/оплаты, статус платежа</w:t>
            </w:r>
          </w:p>
        </w:tc>
        <w:tc>
          <w:tcPr>
            <w:tcW w:type="dxa" w:w="3061"/>
            <w:shd w:val="clear" w:color="auto" w:fill="F5F7F9"/>
          </w:tcPr>
          <w:p>
            <w:r/>
            <w:r>
              <w:rPr>
                <w:sz w:val="19"/>
              </w:rPr>
              <w:t>Только один путь оформления заказа (в Starter нет подписки/второго пути).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Google OAuth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OAuth 2.0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Токен идентификации, email, профиль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Только для входа; никакие другие сервисы Google не используются.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Соответствие нефункциональным требованиям</w:t>
      </w:r>
    </w:p>
    <w:p>
      <w:pPr>
        <w:pStyle w:val="ListBullet"/>
      </w:pPr>
      <w:r>
        <w:rPr>
          <w:b/>
        </w:rPr>
        <w:t>NFR-1 (средний масштаб, низкие тысячи SKU на каталог):</w:t>
      </w:r>
      <w:r>
        <w:t xml:space="preserve"> Просмотр/поиск/фильтрация обслуживаются из индексированной read-модели каталога (а не прямыми вызовами к Bitrix24), что удовлетворяет требованию «индексированная фильтрация + пагинация при таком масштабе» без необходимости в отдельном поисковом движке.</w:t>
      </w:r>
    </w:p>
    <w:p>
      <w:pPr>
        <w:pStyle w:val="ListBullet"/>
      </w:pPr>
      <w:r>
        <w:rPr>
          <w:b/>
        </w:rPr>
        <w:t>NFR-1 (пакетный/асинхронный CSV-импорт, без блокировки):</w:t>
      </w:r>
      <w:r>
        <w:t xml:space="preserve"> Реализуется через CSV Import Worker как фоновое задание с построчным статусом, логируемым в прикладную БД; администратор опрашивает отчёт, а не блокируется на запросе.</w:t>
      </w:r>
    </w:p>
    <w:p>
      <w:pPr>
        <w:pStyle w:val="ListBullet"/>
      </w:pPr>
      <w:r>
        <w:rPr>
          <w:b/>
        </w:rPr>
        <w:t>Прочие NFR не указаны (согласно Vision &amp; Scope):</w:t>
      </w:r>
      <w:r>
        <w:t xml:space="preserve"> Предположения по умолчанию для этой архитектуры Starter, согласующиеся с Bitrix24-центричной позицией родительского проекта:</w:t>
      </w:r>
    </w:p>
    <w:p>
      <w:pPr>
        <w:pStyle w:val="ListBullet"/>
      </w:pPr>
      <w:r>
        <w:t>Однорегионального развёртывания достаточно; не указано SLA по доступности/задержкам сверх «работоспособности при масштабе низких тысяч SKU».</w:t>
      </w:r>
    </w:p>
    <w:p>
      <w:pPr>
        <w:pStyle w:val="ListBullet"/>
      </w:pPr>
      <w:r>
        <w:t>Уровень безопасности соответствует стандартной базовой линии аутентификации/коммерции Bitrix24 родительского проекта (зашифрованная передача данных, обработка платежей средствами Bitrix24, никакого дополнительного режима соответствия требованиям не заявлено).</w:t>
      </w:r>
    </w:p>
    <w:p>
      <w:pPr>
        <w:pStyle w:val="ListBullet"/>
      </w:pPr>
      <w:r>
        <w:t>Никакой работы по доступности для людей с ограниченными возможностями или локализации сверх стандартного поведения браузера — не запрашивалось, не реализуется.</w:t>
      </w:r>
    </w:p>
    <w:p>
      <w:pPr>
        <w:pStyle w:val="ListBullet"/>
      </w:pPr>
      <w:r>
        <w:t>Это явно отмечено согласно принятому в этом пайплайне подходу — по умолчанию выбирать простейшую архитектуру и явно фиксировать сделанное предположение, а не изобретать формальные NFR.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Схема развёртывания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329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-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32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4"/>
          <w:sz w:val="19"/>
        </w:rPr>
        <w:t>Figure: Схема развёртывания</w:t>
      </w:r>
    </w:p>
    <w:p>
      <w:r>
        <w:t>Dev/Staging/Prod представляют собой одну и ту же топологию, повторённую для каждого этапа (дополнительная сетевая сложность при таком масштабе не требуется); ни брокер сообщений, ни слой контейнерной оркестрации не вводятся сверх того, что уже предполагает родительский проект.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Ключевые архитектурные решения и компромиссы</w:t>
      </w:r>
    </w:p>
    <w:p>
      <w:pPr>
        <w:pStyle w:val="ListBullet"/>
      </w:pPr>
      <w:r>
        <w:rPr>
          <w:b/>
        </w:rPr>
        <w:t>Два раздельных каталога Bitrix24 (не один каталог с полем типа):</w:t>
      </w:r>
      <w:r>
        <w:t xml:space="preserve"> Выбрано, поскольку Мебель и Стройматериалы имеют действительно независимые схемы атрибутов (подтверждено клиентом). Модуль каталога Bitrix24 нативно поддерживает несколько каталогов, каждый со своим набором свойств товара — это ложится 1:1 на требование. Единый каталог с ключевым полем типа заставил бы каждый товар нести разреженное объединение обеих схем, ломая формы CRUD, CSV-шаблоны и валидацию. Отдаваемый компромисс — чуть более сложный слой синхронизации (две сущности для отслеживания) — приемлем и решается параметризацией ниже.</w:t>
      </w:r>
    </w:p>
    <w:p>
      <w:pPr>
        <w:pStyle w:val="ListBullet"/>
      </w:pPr>
      <w:r>
        <w:rPr>
          <w:b/>
        </w:rPr>
        <w:t>Один параметризованный Catalog Sync/Proxy (параметр `catalog_id`) вместо двух параллельных пайплайнов:</w:t>
      </w:r>
      <w:r>
        <w:t xml:space="preserve"> Логика синхронизации (обработка вебхуков, синхронизация, сквозная передача CRUD, обработка строк импорта) идентична для обоих каталогов; различается только маппинг схемы. Параметризация позволяет поддерживать одну кодовую базу/один развёртываемый компонент вместо двух, за счёт конфигурируемой карты схем на каталог — разумный компромисс при двух каталогах, остающийся жизнеспособным, если в будущем добавится третий каталог.</w:t>
      </w:r>
    </w:p>
    <w:p>
      <w:pPr>
        <w:pStyle w:val="ListBullet"/>
      </w:pPr>
      <w:r>
        <w:rPr>
          <w:b/>
        </w:rPr>
        <w:t>Read-модель каталога для удовлетворения единого поиска (FR-7):</w:t>
      </w:r>
      <w:r>
        <w:t xml:space="preserve"> Поскольку два каталога хранятся как раздельные сущности Bitrix24, запрос, охватывающий оба, невозможно выполнить одним прямым вызовом API Bitrix24. Введение объединённой, индексированной проекции в существующей прикладной БД (вместо выделенного поискового движка, например Elasticsearch) — минимальное добавление, делающее FR-7 возможным, а также удовлетворяющее требованию индексированной фильтрации из NFR-1 для просмотра конкретного каталога по FR-8. Компромисс — эвентуальная консистентность между Bitrix24 и read-моделью (ограниченная задержкой вебхуков + интервалом синхронизации), что приемлемо для сценария просмотра/поиска каталога.</w:t>
      </w:r>
    </w:p>
    <w:p>
      <w:pPr>
        <w:pStyle w:val="ListBullet"/>
      </w:pPr>
      <w:r>
        <w:rPr>
          <w:b/>
        </w:rPr>
        <w:t>Общий веб/админ-фронтенд вместо отдельного админ-приложения:</w:t>
      </w:r>
      <w:r>
        <w:t xml:space="preserve"> FR-9 — это единый экран-переключатель с ручным CRUD и CSV-импортом, а не полноценная админ-панель. Создание второго фронтенда для этого добавило бы издержки развёртывания и границ авторизации без функциональной выгоды при таком масштабе Starter.</w:t>
      </w:r>
    </w:p>
    <w:p>
      <w:pPr>
        <w:pStyle w:val="ListBullet"/>
      </w:pPr>
      <w:r>
        <w:rPr>
          <w:b/>
        </w:rPr>
        <w:t>Корзина на стороне клиента, без выделенного сервиса хранения корзины:</w:t>
      </w:r>
      <w:r>
        <w:t xml:space="preserve"> Vision &amp; Scope не требует сохранения корзины между устройствами/сессиями, поэтому смешанная корзина (FR-11) хранится на стороне клиента и отправляется целиком при оформлении заказа. Это избавляет от микросервиса/таблицы корзины, не требуемых явно; если позже потребуется сохранение корзины между устройствами, это нужно будет пересмотреть (отмечено, но не строится заранее).</w:t>
      </w:r>
    </w:p>
    <w:p>
      <w:pPr>
        <w:pStyle w:val="ListBullet"/>
      </w:pPr>
      <w:r>
        <w:rPr>
          <w:b/>
        </w:rPr>
        <w:t>Очередь заданий на базе БД для CSV-импорта вместо брокера сообщений:</w:t>
      </w:r>
      <w:r>
        <w:t xml:space="preserve"> При объёмах пакетов в низкие тысячи SKU на каталог простая очередь на базе БД, обрабатываемая in-process воркером, удовлетворяет требованию «без блокировки» без операционных издержек уровня Kafka/RabbitMQ.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Примечания по стоимости и сложности</w:t>
      </w:r>
    </w:p>
    <w:p>
      <w:r>
        <w:t>Это остаётся заметно более дешёвой реализацией, чем полностью кастомный backend (что избегает параллельной реализации CRM/каталога/платежей/админки) — это основное обоснование стоимости для Bitrix24-центричного направления. Единственное реальное добавление Starter сверх уже финализированной структуры родительского проекта — read-модель каталога плюс её параметризация синхронизации; всё остальное — прямое подмножество (единый путь оформления заказа, отсутствие Projects Service/Plan Recognition Adapter/Export Service/Analytics Forwarder/объектного хранилища, один общий фронтенд). Альтернатива с выделенным поисковым движком или разделением на два независимых микросервиса синхронизации заметно повысила бы операционную стоимость (дополнительный сервис для запуска, мониторинга и развёртывания) без обоснования заявленным масштабом (низкие тысячи SKU на каталог) или каким-либо требованием в Vision &amp; Scope — поэтому оба варианта были отклонены в пользу расширения существующей прикладной БД и параметризации существующего компонента синхронизации.</w:t>
      </w:r>
    </w:p>
    <w:p>
      <w:r>
        <w:br w:type="page"/>
      </w:r>
    </w:p>
    <w:p>
      <w:pPr>
        <w:pStyle w:val="Heading1"/>
        <w:pBdr>
          <w:bottom w:val="single" w:sz="10" w:space="4" w:color="1F3A5F"/>
        </w:pBdr>
      </w:pPr>
      <w:r>
        <w:t>Уточняющие вопросы</w:t>
      </w:r>
    </w:p>
    <w:p>
      <w:r>
        <w:t>Нет.</w:t>
      </w:r>
    </w:p>
    <w:sectPr w:rsidR="00FC693F" w:rsidRPr="0006063C" w:rsidSect="00034616">
      <w:headerReference w:type="default" r:id="rId9"/>
      <w:footerReference w:type="default" r:id="rId1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4"/>
        <w:sz w:val="18"/>
      </w:rPr>
    </w:r>
    <w:r>
      <w:rPr>
        <w:color w:val="444444"/>
        <w:sz w:val="18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B0B8C0"/>
      </w:pBdr>
    </w:pPr>
    <w:r/>
    <w:r>
      <w:rPr>
        <w:i/>
        <w:color w:val="444444"/>
        <w:sz w:val="18"/>
      </w:rPr>
      <w:t>Rumica Starter — Спецификация системной архитектуры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6D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B3B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