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6df304c52232b81ab3ca00463b3e2de0f4aa6e"/>
    <w:p>
      <w:pPr>
        <w:pStyle w:val="Heading1"/>
      </w:pPr>
      <w:r>
        <w:t xml:space="preserve">NIPR Integration Package - Release Notes v0.8.0</w:t>
      </w:r>
    </w:p>
    <w:p>
      <w:pPr>
        <w:pStyle w:val="FirstParagraph"/>
      </w:pPr>
      <w:r>
        <w:rPr>
          <w:b/>
          <w:bCs/>
        </w:rPr>
        <w:t xml:space="preserve">Package Version:</w:t>
      </w:r>
      <w:r>
        <w:t xml:space="preserve"> </w:t>
      </w:r>
      <w:r>
        <w:t xml:space="preserve">0.8.0-1</w:t>
      </w:r>
      <w:r>
        <w:t xml:space="preserve"> </w:t>
      </w:r>
      <w:r>
        <w:rPr>
          <w:b/>
          <w:bCs/>
        </w:rPr>
        <w:t xml:space="preserve">Package ID:</w:t>
      </w:r>
      <w:r>
        <w:t xml:space="preserve"> </w:t>
      </w:r>
      <w:r>
        <w:t xml:space="preserve">04tPB000000At3FYAS</w:t>
      </w:r>
      <w:r>
        <w:t xml:space="preserve"> </w:t>
      </w:r>
      <w:r>
        <w:rPr>
          <w:b/>
          <w:bCs/>
        </w:rPr>
        <w:t xml:space="preserve">Release Date:</w:t>
      </w:r>
      <w:r>
        <w:t xml:space="preserve"> </w:t>
      </w:r>
      <w:r>
        <w:t xml:space="preserve">January 26, 2026</w:t>
      </w:r>
      <w:r>
        <w:t xml:space="preserve"> </w:t>
      </w:r>
      <w:r>
        <w:rPr>
          <w:b/>
          <w:bCs/>
        </w:rPr>
        <w:t xml:space="preserve">Installation URL:</w:t>
      </w:r>
      <w:r>
        <w:t xml:space="preserve"> </w:t>
      </w:r>
      <w:r>
        <w:t xml:space="preserve">https://login.salesforce.com/packaging/installPackage.apexp?p0=04tPB000000At3FYAS</w:t>
      </w:r>
    </w:p>
    <w:p>
      <w:r>
        <w:pict>
          <v:rect style="width:0;height:1.5pt" o:hralign="center" o:hrstd="t" o:hr="t"/>
        </w:pict>
      </w:r>
    </w:p>
    <w:bookmarkStart w:id="12" w:name="major-improvements"/>
    <w:p>
      <w:pPr>
        <w:pStyle w:val="Heading2"/>
      </w:pPr>
      <w:r>
        <w:t xml:space="preserve">🎯 Major Improvements</w:t>
      </w:r>
    </w:p>
    <w:bookmarkStart w:id="9" w:name="system-stability-performance"/>
    <w:p>
      <w:pPr>
        <w:pStyle w:val="Heading3"/>
      </w:pPr>
      <w:r>
        <w:t xml:space="preserve">System Stability &amp; Performance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Unlimited Batch Processing</w:t>
      </w:r>
      <w:r>
        <w:t xml:space="preserve">: Resolved load capacity issues - now supports unlimited NPN uploads without manual oversight or database logging errors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50% Reduction in API Callouts</w:t>
      </w:r>
      <w:r>
        <w:t xml:space="preserve">: Reduced NPN callouts during Entity Info API by 50% by now adding NPNs to subscriptions in bulk instead of 1 by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Cleanup</w:t>
      </w:r>
      <w:r>
        <w:t xml:space="preserve">: Removed 280,000 redundant Line of Authority records (were incorrectly created as separate records instead of fields on Carrier Appointments per NIPR spec)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Sync Speed</w:t>
      </w:r>
      <w:r>
        <w:t xml:space="preserve">: Significant performance improvement from batching and data model corrections</w:t>
      </w:r>
    </w:p>
    <w:bookmarkEnd w:id="9"/>
    <w:bookmarkStart w:id="10" w:name="subscription-management-enhancements"/>
    <w:p>
      <w:pPr>
        <w:pStyle w:val="Heading3"/>
      </w:pPr>
      <w:r>
        <w:t xml:space="preserve">Subscription Management Enhancements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Reliable Subscription Naming</w:t>
      </w:r>
      <w:r>
        <w:t xml:space="preserve">: Replaced auto-number with custom settings to track subscription sequence, eliminating ID mismatch errors after deletions or deployments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Last Sync Timestamp</w:t>
      </w:r>
      <w:r>
        <w:t xml:space="preserve">: Added</w:t>
      </w:r>
      <w:r>
        <w:t xml:space="preserve"> </w:t>
      </w:r>
      <w:r>
        <w:t xml:space="preserve">“Last NIPR Sync”</w:t>
      </w:r>
      <w:r>
        <w:t xml:space="preserve"> </w:t>
      </w:r>
      <w:r>
        <w:t xml:space="preserve">field to Subscriptions and Producers for instant visibility of sync status without checking logs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Exclude Carrier Appointments</w:t>
      </w:r>
      <w:r>
        <w:t xml:space="preserve">: Enhanced logic to properly route NPNs to corresponding subscriptions based on carrier appointment exclusion flag</w:t>
      </w:r>
    </w:p>
    <w:bookmarkEnd w:id="10"/>
    <w:bookmarkStart w:id="11" w:name="data-integrity-architecture"/>
    <w:p>
      <w:pPr>
        <w:pStyle w:val="Heading3"/>
      </w:pPr>
      <w:r>
        <w:t xml:space="preserve">Data Integrity &amp; Architecture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 Data Model</w:t>
      </w:r>
      <w:r>
        <w:t xml:space="preserve">: Fixed Carrier Appointments to use 3 direct LOA fields instead of separate related records (aligned with NIPR documentation)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Cascade Delete Improvements</w:t>
      </w:r>
      <w:r>
        <w:t xml:space="preserve">: Simplified code by removing unnecessary cascade delete logic after data model correction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Subscription Sync Validation</w:t>
      </w:r>
      <w:r>
        <w:t xml:space="preserve">: Bulk testing with 1,000+ records shows zero failed additions and accurate exclusion handling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new-features"/>
    <w:p>
      <w:pPr>
        <w:pStyle w:val="Heading2"/>
      </w:pPr>
      <w:r>
        <w:t xml:space="preserve">🆕 New Features</w:t>
      </w:r>
    </w:p>
    <w:bookmarkStart w:id="13" w:name="X1b14d2fe6d9bcc4af6dbe209f00a0e8ad232aaa"/>
    <w:p>
      <w:pPr>
        <w:pStyle w:val="Heading3"/>
      </w:pPr>
      <w:r>
        <w:t xml:space="preserve">Line of Authority (LOA) to Insurance Product Mapping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Categorization</w:t>
      </w:r>
      <w:r>
        <w:t xml:space="preserve">: Map LOAs to Insurance Products by State, LOA Code, and Description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Multi-License Support</w:t>
      </w:r>
      <w:r>
        <w:t xml:space="preserve">: Multiple licenses can share the same product via LOA linkage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Match Status Tracking</w:t>
      </w:r>
      <w:r>
        <w:t xml:space="preserve">:</w:t>
      </w:r>
      <w:r>
        <w:t xml:space="preserve"> </w:t>
      </w:r>
      <w:r>
        <w:t xml:space="preserve">“Matched/Unmatched LOA”</w:t>
      </w:r>
      <w:r>
        <w:t xml:space="preserve"> </w:t>
      </w:r>
      <w:r>
        <w:t xml:space="preserve">indicators on licenses prevent false assumptions about coverage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Visibility</w:t>
      </w:r>
      <w:r>
        <w:t xml:space="preserve">: Related lists show matched products directly on Producer and License records</w:t>
      </w:r>
    </w:p>
    <w:bookmarkEnd w:id="13"/>
    <w:bookmarkStart w:id="14" w:name="new-tabs-objects"/>
    <w:p>
      <w:pPr>
        <w:pStyle w:val="Heading3"/>
      </w:pPr>
      <w:r>
        <w:t xml:space="preserve">New Tabs &amp; Objects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Insurance Products Tab</w:t>
      </w:r>
      <w:r>
        <w:t xml:space="preserve">: View and manage state-specific insurance product definitions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LOA Mappings Tab</w:t>
      </w:r>
      <w:r>
        <w:t xml:space="preserve">: Configure mappings between LOA codes and insurance products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Enhanced License View</w:t>
      </w:r>
      <w:r>
        <w:t xml:space="preserve">: Shows matched/unmatched lines of authority with warning text for incomplete mappings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uiux-improvements"/>
    <w:p>
      <w:pPr>
        <w:pStyle w:val="Heading2"/>
      </w:pPr>
      <w:r>
        <w:t xml:space="preserve">🎨 UI/UX Improvements</w:t>
      </w:r>
    </w:p>
    <w:bookmarkStart w:id="16" w:name="consistent-branding-labels"/>
    <w:p>
      <w:pPr>
        <w:pStyle w:val="Heading3"/>
      </w:pPr>
      <w:r>
        <w:t xml:space="preserve">Consistent Branding &amp; Labels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NIPR Prefix</w:t>
      </w:r>
      <w:r>
        <w:t xml:space="preserve">: All objects, fields, page layouts, and tabs now use consistent</w:t>
      </w:r>
      <w:r>
        <w:t xml:space="preserve"> </w:t>
      </w:r>
      <w:r>
        <w:t xml:space="preserve">“NIPR”</w:t>
      </w:r>
      <w:r>
        <w:t xml:space="preserve"> </w:t>
      </w:r>
      <w:r>
        <w:t xml:space="preserve">branding (removed client-specific labels)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Read-Only Producer Records</w:t>
      </w:r>
      <w:r>
        <w:t xml:space="preserve">: End-user layouts are read-only to prevent accidental data corruption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System Admin Logs</w:t>
      </w:r>
      <w:r>
        <w:t xml:space="preserve">: Detailed logging visible only to system administrators for troubleshooting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Improved Related Lists</w:t>
      </w:r>
      <w:r>
        <w:t xml:space="preserve">: Standardized field display across all object relationships</w:t>
      </w:r>
    </w:p>
    <w:bookmarkEnd w:id="16"/>
    <w:bookmarkStart w:id="17" w:name="enhanced-user-experience"/>
    <w:p>
      <w:pPr>
        <w:pStyle w:val="Heading3"/>
      </w:pPr>
      <w:r>
        <w:t xml:space="preserve">Enhanced User Experience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Producer Record</w:t>
      </w:r>
      <w:r>
        <w:t xml:space="preserve">: Shows all mapped insurance products in related list without navigating to each license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License Record</w:t>
      </w:r>
      <w:r>
        <w:t xml:space="preserve">: Displays matched products and warns when LOAs are unmapped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Sync Status Visibility</w:t>
      </w:r>
      <w:r>
        <w:t xml:space="preserve">:</w:t>
      </w:r>
      <w:r>
        <w:t xml:space="preserve"> </w:t>
      </w:r>
      <w:r>
        <w:t xml:space="preserve">“Last NIPR Sync”</w:t>
      </w:r>
      <w:r>
        <w:t xml:space="preserve"> </w:t>
      </w:r>
      <w:r>
        <w:t xml:space="preserve">timestamp on Producer and Subscription records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technical-improvements"/>
    <w:p>
      <w:pPr>
        <w:pStyle w:val="Heading2"/>
      </w:pPr>
      <w:r>
        <w:t xml:space="preserve">🔧 Technical Improvements</w:t>
      </w:r>
    </w:p>
    <w:bookmarkStart w:id="19" w:name="scalability-future-proofing"/>
    <w:p>
      <w:pPr>
        <w:pStyle w:val="Heading3"/>
      </w:pPr>
      <w:r>
        <w:t xml:space="preserve">Scalability &amp; Future-Proofing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Payload Limit</w:t>
      </w:r>
      <w:r>
        <w:t xml:space="preserve">: Set 2.4 million character threshold for carrier appointments to prevent system overload on large clients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DataWeave Option</w:t>
      </w:r>
      <w:r>
        <w:t xml:space="preserve">: Tested MuleSoft’s DataWeave language integration (2.5x faster than native Apex) as future scalability path if needed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Production-Ready</w:t>
      </w:r>
      <w:r>
        <w:t xml:space="preserve">: Designed for production org processing power with room for future data volume increases</w:t>
      </w:r>
    </w:p>
    <w:bookmarkEnd w:id="19"/>
    <w:bookmarkStart w:id="20" w:name="code-quality"/>
    <w:p>
      <w:pPr>
        <w:pStyle w:val="Heading3"/>
      </w:pPr>
      <w:r>
        <w:t xml:space="preserve">Code Quality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Reduced Complexity</w:t>
      </w:r>
      <w:r>
        <w:t xml:space="preserve">: Simplified trigger handlers and removed unnecessary cascade delete logic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Better Error Handling</w:t>
      </w:r>
      <w:r>
        <w:t xml:space="preserve">: Improved logging with clear NPN-specific error messages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Bulk Operations</w:t>
      </w:r>
      <w:r>
        <w:t xml:space="preserve">: All DML operations use bulk patterns with proper error handling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testing-validation"/>
    <w:p>
      <w:pPr>
        <w:pStyle w:val="Heading2"/>
      </w:pPr>
      <w:r>
        <w:t xml:space="preserve">🧪 Testing &amp; Validation</w:t>
      </w:r>
    </w:p>
    <w:bookmarkStart w:id="22" w:name="comprehensive-load-testing"/>
    <w:p>
      <w:pPr>
        <w:pStyle w:val="Heading3"/>
      </w:pPr>
      <w:r>
        <w:t xml:space="preserve">Comprehensive Load Testing</w:t>
      </w:r>
    </w:p>
    <w:p>
      <w:pPr>
        <w:pStyle w:val="Compact"/>
        <w:numPr>
          <w:ilvl w:val="0"/>
          <w:numId w:val="1010"/>
        </w:numPr>
      </w:pPr>
      <w:r>
        <w:t xml:space="preserve">✅ 800 NPN bulk load with zero subscription failures</w:t>
      </w:r>
    </w:p>
    <w:p>
      <w:pPr>
        <w:pStyle w:val="Compact"/>
        <w:numPr>
          <w:ilvl w:val="0"/>
          <w:numId w:val="1010"/>
        </w:numPr>
      </w:pPr>
      <w:r>
        <w:t xml:space="preserve">✅ 1,000 NPN bulk deletion with proper subscription cleanup</w:t>
      </w:r>
    </w:p>
    <w:p>
      <w:pPr>
        <w:pStyle w:val="Compact"/>
        <w:numPr>
          <w:ilvl w:val="0"/>
          <w:numId w:val="1010"/>
        </w:numPr>
      </w:pPr>
      <w:r>
        <w:t xml:space="preserve">✅ Exclude carrier appointments flag tested with bulk operations</w:t>
      </w:r>
    </w:p>
    <w:p>
      <w:pPr>
        <w:pStyle w:val="Compact"/>
        <w:numPr>
          <w:ilvl w:val="0"/>
          <w:numId w:val="1010"/>
        </w:numPr>
      </w:pPr>
      <w:r>
        <w:t xml:space="preserve">✅ LOA product mapping validated across multiple licenses and products</w:t>
      </w:r>
    </w:p>
    <w:p>
      <w:pPr>
        <w:pStyle w:val="Compact"/>
        <w:numPr>
          <w:ilvl w:val="0"/>
          <w:numId w:val="1010"/>
        </w:numPr>
      </w:pPr>
      <w:r>
        <w:t xml:space="preserve">✅ Subscription naming stability tested through bulk deletion/creation cycles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installation-notes"/>
    <w:p>
      <w:pPr>
        <w:pStyle w:val="Heading2"/>
      </w:pPr>
      <w:r>
        <w:t xml:space="preserve">📋 Installation Notes</w:t>
      </w:r>
    </w:p>
    <w:bookmarkStart w:id="24" w:name="post-installation-configuration-required"/>
    <w:p>
      <w:pPr>
        <w:pStyle w:val="Heading3"/>
      </w:pPr>
      <w:r>
        <w:t xml:space="preserve">Post-Installation Configuration Required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Page Layouts</w:t>
      </w:r>
      <w:r>
        <w:t xml:space="preserve">: Configure Account, Lead, and Contact page layouts to include NIPR fields (package cannot modify standard object layouts)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Field-Level Security</w:t>
      </w:r>
      <w:r>
        <w:t xml:space="preserve">: Assign NIPR permission sets to users who need access to sync data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Payload Limits</w:t>
      </w:r>
      <w:r>
        <w:t xml:space="preserve">: Review and adjust carrier appointment cutoff limits based on client data volume</w:t>
      </w:r>
    </w:p>
    <w:bookmarkEnd w:id="24"/>
    <w:bookmarkStart w:id="25" w:name="backward-compatibility"/>
    <w:p>
      <w:pPr>
        <w:pStyle w:val="Heading3"/>
      </w:pPr>
      <w:r>
        <w:t xml:space="preserve">Backward Compatibility</w:t>
      </w:r>
    </w:p>
    <w:p>
      <w:pPr>
        <w:pStyle w:val="Compact"/>
        <w:numPr>
          <w:ilvl w:val="0"/>
          <w:numId w:val="1012"/>
        </w:numPr>
      </w:pPr>
      <w:r>
        <w:t xml:space="preserve">Existing NIPR data and subscriptions are fully compatible</w:t>
      </w:r>
    </w:p>
    <w:p>
      <w:pPr>
        <w:pStyle w:val="Compact"/>
        <w:numPr>
          <w:ilvl w:val="0"/>
          <w:numId w:val="1012"/>
        </w:numPr>
      </w:pPr>
      <w:r>
        <w:t xml:space="preserve">No data migration required for existing installations</w:t>
      </w:r>
    </w:p>
    <w:p>
      <w:pPr>
        <w:pStyle w:val="Compact"/>
        <w:numPr>
          <w:ilvl w:val="0"/>
          <w:numId w:val="1012"/>
        </w:numPr>
      </w:pPr>
      <w:r>
        <w:t xml:space="preserve">All API names unchanged (only labels updated)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sources"/>
    <w:p>
      <w:pPr>
        <w:pStyle w:val="Heading2"/>
      </w:pPr>
      <w:r>
        <w:t xml:space="preserve">🔗 Resources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Installation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sf package install --package 04tPB000000At3FYAS --wait 20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Initial Setup Guide</w:t>
      </w:r>
      <w:r>
        <w:t xml:space="preserve">: See NIPR_Initial_Setup_Guide.md in repository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Support</w:t>
      </w:r>
      <w:r>
        <w:t xml:space="preserve">: Contact Hipten development team for assistance</w:t>
      </w:r>
    </w:p>
    <w:p>
      <w:r>
        <w:pict>
          <v:rect style="width:0;height:1.5pt" o:hralign="center" o:hrstd="t" o:hr="t"/>
        </w:pict>
      </w:r>
    </w:p>
    <w:bookmarkEnd w:id="27"/>
    <w:bookmarkStart w:id="28" w:name="key-metrics"/>
    <w:p>
      <w:pPr>
        <w:pStyle w:val="Heading2"/>
      </w:pPr>
      <w:r>
        <w:t xml:space="preserve">📊 Key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API Callouts (per 1,000 NPNs)</w:t>
            </w:r>
          </w:p>
        </w:tc>
        <w:tc>
          <w:tcPr/>
          <w:p>
            <w:pPr>
              <w:pStyle w:val="Compact"/>
            </w:pPr>
            <w:r>
              <w:t xml:space="preserve">~4,000</w:t>
            </w:r>
          </w:p>
        </w:tc>
        <w:tc>
          <w:tcPr/>
          <w:p>
            <w:pPr>
              <w:pStyle w:val="Compact"/>
            </w:pPr>
            <w:r>
              <w:t xml:space="preserve">~2,005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Operations</w:t>
            </w:r>
          </w:p>
        </w:tc>
        <w:tc>
          <w:tcPr/>
          <w:p>
            <w:pPr>
              <w:pStyle w:val="Compact"/>
            </w:pPr>
            <w:r>
              <w:t xml:space="preserve">1 by 1</w:t>
            </w:r>
          </w:p>
        </w:tc>
        <w:tc>
          <w:tcPr/>
          <w:p>
            <w:pPr>
              <w:pStyle w:val="Compact"/>
            </w:pPr>
            <w:r>
              <w:t xml:space="preserve">Bulk batching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Batched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Bulk Upload Capacity</w:t>
            </w:r>
          </w:p>
        </w:tc>
        <w:tc>
          <w:tcPr/>
          <w:p>
            <w:pPr>
              <w:pStyle w:val="Compact"/>
            </w:pPr>
            <w:r>
              <w:t xml:space="preserve">100-150 NPNs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Unnecessary LOA Records</w:t>
            </w:r>
          </w:p>
        </w:tc>
        <w:tc>
          <w:tcPr/>
          <w:p>
            <w:pPr>
              <w:pStyle w:val="Compact"/>
            </w:pPr>
            <w:r>
              <w:t xml:space="preserve">280,000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Oversight Required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Eliminated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2026-01-26T13:40:52Z</dcterms:created>
  <dcterms:modified xsi:type="dcterms:W3CDTF">2026-01-26T13:40:52Z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