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er2.xml.rels" ContentType="application/vnd.openxmlformats-package.relationships+xml"/>
  <Override PartName="/word/_rels/footer1.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item1.xml" ContentType="application/xml"/>
  <Override PartName="/customXml/itemProps5.xml" ContentType="application/vnd.openxmlformats-officedocument.customXmlProperties+xml"/>
  <Override PartName="/customXml/itemProps1.xml" ContentType="application/vnd.openxmlformats-officedocument.customXmlProperties+xml"/>
  <Override PartName="/customXml/item2.xml" ContentType="application/xml"/>
  <Override PartName="/customXml/_rels/item5.xml.rels" ContentType="application/vnd.openxmlformats-package.relationships+xml"/>
  <Override PartName="/customXml/_rels/item2.xml.rels" ContentType="application/vnd.openxmlformats-package.relationships+xml"/>
  <Override PartName="/customXml/_rels/item4.xml.rels" ContentType="application/vnd.openxmlformats-package.relationships+xml"/>
  <Override PartName="/customXml/_rels/item3.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Override PartName="/customXml/item5.xml" ContentType="applicatio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68B1DB1Normal1"/>
        <w:ind w:left="142" w:hanging="0"/>
        <w:rPr>
          <w:highlight w:val="none"/>
        </w:rPr>
      </w:pPr>
      <w:r>
        <w:rPr>
          <w:highlight w:val="none"/>
        </w:rPr>
      </w:r>
    </w:p>
    <w:p>
      <w:pPr>
        <w:pStyle w:val="P68B1DB1Normal1"/>
        <w:ind w:left="142" w:hanging="0"/>
        <w:rPr>
          <w:highlight w:val="none"/>
        </w:rPr>
      </w:pPr>
      <w:r>
        <w:rPr>
          <w:highlight w:val="none"/>
        </w:rPr>
      </w:r>
    </w:p>
    <w:p>
      <w:pPr>
        <w:pStyle w:val="P68B1DB1Normal1"/>
        <w:ind w:left="142" w:hanging="0"/>
        <w:rPr>
          <w:highlight w:val="none"/>
        </w:rPr>
      </w:pPr>
      <w:r>
        <w:rPr>
          <w:highlight w:val="none"/>
        </w:rPr>
        <w:t>Stranka ter Lindström sklepata pogodbo, v nadaljnjem besedilu Pogodba. Nova pogodba nadomešča vse predhodne pogodbe med pogodbenimi strankami, ustno ali pisno, v zvezi s storitvami te pogodbe. Obnovitev pogodbe / aneks pa pogodbo dopolnjuje.</w:t>
      </w:r>
    </w:p>
    <w:p>
      <w:pPr>
        <w:pStyle w:val="Normal"/>
        <w:rPr>
          <w:rFonts w:ascii="Arial" w:hAnsi="Arial" w:cs="Arial"/>
          <w:b/>
          <w:b/>
          <w:i/>
          <w:i/>
          <w:sz w:val="16"/>
          <w:szCs w:val="16"/>
        </w:rPr>
      </w:pPr>
      <w:r>
        <w:rPr>
          <w:rFonts w:cs="Arial" w:ascii="Arial" w:hAnsi="Arial"/>
          <w:b/>
          <w:i/>
          <w:sz w:val="16"/>
          <w:szCs w:val="16"/>
        </w:rPr>
      </w:r>
    </w:p>
    <w:tbl>
      <w:tblPr>
        <w:tblW w:w="10207" w:type="dxa"/>
        <w:jc w:val="left"/>
        <w:tblInd w:w="559" w:type="dxa"/>
        <w:tblLayout w:type="fixed"/>
        <w:tblCellMar>
          <w:top w:w="0" w:type="dxa"/>
          <w:left w:w="70" w:type="dxa"/>
          <w:bottom w:w="0" w:type="dxa"/>
          <w:right w:w="70" w:type="dxa"/>
        </w:tblCellMar>
        <w:tblLook w:val="0000" w:noHBand="0" w:noVBand="0" w:firstColumn="0" w:lastRow="0" w:lastColumn="0" w:firstRow="0"/>
      </w:tblPr>
      <w:tblGrid>
        <w:gridCol w:w="1642"/>
        <w:gridCol w:w="2188"/>
        <w:gridCol w:w="3118"/>
        <w:gridCol w:w="3258"/>
      </w:tblGrid>
      <w:tr>
        <w:trPr>
          <w:trHeight w:val="541" w:hRule="atLeast"/>
        </w:trPr>
        <w:tc>
          <w:tcPr>
            <w:tcW w:w="3830"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sz w:val="14"/>
                <w:szCs w:val="14"/>
              </w:rPr>
            </w:pPr>
            <w:r>
              <w:rPr>
                <w:rFonts w:cs="Arial" w:ascii="Arial" w:hAnsi="Arial"/>
                <w:sz w:val="14"/>
                <w:szCs w:val="14"/>
              </w:rPr>
              <w:t xml:space="preserve">Stranka  </w:t>
            </w:r>
          </w:p>
          <w:p>
            <w:pPr>
              <w:pStyle w:val="Normal"/>
              <w:widowControl w:val="false"/>
              <w:rPr>
                <w:rFonts w:ascii="Arial" w:hAnsi="Arial" w:cs="Arial"/>
                <w:sz w:val="14"/>
                <w:szCs w:val="14"/>
              </w:rPr>
            </w:pPr>
            <w:r>
              <w:rPr>
                <w:rFonts w:cs="Arial" w:ascii="Arial" w:hAnsi="Arial"/>
                <w:sz w:val="14"/>
                <w:szCs w:val="14"/>
              </w:rPr>
            </w:r>
          </w:p>
        </w:tc>
        <w:tc>
          <w:tcPr>
            <w:tcW w:w="3118"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sz w:val="14"/>
                <w:szCs w:val="14"/>
              </w:rPr>
            </w:pPr>
            <w:r>
              <w:rPr>
                <w:rFonts w:cs="Arial" w:ascii="Arial" w:hAnsi="Arial"/>
                <w:sz w:val="14"/>
                <w:szCs w:val="14"/>
              </w:rPr>
              <w:t>Št. stranke</w:t>
            </w:r>
          </w:p>
          <w:p>
            <w:pPr>
              <w:pStyle w:val="Normal"/>
              <w:widowControl w:val="false"/>
              <w:rPr>
                <w:rFonts w:ascii="Arial" w:hAnsi="Arial" w:cs="Arial"/>
                <w:sz w:val="14"/>
                <w:szCs w:val="14"/>
              </w:rPr>
            </w:pPr>
            <w:r>
              <w:rPr>
                <w:rFonts w:cs="Arial" w:ascii="Arial" w:hAnsi="Arial"/>
                <w:sz w:val="14"/>
                <w:szCs w:val="14"/>
              </w:rPr>
            </w:r>
          </w:p>
        </w:tc>
        <w:tc>
          <w:tcPr>
            <w:tcW w:w="3258"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sz w:val="14"/>
                <w:szCs w:val="14"/>
              </w:rPr>
            </w:pPr>
            <w:r>
              <w:rPr>
                <w:rFonts w:cs="Arial" w:ascii="Arial" w:hAnsi="Arial"/>
                <w:sz w:val="14"/>
                <w:szCs w:val="14"/>
              </w:rPr>
              <w:t>Davčna številka stranke:</w:t>
            </w:r>
          </w:p>
          <w:p>
            <w:pPr>
              <w:pStyle w:val="Normal"/>
              <w:widowControl w:val="false"/>
              <w:rPr>
                <w:rFonts w:ascii="Arial" w:hAnsi="Arial" w:cs="Arial"/>
                <w:sz w:val="14"/>
                <w:szCs w:val="14"/>
              </w:rPr>
            </w:pPr>
            <w:r>
              <w:rPr>
                <w:rFonts w:cs="Arial" w:ascii="Arial" w:hAnsi="Arial"/>
                <w:sz w:val="14"/>
                <w:szCs w:val="14"/>
              </w:rPr>
            </w:r>
          </w:p>
        </w:tc>
      </w:tr>
      <w:tr>
        <w:trPr>
          <w:trHeight w:val="498" w:hRule="atLeast"/>
          <w:cantSplit w:val="true"/>
        </w:trPr>
        <w:tc>
          <w:tcPr>
            <w:tcW w:w="3830"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sz w:val="14"/>
                <w:szCs w:val="14"/>
              </w:rPr>
            </w:pPr>
            <w:r>
              <w:rPr>
                <w:rFonts w:cs="Arial" w:ascii="Arial" w:hAnsi="Arial"/>
                <w:sz w:val="14"/>
                <w:szCs w:val="14"/>
              </w:rPr>
              <w:t>Naslov za dostavo:</w:t>
            </w:r>
          </w:p>
          <w:p>
            <w:pPr>
              <w:pStyle w:val="Normal"/>
              <w:widowControl w:val="false"/>
              <w:rPr>
                <w:rFonts w:ascii="Arial" w:hAnsi="Arial" w:cs="Arial"/>
                <w:sz w:val="14"/>
                <w:szCs w:val="14"/>
              </w:rPr>
            </w:pPr>
            <w:r>
              <w:rPr>
                <w:rFonts w:cs="Arial" w:ascii="Arial" w:hAnsi="Arial"/>
                <w:sz w:val="14"/>
                <w:szCs w:val="14"/>
              </w:rPr>
            </w:r>
          </w:p>
        </w:tc>
        <w:tc>
          <w:tcPr>
            <w:tcW w:w="3118"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sz w:val="14"/>
                <w:szCs w:val="14"/>
              </w:rPr>
            </w:pPr>
            <w:r>
              <w:rPr>
                <w:rFonts w:cs="Arial" w:ascii="Arial" w:hAnsi="Arial"/>
                <w:sz w:val="14"/>
                <w:szCs w:val="14"/>
              </w:rPr>
              <w:t>Poštna št</w:t>
            </w:r>
          </w:p>
          <w:p>
            <w:pPr>
              <w:pStyle w:val="Normal"/>
              <w:widowControl w:val="false"/>
              <w:rPr>
                <w:rFonts w:ascii="Arial" w:hAnsi="Arial" w:cs="Arial"/>
                <w:sz w:val="14"/>
                <w:szCs w:val="14"/>
              </w:rPr>
            </w:pPr>
            <w:r>
              <w:rPr/>
            </w:r>
          </w:p>
        </w:tc>
        <w:tc>
          <w:tcPr>
            <w:tcW w:w="325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rPr>
                <w:rFonts w:ascii="Arial" w:hAnsi="Arial" w:cs="Arial"/>
                <w:sz w:val="14"/>
                <w:szCs w:val="14"/>
              </w:rPr>
            </w:pPr>
            <w:r>
              <w:rPr>
                <w:rFonts w:cs="Arial" w:ascii="Arial" w:hAnsi="Arial"/>
                <w:sz w:val="14"/>
                <w:szCs w:val="14"/>
              </w:rPr>
              <w:t>Kraj</w:t>
            </w:r>
          </w:p>
        </w:tc>
      </w:tr>
      <w:tr>
        <w:trPr>
          <w:trHeight w:val="493" w:hRule="atLeast"/>
          <w:cantSplit w:val="true"/>
        </w:trPr>
        <w:tc>
          <w:tcPr>
            <w:tcW w:w="3830"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sz w:val="14"/>
                <w:szCs w:val="14"/>
              </w:rPr>
            </w:pPr>
            <w:r>
              <w:rPr>
                <w:rFonts w:cs="Arial" w:ascii="Arial" w:hAnsi="Arial"/>
                <w:sz w:val="14"/>
                <w:szCs w:val="14"/>
              </w:rPr>
              <w:t>Naslov za račun (v kolikor ni isti kot za dostavo):</w:t>
            </w:r>
          </w:p>
          <w:p>
            <w:pPr>
              <w:pStyle w:val="Normal"/>
              <w:widowControl w:val="false"/>
              <w:rPr>
                <w:rFonts w:ascii="Arial" w:hAnsi="Arial" w:cs="Arial"/>
                <w:sz w:val="14"/>
                <w:szCs w:val="14"/>
              </w:rPr>
            </w:pPr>
            <w:r>
              <w:rPr>
                <w:rFonts w:cs="Arial" w:ascii="Arial" w:hAnsi="Arial"/>
                <w:sz w:val="14"/>
                <w:szCs w:val="14"/>
              </w:rPr>
            </w:r>
          </w:p>
        </w:tc>
        <w:tc>
          <w:tcPr>
            <w:tcW w:w="3118"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sz w:val="14"/>
                <w:szCs w:val="14"/>
              </w:rPr>
            </w:pPr>
            <w:r>
              <w:rPr>
                <w:rFonts w:cs="Arial" w:ascii="Arial" w:hAnsi="Arial"/>
                <w:sz w:val="14"/>
                <w:szCs w:val="14"/>
              </w:rPr>
              <w:t xml:space="preserve">Poštna št </w:t>
            </w:r>
          </w:p>
          <w:p>
            <w:pPr>
              <w:pStyle w:val="Normal"/>
              <w:widowControl w:val="false"/>
              <w:rPr>
                <w:rFonts w:ascii="Arial" w:hAnsi="Arial" w:cs="Arial"/>
                <w:sz w:val="14"/>
                <w:szCs w:val="14"/>
              </w:rPr>
            </w:pPr>
            <w:r>
              <w:rPr>
                <w:rFonts w:cs="Arial" w:ascii="Arial" w:hAnsi="Arial"/>
                <w:sz w:val="14"/>
                <w:szCs w:val="14"/>
              </w:rPr>
            </w:r>
          </w:p>
        </w:tc>
        <w:tc>
          <w:tcPr>
            <w:tcW w:w="3258" w:type="dxa"/>
            <w:tcBorders>
              <w:top w:val="single" w:sz="4" w:space="0" w:color="000000"/>
              <w:left w:val="single" w:sz="4" w:space="0" w:color="000000"/>
              <w:bottom w:val="single" w:sz="4" w:space="0" w:color="000000"/>
              <w:right w:val="single" w:sz="4" w:space="0" w:color="000000"/>
            </w:tcBorders>
          </w:tcPr>
          <w:p>
            <w:pPr>
              <w:pStyle w:val="Heading9"/>
              <w:widowControl w:val="false"/>
              <w:rPr>
                <w:rFonts w:ascii="Arial" w:hAnsi="Arial" w:cs="Arial"/>
                <w:i w:val="false"/>
                <w:i w:val="false"/>
                <w:iCs/>
                <w:color w:val="auto"/>
                <w:szCs w:val="14"/>
              </w:rPr>
            </w:pPr>
            <w:r>
              <w:rPr>
                <w:rFonts w:cs="Arial" w:ascii="Arial" w:hAnsi="Arial"/>
                <w:i w:val="false"/>
                <w:iCs/>
                <w:color w:val="auto"/>
                <w:szCs w:val="14"/>
              </w:rPr>
              <w:t>Kraj</w:t>
            </w:r>
          </w:p>
          <w:p>
            <w:pPr>
              <w:pStyle w:val="Normal"/>
              <w:widowControl w:val="false"/>
              <w:rPr>
                <w:rFonts w:ascii="Arial" w:hAnsi="Arial" w:cs="Arial"/>
                <w:sz w:val="14"/>
                <w:szCs w:val="14"/>
              </w:rPr>
            </w:pPr>
            <w:r>
              <w:rPr>
                <w:rFonts w:cs="Arial" w:ascii="Arial" w:hAnsi="Arial"/>
                <w:sz w:val="14"/>
                <w:szCs w:val="14"/>
              </w:rPr>
            </w:r>
          </w:p>
          <w:p>
            <w:pPr>
              <w:pStyle w:val="Normal"/>
              <w:widowControl w:val="false"/>
              <w:spacing w:lineRule="auto" w:line="276"/>
              <w:rPr>
                <w:rFonts w:ascii="Arial" w:hAnsi="Arial" w:cs="Arial"/>
                <w:sz w:val="14"/>
                <w:szCs w:val="14"/>
              </w:rPr>
            </w:pPr>
            <w:r>
              <w:rPr>
                <w:rFonts w:cs="Arial" w:ascii="Arial" w:hAnsi="Arial"/>
                <w:sz w:val="14"/>
                <w:szCs w:val="14"/>
              </w:rPr>
            </w:r>
          </w:p>
        </w:tc>
      </w:tr>
      <w:tr>
        <w:trPr>
          <w:trHeight w:val="501" w:hRule="atLeast"/>
        </w:trPr>
        <w:tc>
          <w:tcPr>
            <w:tcW w:w="3830"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sz w:val="14"/>
                <w:szCs w:val="14"/>
              </w:rPr>
            </w:pPr>
            <w:r>
              <w:rPr>
                <w:rFonts w:cs="Arial" w:ascii="Arial" w:hAnsi="Arial"/>
                <w:sz w:val="14"/>
                <w:szCs w:val="14"/>
              </w:rPr>
              <w:t>Kontaktna oseba za obračun:</w:t>
            </w:r>
          </w:p>
          <w:p>
            <w:pPr>
              <w:pStyle w:val="Normal"/>
              <w:widowControl w:val="false"/>
              <w:rPr>
                <w:rFonts w:ascii="Arial" w:hAnsi="Arial" w:cs="Arial"/>
                <w:sz w:val="14"/>
                <w:szCs w:val="14"/>
              </w:rPr>
            </w:pPr>
            <w:r>
              <w:rPr>
                <w:rFonts w:cs="Arial" w:ascii="Arial" w:hAnsi="Arial"/>
                <w:sz w:val="14"/>
                <w:szCs w:val="14"/>
              </w:rPr>
            </w:r>
          </w:p>
        </w:tc>
        <w:tc>
          <w:tcPr>
            <w:tcW w:w="3118"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sz w:val="14"/>
                <w:szCs w:val="14"/>
              </w:rPr>
            </w:pPr>
            <w:r>
              <w:rPr>
                <w:rFonts w:cs="Arial" w:ascii="Arial" w:hAnsi="Arial"/>
                <w:sz w:val="14"/>
                <w:szCs w:val="14"/>
              </w:rPr>
              <w:t>Tel.</w:t>
            </w:r>
          </w:p>
          <w:p>
            <w:pPr>
              <w:pStyle w:val="Normal"/>
              <w:widowControl w:val="false"/>
              <w:rPr>
                <w:rFonts w:ascii="Arial" w:hAnsi="Arial" w:cs="Arial"/>
                <w:sz w:val="14"/>
                <w:szCs w:val="14"/>
              </w:rPr>
            </w:pPr>
            <w:r>
              <w:rPr>
                <w:rFonts w:cs="Arial" w:ascii="Arial" w:hAnsi="Arial"/>
                <w:sz w:val="14"/>
                <w:szCs w:val="14"/>
              </w:rPr>
            </w:r>
          </w:p>
        </w:tc>
        <w:tc>
          <w:tcPr>
            <w:tcW w:w="3258"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sz w:val="14"/>
                <w:szCs w:val="14"/>
              </w:rPr>
            </w:pPr>
            <w:r>
              <w:rPr>
                <w:rFonts w:cs="Arial" w:ascii="Arial" w:hAnsi="Arial"/>
                <w:sz w:val="14"/>
                <w:szCs w:val="14"/>
              </w:rPr>
              <w:t>e-mail</w:t>
            </w:r>
          </w:p>
          <w:p>
            <w:pPr>
              <w:pStyle w:val="Normal"/>
              <w:widowControl w:val="false"/>
              <w:rPr>
                <w:rFonts w:ascii="Arial" w:hAnsi="Arial" w:cs="Arial"/>
                <w:sz w:val="14"/>
                <w:szCs w:val="14"/>
              </w:rPr>
            </w:pPr>
            <w:r>
              <w:rPr>
                <w:rFonts w:cs="Arial" w:ascii="Arial" w:hAnsi="Arial"/>
                <w:sz w:val="14"/>
                <w:szCs w:val="14"/>
              </w:rPr>
            </w:r>
          </w:p>
        </w:tc>
      </w:tr>
      <w:tr>
        <w:trPr>
          <w:trHeight w:val="493" w:hRule="atLeast"/>
        </w:trPr>
        <w:tc>
          <w:tcPr>
            <w:tcW w:w="3830"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sz w:val="14"/>
                <w:szCs w:val="14"/>
              </w:rPr>
            </w:pPr>
            <w:r>
              <w:rPr>
                <w:rFonts w:cs="Arial" w:ascii="Arial" w:hAnsi="Arial"/>
                <w:sz w:val="14"/>
                <w:szCs w:val="14"/>
              </w:rPr>
              <w:t xml:space="preserve">Kontaktna oseba za storitev (v kolikor ni ista kot  odgovorna oseba za obračun): </w:t>
            </w:r>
          </w:p>
          <w:p>
            <w:pPr>
              <w:pStyle w:val="Normal"/>
              <w:widowControl w:val="false"/>
              <w:rPr>
                <w:rFonts w:ascii="Arial" w:hAnsi="Arial" w:cs="Arial"/>
                <w:sz w:val="14"/>
                <w:szCs w:val="14"/>
              </w:rPr>
            </w:pPr>
            <w:r>
              <w:rPr>
                <w:rFonts w:cs="Arial" w:ascii="Arial" w:hAnsi="Arial"/>
                <w:sz w:val="14"/>
                <w:szCs w:val="14"/>
              </w:rPr>
            </w:r>
          </w:p>
        </w:tc>
        <w:tc>
          <w:tcPr>
            <w:tcW w:w="3118"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sz w:val="14"/>
                <w:szCs w:val="14"/>
              </w:rPr>
            </w:pPr>
            <w:r>
              <w:rPr>
                <w:rFonts w:cs="Arial" w:ascii="Arial" w:hAnsi="Arial"/>
                <w:sz w:val="14"/>
                <w:szCs w:val="14"/>
              </w:rPr>
              <w:t xml:space="preserve">Tel. </w:t>
            </w:r>
          </w:p>
          <w:p>
            <w:pPr>
              <w:pStyle w:val="Normal"/>
              <w:widowControl w:val="false"/>
              <w:rPr>
                <w:rFonts w:ascii="Arial" w:hAnsi="Arial" w:cs="Arial"/>
                <w:sz w:val="14"/>
                <w:szCs w:val="14"/>
              </w:rPr>
            </w:pPr>
            <w:r>
              <w:rPr>
                <w:rFonts w:cs="Arial" w:ascii="Arial" w:hAnsi="Arial"/>
                <w:sz w:val="14"/>
                <w:szCs w:val="14"/>
              </w:rPr>
            </w:r>
          </w:p>
        </w:tc>
        <w:tc>
          <w:tcPr>
            <w:tcW w:w="3258"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sz w:val="14"/>
                <w:szCs w:val="14"/>
              </w:rPr>
            </w:pPr>
            <w:r>
              <w:rPr>
                <w:rFonts w:cs="Arial" w:ascii="Arial" w:hAnsi="Arial"/>
                <w:sz w:val="14"/>
                <w:szCs w:val="14"/>
              </w:rPr>
              <w:t>e-mail</w:t>
            </w:r>
          </w:p>
          <w:p>
            <w:pPr>
              <w:pStyle w:val="Normal"/>
              <w:widowControl w:val="false"/>
              <w:rPr>
                <w:rFonts w:ascii="Arial" w:hAnsi="Arial" w:cs="Arial"/>
                <w:sz w:val="14"/>
                <w:szCs w:val="14"/>
              </w:rPr>
            </w:pPr>
            <w:r>
              <w:rPr>
                <w:rFonts w:cs="Arial" w:ascii="Arial" w:hAnsi="Arial"/>
                <w:sz w:val="14"/>
                <w:szCs w:val="14"/>
              </w:rPr>
            </w:r>
          </w:p>
        </w:tc>
      </w:tr>
      <w:tr>
        <w:trPr>
          <w:trHeight w:val="438" w:hRule="atLeast"/>
        </w:trPr>
        <w:tc>
          <w:tcPr>
            <w:tcW w:w="164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rFonts w:ascii="Arial" w:hAnsi="Arial" w:cs="Arial"/>
                <w:sz w:val="14"/>
                <w:szCs w:val="14"/>
              </w:rPr>
            </w:pPr>
            <w:r>
              <w:fldChar w:fldCharType="begin">
                <w:ffData>
                  <w:name w:val=""/>
                  <w:enabled/>
                  <w:calcOnExit w:val="0"/>
                  <w:checkBox>
                    <w:sizeAuto/>
                  </w:checkBox>
                </w:ffData>
              </w:fldChar>
            </w:r>
            <w:r>
              <w:rPr>
                <w:rFonts w:ascii="Arial" w:hAnsi="Arial"/>
              </w:rPr>
              <w:instrText xml:space="preserve"> FORMCHECKBOX </w:instrText>
            </w:r>
            <w:r>
              <w:rPr>
                <w:rFonts w:ascii="Arial" w:hAnsi="Arial"/>
              </w:rPr>
              <w:fldChar w:fldCharType="separate"/>
            </w:r>
            <w:bookmarkStart w:id="0" w:name="__Fieldmark__2178_627644971"/>
            <w:bookmarkStart w:id="1" w:name="__Fieldmark__2178_627644971"/>
            <w:bookmarkEnd w:id="1"/>
            <w:r>
              <w:rPr>
                <w:rFonts w:ascii="Arial" w:hAnsi="Arial"/>
              </w:rPr>
            </w:r>
            <w:r>
              <w:rPr>
                <w:rFonts w:ascii="Arial" w:hAnsi="Arial"/>
              </w:rPr>
              <w:fldChar w:fldCharType="end"/>
            </w:r>
            <w:r>
              <w:rPr>
                <w:rFonts w:cs="Arial" w:ascii="Arial" w:hAnsi="Arial"/>
              </w:rPr>
              <w:t xml:space="preserve"> </w:t>
            </w:r>
            <w:r>
              <w:rPr>
                <w:rFonts w:cs="Arial" w:ascii="Arial" w:hAnsi="Arial"/>
                <w:sz w:val="14"/>
                <w:szCs w:val="14"/>
              </w:rPr>
              <w:t>Nova pogodba</w:t>
            </w:r>
          </w:p>
        </w:tc>
        <w:tc>
          <w:tcPr>
            <w:tcW w:w="218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Arial" w:hAnsi="Arial" w:cs="Arial"/>
                <w:sz w:val="14"/>
                <w:szCs w:val="14"/>
              </w:rPr>
            </w:pPr>
            <w:r>
              <w:fldChar w:fldCharType="begin">
                <w:ffData>
                  <w:name w:val=""/>
                  <w:enabled/>
                  <w:calcOnExit w:val="0"/>
                  <w:checkBox>
                    <w:sizeAuto/>
                  </w:checkBox>
                </w:ffData>
              </w:fldChar>
            </w:r>
            <w:r>
              <w:rPr>
                <w:rFonts w:ascii="Arial" w:hAnsi="Arial"/>
              </w:rPr>
              <w:instrText xml:space="preserve"> FORMCHECKBOX </w:instrText>
            </w:r>
            <w:r>
              <w:rPr>
                <w:rFonts w:ascii="Arial" w:hAnsi="Arial"/>
              </w:rPr>
              <w:fldChar w:fldCharType="separate"/>
            </w:r>
            <w:bookmarkStart w:id="2" w:name="__Fieldmark__2184_627644971"/>
            <w:bookmarkStart w:id="3" w:name="__Fieldmark__2184_627644971"/>
            <w:bookmarkEnd w:id="3"/>
            <w:r>
              <w:rPr>
                <w:rFonts w:ascii="Arial" w:hAnsi="Arial"/>
              </w:rPr>
            </w:r>
            <w:r>
              <w:rPr>
                <w:rFonts w:ascii="Arial" w:hAnsi="Arial"/>
              </w:rPr>
              <w:fldChar w:fldCharType="end"/>
            </w:r>
            <w:r>
              <w:rPr>
                <w:rFonts w:cs="Arial" w:ascii="Arial" w:hAnsi="Arial"/>
                <w:sz w:val="28"/>
                <w:szCs w:val="14"/>
              </w:rPr>
              <w:t xml:space="preserve"> </w:t>
            </w:r>
            <w:r>
              <w:rPr>
                <w:rFonts w:cs="Arial" w:ascii="Arial" w:hAnsi="Arial"/>
                <w:sz w:val="14"/>
                <w:szCs w:val="14"/>
              </w:rPr>
              <w:t>Obnovitev pogodbe/dopolnitev/aneks</w:t>
            </w:r>
          </w:p>
        </w:tc>
        <w:tc>
          <w:tcPr>
            <w:tcW w:w="3118"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sz w:val="14"/>
                <w:szCs w:val="14"/>
              </w:rPr>
            </w:pPr>
            <w:r>
              <w:rPr>
                <w:rFonts w:cs="Arial" w:ascii="Arial" w:hAnsi="Arial"/>
                <w:sz w:val="14"/>
                <w:szCs w:val="14"/>
              </w:rPr>
            </w:r>
          </w:p>
        </w:tc>
        <w:tc>
          <w:tcPr>
            <w:tcW w:w="3258"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sz w:val="14"/>
                <w:szCs w:val="14"/>
              </w:rPr>
            </w:pPr>
            <w:r>
              <w:rPr>
                <w:rFonts w:cs="Arial" w:ascii="Arial" w:hAnsi="Arial"/>
                <w:sz w:val="14"/>
                <w:szCs w:val="14"/>
              </w:rPr>
            </w:r>
          </w:p>
        </w:tc>
      </w:tr>
    </w:tbl>
    <w:p>
      <w:pPr>
        <w:pStyle w:val="Normal"/>
        <w:rPr/>
      </w:pPr>
      <w:r>
        <w:rPr/>
      </w:r>
    </w:p>
    <w:p>
      <w:pPr>
        <w:pStyle w:val="Normal"/>
        <w:tabs>
          <w:tab w:val="clear" w:pos="1304"/>
          <w:tab w:val="left" w:pos="8208" w:leader="none"/>
        </w:tabs>
        <w:rPr>
          <w:i/>
          <w:i/>
          <w:iCs/>
        </w:rPr>
      </w:pPr>
      <w:r>
        <w:rPr>
          <w:i/>
          <w:iCs/>
          <w:sz w:val="16"/>
          <w:szCs w:val="16"/>
        </w:rPr>
        <w:t xml:space="preserve">                                 </w:t>
      </w:r>
    </w:p>
    <w:p>
      <w:pPr>
        <w:pStyle w:val="Normal"/>
        <w:tabs>
          <w:tab w:val="clear" w:pos="1304"/>
          <w:tab w:val="left" w:pos="9576" w:leader="none"/>
        </w:tabs>
        <w:rPr/>
      </w:pPr>
      <w:r>
        <w:fldChar w:fldCharType="begin"/>
      </w:r>
      <w:r>
        <w:rPr/>
        <w:instrText xml:space="preserve">LINK Excel.Sheet.12 "Zvezek2" "List1!R13C7:R22C16" \a \f 4 \h  \* MERGEFORMAT</w:instrText>
      </w:r>
      <w:r>
        <w:rPr/>
      </w:r>
      <w:r>
        <w:rPr/>
        <w:fldChar w:fldCharType="separate"/>
      </w:r>
      <w:r>
        <w:rPr/>
      </w:r>
    </w:p>
    <w:tbl>
      <w:tblPr>
        <w:tblW w:w="106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0"/>
        <w:gridCol w:w="1239"/>
        <w:gridCol w:w="961"/>
        <w:gridCol w:w="960"/>
        <w:gridCol w:w="960"/>
        <w:gridCol w:w="1240"/>
        <w:gridCol w:w="1579"/>
        <w:gridCol w:w="1304"/>
        <w:gridCol w:w="1418"/>
      </w:tblGrid>
      <w:tr>
        <w:trPr>
          <w:trHeight w:val="315" w:hRule="atLeast"/>
          <w:cantSplit w:val="true"/>
        </w:trPr>
        <w:tc>
          <w:tcPr>
            <w:tcW w:w="2199" w:type="dxa"/>
            <w:gridSpan w:val="2"/>
            <w:tcBorders>
              <w:top w:val="single" w:sz="8" w:space="0" w:color="000000"/>
              <w:left w:val="single" w:sz="8" w:space="0" w:color="000000"/>
              <w:bottom w:val="single" w:sz="8" w:space="0" w:color="FFFFFF"/>
              <w:right w:val="single" w:sz="8" w:space="0" w:color="000000"/>
            </w:tcBorders>
            <w:vAlign w:val="center"/>
          </w:tcPr>
          <w:p>
            <w:pPr>
              <w:pStyle w:val="Normal"/>
              <w:widowControl w:val="false"/>
              <w:overflowPunct w:val="false"/>
              <w:textAlignment w:val="auto"/>
              <w:rPr>
                <w:rFonts w:ascii="Arial" w:hAnsi="Arial" w:cs="Arial"/>
                <w:b/>
                <w:b/>
                <w:bCs/>
                <w:color w:val="000000"/>
                <w:sz w:val="14"/>
                <w:szCs w:val="14"/>
              </w:rPr>
            </w:pPr>
            <w:r>
              <w:rPr>
                <w:rFonts w:cs="Arial" w:ascii="Arial" w:hAnsi="Arial"/>
                <w:b/>
                <w:bCs/>
                <w:color w:val="000000"/>
                <w:sz w:val="14"/>
                <w:szCs w:val="14"/>
              </w:rPr>
              <w:t>Artikli za najem</w:t>
            </w:r>
          </w:p>
        </w:tc>
        <w:tc>
          <w:tcPr>
            <w:tcW w:w="8422" w:type="dxa"/>
            <w:gridSpan w:val="7"/>
            <w:tcBorders>
              <w:top w:val="single" w:sz="8" w:space="0" w:color="000000"/>
              <w:bottom w:val="single" w:sz="8" w:space="0" w:color="FFFFFF"/>
              <w:right w:val="single" w:sz="8" w:space="0" w:color="000000"/>
            </w:tcBorders>
            <w:vAlign w:val="center"/>
          </w:tcPr>
          <w:p>
            <w:pPr>
              <w:pStyle w:val="Normal"/>
              <w:widowControl w:val="false"/>
              <w:overflowPunct w:val="false"/>
              <w:jc w:val="center"/>
              <w:textAlignment w:val="auto"/>
              <w:rPr>
                <w:rFonts w:ascii="Arial" w:hAnsi="Arial" w:cs="Arial"/>
                <w:b/>
                <w:b/>
                <w:bCs/>
                <w:color w:val="000000"/>
                <w:sz w:val="14"/>
                <w:szCs w:val="14"/>
              </w:rPr>
            </w:pPr>
            <w:r>
              <w:rPr>
                <w:rFonts w:cs="Arial" w:ascii="Arial" w:hAnsi="Arial"/>
                <w:b/>
                <w:bCs/>
                <w:color w:val="000000"/>
                <w:sz w:val="14"/>
                <w:szCs w:val="14"/>
              </w:rPr>
              <w:t>Opis, količina, cena</w:t>
            </w:r>
          </w:p>
        </w:tc>
      </w:tr>
      <w:tr>
        <w:trPr>
          <w:trHeight w:val="585" w:hRule="atLeast"/>
          <w:cantSplit w:val="true"/>
        </w:trPr>
        <w:tc>
          <w:tcPr>
            <w:tcW w:w="960" w:type="dxa"/>
            <w:vMerge w:val="restart"/>
            <w:tcBorders>
              <w:left w:val="single" w:sz="8" w:space="0" w:color="000000"/>
              <w:bottom w:val="single" w:sz="8" w:space="0" w:color="000000"/>
              <w:right w:val="single" w:sz="8" w:space="0" w:color="FFFFFF"/>
            </w:tcBorders>
            <w:shd w:color="000000" w:fill="2F5496" w:val="clear"/>
            <w:vAlign w:val="center"/>
          </w:tcPr>
          <w:p>
            <w:pPr>
              <w:pStyle w:val="Normal"/>
              <w:widowControl w:val="false"/>
              <w:overflowPunct w:val="false"/>
              <w:jc w:val="center"/>
              <w:textAlignment w:val="auto"/>
              <w:rPr>
                <w:rFonts w:ascii="Arial" w:hAnsi="Arial" w:cs="Arial"/>
                <w:b/>
                <w:b/>
                <w:bCs/>
                <w:color w:val="FFFFFF"/>
                <w:sz w:val="14"/>
                <w:szCs w:val="14"/>
              </w:rPr>
            </w:pPr>
            <w:r>
              <w:rPr>
                <w:rFonts w:cs="Arial" w:ascii="Arial" w:hAnsi="Arial"/>
                <w:b/>
                <w:bCs/>
                <w:color w:val="FFFFFF"/>
                <w:sz w:val="14"/>
                <w:szCs w:val="14"/>
              </w:rPr>
              <w:t>Koda</w:t>
            </w:r>
          </w:p>
        </w:tc>
        <w:tc>
          <w:tcPr>
            <w:tcW w:w="1239" w:type="dxa"/>
            <w:vMerge w:val="restart"/>
            <w:tcBorders>
              <w:left w:val="single" w:sz="8" w:space="0" w:color="FFFFFF"/>
              <w:bottom w:val="single" w:sz="8" w:space="0" w:color="000000"/>
              <w:right w:val="single" w:sz="8" w:space="0" w:color="FFFFFF"/>
            </w:tcBorders>
            <w:shd w:color="000000" w:fill="2F5496" w:val="clear"/>
            <w:vAlign w:val="center"/>
          </w:tcPr>
          <w:p>
            <w:pPr>
              <w:pStyle w:val="Normal"/>
              <w:widowControl w:val="false"/>
              <w:overflowPunct w:val="false"/>
              <w:jc w:val="center"/>
              <w:textAlignment w:val="auto"/>
              <w:rPr>
                <w:rFonts w:ascii="Arial" w:hAnsi="Arial" w:cs="Arial"/>
                <w:b/>
                <w:b/>
                <w:bCs/>
                <w:color w:val="FFFFFF"/>
                <w:sz w:val="14"/>
                <w:szCs w:val="14"/>
              </w:rPr>
            </w:pPr>
            <w:r>
              <w:rPr>
                <w:rFonts w:cs="Arial" w:ascii="Arial" w:hAnsi="Arial"/>
                <w:b/>
                <w:bCs/>
                <w:color w:val="FFFFFF"/>
                <w:sz w:val="14"/>
                <w:szCs w:val="14"/>
              </w:rPr>
              <w:t>Naziv</w:t>
            </w:r>
          </w:p>
        </w:tc>
        <w:tc>
          <w:tcPr>
            <w:tcW w:w="961" w:type="dxa"/>
            <w:vMerge w:val="restart"/>
            <w:tcBorders>
              <w:left w:val="single" w:sz="8" w:space="0" w:color="FFFFFF"/>
              <w:bottom w:val="single" w:sz="8" w:space="0" w:color="000000"/>
              <w:right w:val="single" w:sz="8" w:space="0" w:color="FFFFFF"/>
            </w:tcBorders>
            <w:shd w:color="000000" w:fill="2F5496" w:val="clear"/>
            <w:vAlign w:val="center"/>
          </w:tcPr>
          <w:p>
            <w:pPr>
              <w:pStyle w:val="Normal"/>
              <w:widowControl w:val="false"/>
              <w:overflowPunct w:val="false"/>
              <w:jc w:val="center"/>
              <w:textAlignment w:val="auto"/>
              <w:rPr>
                <w:rFonts w:ascii="Arial" w:hAnsi="Arial" w:cs="Arial"/>
                <w:b/>
                <w:b/>
                <w:bCs/>
                <w:color w:val="FFFFFF"/>
                <w:sz w:val="14"/>
                <w:szCs w:val="14"/>
              </w:rPr>
            </w:pPr>
            <w:r>
              <w:rPr>
                <w:rFonts w:cs="Arial" w:ascii="Arial" w:hAnsi="Arial"/>
                <w:b/>
                <w:bCs/>
                <w:color w:val="FFFFFF"/>
                <w:sz w:val="14"/>
                <w:szCs w:val="14"/>
              </w:rPr>
              <w:t>Velikost</w:t>
            </w:r>
          </w:p>
        </w:tc>
        <w:tc>
          <w:tcPr>
            <w:tcW w:w="960" w:type="dxa"/>
            <w:vMerge w:val="restart"/>
            <w:tcBorders>
              <w:left w:val="single" w:sz="8" w:space="0" w:color="FFFFFF"/>
              <w:bottom w:val="single" w:sz="8" w:space="0" w:color="000000"/>
              <w:right w:val="single" w:sz="8" w:space="0" w:color="FFFFFF"/>
            </w:tcBorders>
            <w:shd w:color="000000" w:fill="2F5496" w:val="clear"/>
            <w:vAlign w:val="center"/>
          </w:tcPr>
          <w:p>
            <w:pPr>
              <w:pStyle w:val="Normal"/>
              <w:widowControl w:val="false"/>
              <w:overflowPunct w:val="false"/>
              <w:jc w:val="center"/>
              <w:textAlignment w:val="auto"/>
              <w:rPr>
                <w:rFonts w:ascii="Arial" w:hAnsi="Arial" w:cs="Arial"/>
                <w:b/>
                <w:b/>
                <w:bCs/>
                <w:color w:val="FFFFFF"/>
                <w:sz w:val="14"/>
                <w:szCs w:val="14"/>
              </w:rPr>
            </w:pPr>
            <w:r>
              <w:rPr>
                <w:rFonts w:cs="Arial" w:ascii="Arial" w:hAnsi="Arial"/>
                <w:b/>
                <w:bCs/>
                <w:color w:val="FFFFFF"/>
                <w:sz w:val="14"/>
                <w:szCs w:val="14"/>
              </w:rPr>
              <w:t>Kupcu prilagojen izdelek</w:t>
            </w:r>
          </w:p>
        </w:tc>
        <w:tc>
          <w:tcPr>
            <w:tcW w:w="960" w:type="dxa"/>
            <w:vMerge w:val="restart"/>
            <w:tcBorders>
              <w:left w:val="single" w:sz="8" w:space="0" w:color="FFFFFF"/>
              <w:bottom w:val="single" w:sz="8" w:space="0" w:color="000000"/>
              <w:right w:val="single" w:sz="8" w:space="0" w:color="FFFFFF"/>
            </w:tcBorders>
            <w:shd w:color="000000" w:fill="2F5496" w:val="clear"/>
            <w:vAlign w:val="center"/>
          </w:tcPr>
          <w:p>
            <w:pPr>
              <w:pStyle w:val="Normal"/>
              <w:widowControl w:val="false"/>
              <w:overflowPunct w:val="false"/>
              <w:jc w:val="center"/>
              <w:textAlignment w:val="auto"/>
              <w:rPr>
                <w:rFonts w:ascii="Arial" w:hAnsi="Arial" w:cs="Arial"/>
                <w:b/>
                <w:b/>
                <w:bCs/>
                <w:color w:val="FFFFFF"/>
                <w:sz w:val="14"/>
                <w:szCs w:val="14"/>
              </w:rPr>
            </w:pPr>
            <w:r>
              <w:rPr>
                <w:rFonts w:cs="Arial" w:ascii="Arial" w:hAnsi="Arial"/>
                <w:b/>
                <w:bCs/>
                <w:color w:val="FFFFFF"/>
                <w:sz w:val="14"/>
                <w:szCs w:val="14"/>
              </w:rPr>
              <w:t>Količina</w:t>
            </w:r>
          </w:p>
        </w:tc>
        <w:tc>
          <w:tcPr>
            <w:tcW w:w="1240" w:type="dxa"/>
            <w:vMerge w:val="restart"/>
            <w:tcBorders>
              <w:left w:val="single" w:sz="8" w:space="0" w:color="FFFFFF"/>
              <w:bottom w:val="single" w:sz="8" w:space="0" w:color="000000"/>
              <w:right w:val="single" w:sz="8" w:space="0" w:color="FFFFFF"/>
            </w:tcBorders>
            <w:shd w:color="000000" w:fill="2F5496" w:val="clear"/>
            <w:vAlign w:val="center"/>
          </w:tcPr>
          <w:p>
            <w:pPr>
              <w:pStyle w:val="Normal"/>
              <w:widowControl w:val="false"/>
              <w:overflowPunct w:val="false"/>
              <w:jc w:val="center"/>
              <w:textAlignment w:val="auto"/>
              <w:rPr>
                <w:rFonts w:ascii="Arial" w:hAnsi="Arial" w:cs="Arial"/>
                <w:b/>
                <w:b/>
                <w:bCs/>
                <w:color w:val="FFFFFF"/>
                <w:sz w:val="14"/>
                <w:szCs w:val="14"/>
              </w:rPr>
            </w:pPr>
            <w:r>
              <w:rPr>
                <w:rFonts w:cs="Arial" w:ascii="Arial" w:hAnsi="Arial"/>
                <w:b/>
                <w:bCs/>
                <w:color w:val="FFFFFF"/>
                <w:sz w:val="14"/>
                <w:szCs w:val="14"/>
              </w:rPr>
              <w:t>Frekvenca menjave</w:t>
            </w:r>
          </w:p>
        </w:tc>
        <w:tc>
          <w:tcPr>
            <w:tcW w:w="1579" w:type="dxa"/>
            <w:vMerge w:val="restart"/>
            <w:tcBorders>
              <w:left w:val="single" w:sz="8" w:space="0" w:color="FFFFFF"/>
              <w:bottom w:val="single" w:sz="8" w:space="0" w:color="000000"/>
              <w:right w:val="single" w:sz="8" w:space="0" w:color="FFFFFF"/>
            </w:tcBorders>
            <w:shd w:color="000000" w:fill="2F5496" w:val="clear"/>
            <w:vAlign w:val="center"/>
          </w:tcPr>
          <w:p>
            <w:pPr>
              <w:pStyle w:val="Normal"/>
              <w:widowControl w:val="false"/>
              <w:overflowPunct w:val="false"/>
              <w:jc w:val="center"/>
              <w:textAlignment w:val="auto"/>
              <w:rPr>
                <w:rFonts w:ascii="Arial" w:hAnsi="Arial" w:cs="Arial"/>
                <w:b/>
                <w:b/>
                <w:bCs/>
                <w:color w:val="FFFFFF"/>
                <w:sz w:val="14"/>
                <w:szCs w:val="14"/>
              </w:rPr>
            </w:pPr>
            <w:r>
              <w:rPr>
                <w:rFonts w:cs="Arial" w:ascii="Arial" w:hAnsi="Arial"/>
                <w:b/>
                <w:bCs/>
                <w:color w:val="FFFFFF"/>
                <w:sz w:val="14"/>
                <w:szCs w:val="14"/>
              </w:rPr>
              <w:t>Sezonske določitve</w:t>
            </w:r>
          </w:p>
        </w:tc>
        <w:tc>
          <w:tcPr>
            <w:tcW w:w="1304" w:type="dxa"/>
            <w:tcBorders>
              <w:top w:val="single" w:sz="8" w:space="0" w:color="FFFFFF"/>
              <w:bottom w:val="single" w:sz="8" w:space="0" w:color="FFFFFF"/>
              <w:right w:val="single" w:sz="8" w:space="0" w:color="FFFFFF"/>
            </w:tcBorders>
            <w:shd w:color="000000" w:fill="2F5496" w:val="clear"/>
            <w:vAlign w:val="center"/>
          </w:tcPr>
          <w:p>
            <w:pPr>
              <w:pStyle w:val="Normal"/>
              <w:widowControl w:val="false"/>
              <w:overflowPunct w:val="false"/>
              <w:jc w:val="center"/>
              <w:textAlignment w:val="auto"/>
              <w:rPr>
                <w:rFonts w:ascii="Arial" w:hAnsi="Arial" w:cs="Arial"/>
                <w:b/>
                <w:b/>
                <w:bCs/>
                <w:i/>
                <w:i/>
                <w:iCs/>
                <w:color w:val="FFFFFF"/>
                <w:sz w:val="12"/>
                <w:szCs w:val="12"/>
              </w:rPr>
            </w:pPr>
            <w:r>
              <w:rPr>
                <w:rFonts w:cs="Arial" w:ascii="Arial" w:hAnsi="Arial"/>
                <w:b/>
                <w:bCs/>
                <w:i/>
                <w:iCs/>
                <w:color w:val="FFFFFF"/>
                <w:sz w:val="12"/>
                <w:szCs w:val="12"/>
              </w:rPr>
              <w:t>Cena/teden/kos</w:t>
            </w:r>
          </w:p>
        </w:tc>
        <w:tc>
          <w:tcPr>
            <w:tcW w:w="1418" w:type="dxa"/>
            <w:vMerge w:val="restart"/>
            <w:tcBorders>
              <w:left w:val="single" w:sz="8" w:space="0" w:color="FFFFFF"/>
              <w:bottom w:val="single" w:sz="8" w:space="0" w:color="000000"/>
              <w:right w:val="single" w:sz="8" w:space="0" w:color="000000"/>
            </w:tcBorders>
            <w:shd w:color="000000" w:fill="2F5496" w:val="clear"/>
            <w:vAlign w:val="center"/>
          </w:tcPr>
          <w:p>
            <w:pPr>
              <w:pStyle w:val="Normal"/>
              <w:widowControl w:val="false"/>
              <w:overflowPunct w:val="false"/>
              <w:jc w:val="center"/>
              <w:textAlignment w:val="auto"/>
              <w:rPr>
                <w:rFonts w:ascii="Arial" w:hAnsi="Arial" w:cs="Arial"/>
                <w:b/>
                <w:b/>
                <w:bCs/>
                <w:color w:val="FFFFFF"/>
                <w:sz w:val="14"/>
                <w:szCs w:val="14"/>
              </w:rPr>
            </w:pPr>
            <w:r>
              <w:rPr>
                <w:rFonts w:cs="Arial" w:ascii="Arial" w:hAnsi="Arial"/>
                <w:b/>
                <w:bCs/>
                <w:color w:val="FFFFFF"/>
                <w:sz w:val="14"/>
                <w:szCs w:val="14"/>
              </w:rPr>
              <w:t xml:space="preserve">Povračilo (primer uničenja ali izgube) / kos </w:t>
            </w:r>
          </w:p>
        </w:tc>
      </w:tr>
      <w:tr>
        <w:trPr>
          <w:trHeight w:val="315" w:hRule="atLeast"/>
        </w:trPr>
        <w:tc>
          <w:tcPr>
            <w:tcW w:w="960" w:type="dxa"/>
            <w:vMerge w:val="continue"/>
            <w:tcBorders>
              <w:left w:val="single" w:sz="8" w:space="0" w:color="000000"/>
              <w:bottom w:val="single" w:sz="8" w:space="0" w:color="000000"/>
              <w:right w:val="single" w:sz="8" w:space="0" w:color="FFFFFF"/>
            </w:tcBorders>
            <w:vAlign w:val="center"/>
          </w:tcPr>
          <w:p>
            <w:pPr>
              <w:pStyle w:val="Normal"/>
              <w:widowControl w:val="false"/>
              <w:overflowPunct w:val="false"/>
              <w:textAlignment w:val="auto"/>
              <w:rPr>
                <w:rFonts w:ascii="Arial" w:hAnsi="Arial" w:cs="Arial"/>
                <w:b/>
                <w:b/>
                <w:bCs/>
                <w:color w:val="FFFFFF"/>
                <w:sz w:val="14"/>
                <w:szCs w:val="14"/>
              </w:rPr>
            </w:pPr>
            <w:r>
              <w:rPr>
                <w:rFonts w:cs="Arial" w:ascii="Arial" w:hAnsi="Arial"/>
                <w:b/>
                <w:bCs/>
                <w:color w:val="FFFFFF"/>
                <w:sz w:val="14"/>
                <w:szCs w:val="14"/>
              </w:rPr>
            </w:r>
          </w:p>
        </w:tc>
        <w:tc>
          <w:tcPr>
            <w:tcW w:w="1239" w:type="dxa"/>
            <w:vMerge w:val="continue"/>
            <w:tcBorders>
              <w:left w:val="single" w:sz="8" w:space="0" w:color="FFFFFF"/>
              <w:bottom w:val="single" w:sz="8" w:space="0" w:color="000000"/>
              <w:right w:val="single" w:sz="8" w:space="0" w:color="FFFFFF"/>
            </w:tcBorders>
            <w:vAlign w:val="center"/>
          </w:tcPr>
          <w:p>
            <w:pPr>
              <w:pStyle w:val="Normal"/>
              <w:widowControl w:val="false"/>
              <w:overflowPunct w:val="false"/>
              <w:textAlignment w:val="auto"/>
              <w:rPr>
                <w:rFonts w:ascii="Arial" w:hAnsi="Arial" w:cs="Arial"/>
                <w:b/>
                <w:b/>
                <w:bCs/>
                <w:color w:val="FFFFFF"/>
                <w:sz w:val="14"/>
                <w:szCs w:val="14"/>
              </w:rPr>
            </w:pPr>
            <w:r>
              <w:rPr>
                <w:rFonts w:cs="Arial" w:ascii="Arial" w:hAnsi="Arial"/>
                <w:b/>
                <w:bCs/>
                <w:color w:val="FFFFFF"/>
                <w:sz w:val="14"/>
                <w:szCs w:val="14"/>
              </w:rPr>
            </w:r>
          </w:p>
        </w:tc>
        <w:tc>
          <w:tcPr>
            <w:tcW w:w="961" w:type="dxa"/>
            <w:vMerge w:val="continue"/>
            <w:tcBorders>
              <w:left w:val="single" w:sz="8" w:space="0" w:color="FFFFFF"/>
              <w:bottom w:val="single" w:sz="8" w:space="0" w:color="000000"/>
              <w:right w:val="single" w:sz="8" w:space="0" w:color="FFFFFF"/>
            </w:tcBorders>
            <w:vAlign w:val="center"/>
          </w:tcPr>
          <w:p>
            <w:pPr>
              <w:pStyle w:val="Normal"/>
              <w:widowControl w:val="false"/>
              <w:overflowPunct w:val="false"/>
              <w:textAlignment w:val="auto"/>
              <w:rPr>
                <w:rFonts w:ascii="Arial" w:hAnsi="Arial" w:cs="Arial"/>
                <w:b/>
                <w:b/>
                <w:bCs/>
                <w:color w:val="FFFFFF"/>
                <w:sz w:val="14"/>
                <w:szCs w:val="14"/>
              </w:rPr>
            </w:pPr>
            <w:r>
              <w:rPr>
                <w:rFonts w:cs="Arial" w:ascii="Arial" w:hAnsi="Arial"/>
                <w:b/>
                <w:bCs/>
                <w:color w:val="FFFFFF"/>
                <w:sz w:val="14"/>
                <w:szCs w:val="14"/>
              </w:rPr>
            </w:r>
          </w:p>
        </w:tc>
        <w:tc>
          <w:tcPr>
            <w:tcW w:w="960" w:type="dxa"/>
            <w:vMerge w:val="continue"/>
            <w:tcBorders>
              <w:left w:val="single" w:sz="8" w:space="0" w:color="FFFFFF"/>
              <w:bottom w:val="single" w:sz="8" w:space="0" w:color="000000"/>
              <w:right w:val="single" w:sz="8" w:space="0" w:color="FFFFFF"/>
            </w:tcBorders>
            <w:vAlign w:val="center"/>
          </w:tcPr>
          <w:p>
            <w:pPr>
              <w:pStyle w:val="Normal"/>
              <w:widowControl w:val="false"/>
              <w:overflowPunct w:val="false"/>
              <w:textAlignment w:val="auto"/>
              <w:rPr>
                <w:rFonts w:ascii="Arial" w:hAnsi="Arial" w:cs="Arial"/>
                <w:b/>
                <w:b/>
                <w:bCs/>
                <w:color w:val="FFFFFF"/>
                <w:sz w:val="14"/>
                <w:szCs w:val="14"/>
              </w:rPr>
            </w:pPr>
            <w:r>
              <w:rPr>
                <w:rFonts w:cs="Arial" w:ascii="Arial" w:hAnsi="Arial"/>
                <w:b/>
                <w:bCs/>
                <w:color w:val="FFFFFF"/>
                <w:sz w:val="14"/>
                <w:szCs w:val="14"/>
              </w:rPr>
            </w:r>
          </w:p>
        </w:tc>
        <w:tc>
          <w:tcPr>
            <w:tcW w:w="960" w:type="dxa"/>
            <w:vMerge w:val="continue"/>
            <w:tcBorders>
              <w:left w:val="single" w:sz="8" w:space="0" w:color="FFFFFF"/>
              <w:bottom w:val="single" w:sz="8" w:space="0" w:color="000000"/>
              <w:right w:val="single" w:sz="8" w:space="0" w:color="FFFFFF"/>
            </w:tcBorders>
            <w:vAlign w:val="center"/>
          </w:tcPr>
          <w:p>
            <w:pPr>
              <w:pStyle w:val="Normal"/>
              <w:widowControl w:val="false"/>
              <w:overflowPunct w:val="false"/>
              <w:textAlignment w:val="auto"/>
              <w:rPr>
                <w:rFonts w:ascii="Arial" w:hAnsi="Arial" w:cs="Arial"/>
                <w:b/>
                <w:b/>
                <w:bCs/>
                <w:color w:val="FFFFFF"/>
                <w:sz w:val="14"/>
                <w:szCs w:val="14"/>
              </w:rPr>
            </w:pPr>
            <w:r>
              <w:rPr>
                <w:rFonts w:cs="Arial" w:ascii="Arial" w:hAnsi="Arial"/>
                <w:b/>
                <w:bCs/>
                <w:color w:val="FFFFFF"/>
                <w:sz w:val="14"/>
                <w:szCs w:val="14"/>
              </w:rPr>
            </w:r>
          </w:p>
        </w:tc>
        <w:tc>
          <w:tcPr>
            <w:tcW w:w="1240" w:type="dxa"/>
            <w:vMerge w:val="continue"/>
            <w:tcBorders>
              <w:left w:val="single" w:sz="8" w:space="0" w:color="FFFFFF"/>
              <w:bottom w:val="single" w:sz="8" w:space="0" w:color="000000"/>
              <w:right w:val="single" w:sz="8" w:space="0" w:color="FFFFFF"/>
            </w:tcBorders>
            <w:vAlign w:val="center"/>
          </w:tcPr>
          <w:p>
            <w:pPr>
              <w:pStyle w:val="Normal"/>
              <w:widowControl w:val="false"/>
              <w:overflowPunct w:val="false"/>
              <w:textAlignment w:val="auto"/>
              <w:rPr>
                <w:rFonts w:ascii="Arial" w:hAnsi="Arial" w:cs="Arial"/>
                <w:b/>
                <w:b/>
                <w:bCs/>
                <w:color w:val="FFFFFF"/>
                <w:sz w:val="14"/>
                <w:szCs w:val="14"/>
              </w:rPr>
            </w:pPr>
            <w:r>
              <w:rPr>
                <w:rFonts w:cs="Arial" w:ascii="Arial" w:hAnsi="Arial"/>
                <w:b/>
                <w:bCs/>
                <w:color w:val="FFFFFF"/>
                <w:sz w:val="14"/>
                <w:szCs w:val="14"/>
              </w:rPr>
            </w:r>
          </w:p>
        </w:tc>
        <w:tc>
          <w:tcPr>
            <w:tcW w:w="1579" w:type="dxa"/>
            <w:vMerge w:val="continue"/>
            <w:tcBorders>
              <w:left w:val="single" w:sz="8" w:space="0" w:color="FFFFFF"/>
              <w:bottom w:val="single" w:sz="8" w:space="0" w:color="000000"/>
              <w:right w:val="single" w:sz="8" w:space="0" w:color="FFFFFF"/>
            </w:tcBorders>
            <w:vAlign w:val="center"/>
          </w:tcPr>
          <w:p>
            <w:pPr>
              <w:pStyle w:val="Normal"/>
              <w:widowControl w:val="false"/>
              <w:overflowPunct w:val="false"/>
              <w:textAlignment w:val="auto"/>
              <w:rPr>
                <w:rFonts w:ascii="Arial" w:hAnsi="Arial" w:cs="Arial"/>
                <w:b/>
                <w:b/>
                <w:bCs/>
                <w:color w:val="FFFFFF"/>
                <w:sz w:val="14"/>
                <w:szCs w:val="14"/>
              </w:rPr>
            </w:pPr>
            <w:r>
              <w:rPr>
                <w:rFonts w:cs="Arial" w:ascii="Arial" w:hAnsi="Arial"/>
                <w:b/>
                <w:bCs/>
                <w:color w:val="FFFFFF"/>
                <w:sz w:val="14"/>
                <w:szCs w:val="14"/>
              </w:rPr>
            </w:r>
          </w:p>
        </w:tc>
        <w:tc>
          <w:tcPr>
            <w:tcW w:w="1304" w:type="dxa"/>
            <w:tcBorders>
              <w:bottom w:val="single" w:sz="8" w:space="0" w:color="000000"/>
              <w:right w:val="single" w:sz="8" w:space="0" w:color="FFFFFF"/>
            </w:tcBorders>
            <w:shd w:color="000000" w:fill="2F5496" w:val="clear"/>
            <w:vAlign w:val="center"/>
          </w:tcPr>
          <w:p>
            <w:pPr>
              <w:pStyle w:val="Normal"/>
              <w:widowControl w:val="false"/>
              <w:overflowPunct w:val="false"/>
              <w:jc w:val="center"/>
              <w:textAlignment w:val="auto"/>
              <w:rPr>
                <w:rFonts w:ascii="Arial" w:hAnsi="Arial" w:cs="Arial"/>
                <w:i/>
                <w:i/>
                <w:iCs/>
                <w:color w:val="FFFFFF"/>
                <w:sz w:val="12"/>
                <w:szCs w:val="12"/>
              </w:rPr>
            </w:pPr>
            <w:r>
              <w:rPr>
                <w:rFonts w:cs="Arial" w:ascii="Arial" w:hAnsi="Arial"/>
                <w:i/>
                <w:iCs/>
                <w:color w:val="FFFFFF"/>
                <w:sz w:val="12"/>
                <w:szCs w:val="12"/>
              </w:rPr>
              <w:t>NAJEM</w:t>
            </w:r>
          </w:p>
        </w:tc>
        <w:tc>
          <w:tcPr>
            <w:tcW w:w="1418" w:type="dxa"/>
            <w:vMerge w:val="continue"/>
            <w:tcBorders>
              <w:left w:val="single" w:sz="8" w:space="0" w:color="FFFFFF"/>
              <w:bottom w:val="single" w:sz="8" w:space="0" w:color="000000"/>
              <w:right w:val="single" w:sz="8" w:space="0" w:color="000000"/>
            </w:tcBorders>
            <w:vAlign w:val="center"/>
          </w:tcPr>
          <w:p>
            <w:pPr>
              <w:pStyle w:val="Normal"/>
              <w:widowControl w:val="false"/>
              <w:overflowPunct w:val="false"/>
              <w:textAlignment w:val="auto"/>
              <w:rPr>
                <w:rFonts w:ascii="Arial" w:hAnsi="Arial" w:cs="Arial"/>
                <w:b/>
                <w:b/>
                <w:bCs/>
                <w:color w:val="FFFFFF"/>
                <w:sz w:val="14"/>
                <w:szCs w:val="14"/>
              </w:rPr>
            </w:pPr>
            <w:r>
              <w:rPr>
                <w:rFonts w:cs="Arial" w:ascii="Arial" w:hAnsi="Arial"/>
                <w:b/>
                <w:bCs/>
                <w:color w:val="FFFFFF"/>
                <w:sz w:val="14"/>
                <w:szCs w:val="14"/>
              </w:rPr>
            </w:r>
          </w:p>
        </w:tc>
      </w:tr>
      <w:tr>
        <w:trPr>
          <w:trHeight w:val="375" w:hRule="atLeast"/>
          <w:cantSplit w:val="true"/>
        </w:trPr>
        <w:tc>
          <w:tcPr>
            <w:tcW w:w="960" w:type="dxa"/>
            <w:tcBorders>
              <w:left w:val="single" w:sz="8" w:space="0" w:color="000000"/>
              <w:bottom w:val="single" w:sz="8" w:space="0" w:color="000000"/>
              <w:right w:val="single" w:sz="8" w:space="0" w:color="000000"/>
            </w:tcBorders>
            <w:vAlign w:val="center"/>
          </w:tcPr>
          <w:p>
            <w:pPr>
              <w:pStyle w:val="Normal"/>
              <w:widowControl w:val="false"/>
              <w:overflowPunct w:val="false"/>
              <w:jc w:val="center"/>
              <w:textAlignment w:val="auto"/>
              <w:rPr>
                <w:rFonts w:ascii="Arial" w:hAnsi="Arial" w:cs="Arial"/>
                <w:color w:val="000000"/>
                <w:sz w:val="14"/>
                <w:szCs w:val="14"/>
              </w:rPr>
            </w:pPr>
            <w:r>
              <w:rPr>
                <w:rFonts w:cs="Arial" w:ascii="Arial" w:hAnsi="Arial"/>
                <w:color w:val="000000"/>
                <w:sz w:val="14"/>
                <w:szCs w:val="14"/>
              </w:rPr>
            </w:r>
          </w:p>
        </w:tc>
        <w:tc>
          <w:tcPr>
            <w:tcW w:w="1239" w:type="dxa"/>
            <w:tcBorders>
              <w:bottom w:val="single" w:sz="8" w:space="0" w:color="000000"/>
              <w:right w:val="single" w:sz="8" w:space="0" w:color="000000"/>
            </w:tcBorders>
            <w:vAlign w:val="center"/>
          </w:tcPr>
          <w:p>
            <w:pPr>
              <w:pStyle w:val="Normal"/>
              <w:widowControl w:val="false"/>
              <w:overflowPunct w:val="false"/>
              <w:jc w:val="center"/>
              <w:textAlignment w:val="auto"/>
              <w:rPr>
                <w:rFonts w:ascii="Arial" w:hAnsi="Arial" w:cs="Arial"/>
                <w:color w:val="000000"/>
                <w:sz w:val="14"/>
                <w:szCs w:val="14"/>
              </w:rPr>
            </w:pPr>
            <w:r>
              <w:rPr>
                <w:rFonts w:cs="Arial" w:ascii="Arial" w:hAnsi="Arial"/>
                <w:color w:val="000000"/>
                <w:sz w:val="14"/>
                <w:szCs w:val="14"/>
              </w:rPr>
            </w:r>
          </w:p>
          <w:p>
            <w:pPr>
              <w:pStyle w:val="Normal"/>
              <w:widowControl w:val="false"/>
              <w:overflowPunct w:val="false"/>
              <w:jc w:val="center"/>
              <w:textAlignment w:val="auto"/>
              <w:rPr>
                <w:rFonts w:ascii="Arial" w:hAnsi="Arial" w:cs="Arial"/>
                <w:color w:val="000000"/>
                <w:sz w:val="14"/>
                <w:szCs w:val="14"/>
              </w:rPr>
            </w:pPr>
            <w:r>
              <w:rPr>
                <w:rFonts w:cs="Arial" w:ascii="Arial" w:hAnsi="Arial"/>
                <w:color w:val="000000"/>
                <w:sz w:val="14"/>
                <w:szCs w:val="14"/>
              </w:rPr>
            </w:r>
          </w:p>
        </w:tc>
        <w:tc>
          <w:tcPr>
            <w:tcW w:w="961" w:type="dxa"/>
            <w:tcBorders>
              <w:bottom w:val="single" w:sz="8" w:space="0" w:color="000000"/>
              <w:right w:val="single" w:sz="8" w:space="0" w:color="000000"/>
            </w:tcBorders>
            <w:shd w:color="000000" w:fill="FFFFFF" w:val="clear"/>
            <w:vAlign w:val="center"/>
          </w:tcPr>
          <w:p>
            <w:pPr>
              <w:pStyle w:val="Normal"/>
              <w:widowControl w:val="false"/>
              <w:overflowPunct w:val="false"/>
              <w:jc w:val="center"/>
              <w:textAlignment w:val="auto"/>
              <w:rPr>
                <w:rFonts w:ascii="Arial" w:hAnsi="Arial" w:cs="Arial"/>
                <w:color w:val="000000"/>
                <w:sz w:val="14"/>
                <w:szCs w:val="14"/>
              </w:rPr>
            </w:pPr>
            <w:r>
              <w:rPr>
                <w:rFonts w:cs="Arial" w:ascii="Arial" w:hAnsi="Arial"/>
                <w:color w:val="000000"/>
                <w:sz w:val="14"/>
                <w:szCs w:val="14"/>
              </w:rPr>
            </w:r>
          </w:p>
        </w:tc>
        <w:tc>
          <w:tcPr>
            <w:tcW w:w="960" w:type="dxa"/>
            <w:tcBorders>
              <w:bottom w:val="single" w:sz="8" w:space="0" w:color="000000"/>
              <w:right w:val="single" w:sz="8" w:space="0" w:color="000000"/>
            </w:tcBorders>
            <w:shd w:color="000000" w:fill="FFFFFF" w:val="clear"/>
            <w:vAlign w:val="center"/>
          </w:tcPr>
          <w:p>
            <w:pPr>
              <w:pStyle w:val="Normal"/>
              <w:widowControl w:val="false"/>
              <w:overflowPunct w:val="false"/>
              <w:jc w:val="center"/>
              <w:textAlignment w:val="auto"/>
              <w:rPr>
                <w:rFonts w:ascii="Arial" w:hAnsi="Arial" w:cs="Arial"/>
                <w:b/>
                <w:b/>
                <w:bCs/>
                <w:color w:val="000000"/>
                <w:sz w:val="14"/>
                <w:szCs w:val="14"/>
              </w:rPr>
            </w:pPr>
            <w:r>
              <w:rPr>
                <w:rFonts w:cs="Arial" w:ascii="Arial" w:hAnsi="Arial"/>
                <w:b/>
                <w:bCs/>
                <w:color w:val="000000"/>
                <w:sz w:val="14"/>
                <w:szCs w:val="14"/>
              </w:rPr>
            </w:r>
          </w:p>
        </w:tc>
        <w:tc>
          <w:tcPr>
            <w:tcW w:w="960" w:type="dxa"/>
            <w:tcBorders>
              <w:bottom w:val="single" w:sz="8" w:space="0" w:color="000000"/>
              <w:right w:val="single" w:sz="8" w:space="0" w:color="000000"/>
            </w:tcBorders>
            <w:vAlign w:val="center"/>
          </w:tcPr>
          <w:p>
            <w:pPr>
              <w:pStyle w:val="Normal"/>
              <w:widowControl w:val="false"/>
              <w:overflowPunct w:val="false"/>
              <w:jc w:val="right"/>
              <w:textAlignment w:val="auto"/>
              <w:rPr>
                <w:rFonts w:ascii="Arial" w:hAnsi="Arial" w:cs="Arial"/>
                <w:color w:val="000000"/>
                <w:sz w:val="14"/>
                <w:szCs w:val="14"/>
              </w:rPr>
            </w:pPr>
            <w:r>
              <w:rPr>
                <w:rFonts w:cs="Arial" w:ascii="Arial" w:hAnsi="Arial"/>
                <w:color w:val="000000"/>
                <w:sz w:val="14"/>
                <w:szCs w:val="14"/>
              </w:rPr>
              <w:t>kos</w:t>
            </w:r>
          </w:p>
        </w:tc>
        <w:tc>
          <w:tcPr>
            <w:tcW w:w="1240" w:type="dxa"/>
            <w:tcBorders>
              <w:bottom w:val="single" w:sz="8" w:space="0" w:color="000000"/>
              <w:right w:val="single" w:sz="8" w:space="0" w:color="000000"/>
            </w:tcBorders>
            <w:vAlign w:val="center"/>
          </w:tcPr>
          <w:p>
            <w:pPr>
              <w:pStyle w:val="Normal"/>
              <w:widowControl w:val="false"/>
              <w:overflowPunct w:val="false"/>
              <w:jc w:val="center"/>
              <w:textAlignment w:val="auto"/>
              <w:rPr>
                <w:rFonts w:ascii="Arial" w:hAnsi="Arial" w:cs="Arial"/>
                <w:color w:val="000000"/>
                <w:sz w:val="14"/>
                <w:szCs w:val="14"/>
              </w:rPr>
            </w:pPr>
            <w:r>
              <w:rPr>
                <w:rFonts w:cs="Arial" w:ascii="Arial" w:hAnsi="Arial"/>
                <w:color w:val="000000"/>
                <w:sz w:val="14"/>
                <w:szCs w:val="14"/>
              </w:rPr>
            </w:r>
          </w:p>
        </w:tc>
        <w:tc>
          <w:tcPr>
            <w:tcW w:w="1579" w:type="dxa"/>
            <w:tcBorders>
              <w:bottom w:val="single" w:sz="8" w:space="0" w:color="000000"/>
              <w:right w:val="single" w:sz="8" w:space="0" w:color="000000"/>
            </w:tcBorders>
            <w:vAlign w:val="center"/>
          </w:tcPr>
          <w:p>
            <w:pPr>
              <w:pStyle w:val="Normal"/>
              <w:widowControl w:val="false"/>
              <w:overflowPunct w:val="false"/>
              <w:jc w:val="right"/>
              <w:textAlignment w:val="auto"/>
              <w:rPr>
                <w:rFonts w:ascii="Arial" w:hAnsi="Arial" w:cs="Arial"/>
                <w:color w:val="000000"/>
                <w:sz w:val="14"/>
                <w:szCs w:val="14"/>
              </w:rPr>
            </w:pPr>
            <w:r>
              <w:rPr>
                <w:rFonts w:cs="Arial" w:ascii="Arial" w:hAnsi="Arial"/>
                <w:color w:val="000000"/>
                <w:sz w:val="14"/>
                <w:szCs w:val="14"/>
              </w:rPr>
              <w:t> </w:t>
            </w:r>
          </w:p>
        </w:tc>
        <w:tc>
          <w:tcPr>
            <w:tcW w:w="1304" w:type="dxa"/>
            <w:tcBorders>
              <w:bottom w:val="single" w:sz="8" w:space="0" w:color="000000"/>
              <w:right w:val="single" w:sz="8" w:space="0" w:color="000000"/>
            </w:tcBorders>
            <w:vAlign w:val="center"/>
          </w:tcPr>
          <w:p>
            <w:pPr>
              <w:pStyle w:val="Normal"/>
              <w:widowControl w:val="false"/>
              <w:overflowPunct w:val="false"/>
              <w:jc w:val="right"/>
              <w:textAlignment w:val="auto"/>
              <w:rPr>
                <w:rFonts w:ascii="Arial" w:hAnsi="Arial" w:cs="Arial"/>
                <w:color w:val="000000"/>
                <w:sz w:val="14"/>
                <w:szCs w:val="14"/>
              </w:rPr>
            </w:pPr>
            <w:r>
              <w:rPr>
                <w:rFonts w:cs="Arial" w:ascii="Arial" w:hAnsi="Arial"/>
                <w:color w:val="000000"/>
                <w:sz w:val="14"/>
                <w:szCs w:val="14"/>
              </w:rPr>
              <w:t>€</w:t>
            </w:r>
          </w:p>
        </w:tc>
        <w:tc>
          <w:tcPr>
            <w:tcW w:w="1418" w:type="dxa"/>
            <w:tcBorders>
              <w:bottom w:val="single" w:sz="8" w:space="0" w:color="000000"/>
              <w:right w:val="single" w:sz="8" w:space="0" w:color="000000"/>
            </w:tcBorders>
            <w:vAlign w:val="center"/>
          </w:tcPr>
          <w:p>
            <w:pPr>
              <w:pStyle w:val="Normal"/>
              <w:widowControl w:val="false"/>
              <w:overflowPunct w:val="false"/>
              <w:jc w:val="right"/>
              <w:textAlignment w:val="auto"/>
              <w:rPr>
                <w:rFonts w:ascii="Arial" w:hAnsi="Arial" w:cs="Arial"/>
                <w:color w:val="000000"/>
                <w:sz w:val="14"/>
                <w:szCs w:val="14"/>
              </w:rPr>
            </w:pPr>
            <w:r>
              <w:rPr>
                <w:rFonts w:cs="Arial" w:ascii="Arial" w:hAnsi="Arial"/>
                <w:color w:val="000000"/>
                <w:sz w:val="14"/>
                <w:szCs w:val="14"/>
              </w:rPr>
              <w:t>€</w:t>
            </w:r>
          </w:p>
        </w:tc>
      </w:tr>
      <w:tr>
        <w:trPr>
          <w:trHeight w:val="375" w:hRule="atLeast"/>
          <w:cantSplit w:val="true"/>
        </w:trPr>
        <w:tc>
          <w:tcPr>
            <w:tcW w:w="960" w:type="dxa"/>
            <w:tcBorders>
              <w:left w:val="single" w:sz="8" w:space="0" w:color="000000"/>
              <w:bottom w:val="single" w:sz="8" w:space="0" w:color="000000"/>
              <w:right w:val="single" w:sz="8" w:space="0" w:color="000000"/>
            </w:tcBorders>
            <w:vAlign w:val="center"/>
          </w:tcPr>
          <w:p>
            <w:pPr>
              <w:pStyle w:val="Normal"/>
              <w:widowControl w:val="false"/>
              <w:overflowPunct w:val="false"/>
              <w:jc w:val="center"/>
              <w:textAlignment w:val="auto"/>
              <w:rPr>
                <w:rFonts w:ascii="Arial" w:hAnsi="Arial" w:cs="Arial"/>
                <w:color w:val="000000"/>
                <w:sz w:val="14"/>
                <w:szCs w:val="14"/>
              </w:rPr>
            </w:pPr>
            <w:r>
              <w:rPr>
                <w:rFonts w:cs="Arial" w:ascii="Arial" w:hAnsi="Arial"/>
                <w:color w:val="000000"/>
                <w:sz w:val="14"/>
                <w:szCs w:val="14"/>
              </w:rPr>
            </w:r>
          </w:p>
        </w:tc>
        <w:tc>
          <w:tcPr>
            <w:tcW w:w="1239" w:type="dxa"/>
            <w:tcBorders>
              <w:bottom w:val="single" w:sz="8" w:space="0" w:color="000000"/>
              <w:right w:val="single" w:sz="8" w:space="0" w:color="000000"/>
            </w:tcBorders>
            <w:vAlign w:val="center"/>
          </w:tcPr>
          <w:p>
            <w:pPr>
              <w:pStyle w:val="Normal"/>
              <w:widowControl w:val="false"/>
              <w:overflowPunct w:val="false"/>
              <w:jc w:val="center"/>
              <w:textAlignment w:val="auto"/>
              <w:rPr>
                <w:rFonts w:ascii="Arial" w:hAnsi="Arial" w:cs="Arial"/>
                <w:color w:val="000000"/>
                <w:sz w:val="14"/>
                <w:szCs w:val="14"/>
              </w:rPr>
            </w:pPr>
            <w:r>
              <w:rPr>
                <w:rFonts w:cs="Arial" w:ascii="Arial" w:hAnsi="Arial"/>
                <w:color w:val="000000"/>
                <w:sz w:val="14"/>
                <w:szCs w:val="14"/>
              </w:rPr>
            </w:r>
          </w:p>
        </w:tc>
        <w:tc>
          <w:tcPr>
            <w:tcW w:w="961" w:type="dxa"/>
            <w:tcBorders>
              <w:bottom w:val="single" w:sz="8" w:space="0" w:color="000000"/>
              <w:right w:val="single" w:sz="8" w:space="0" w:color="000000"/>
            </w:tcBorders>
            <w:shd w:color="000000" w:fill="FFFFFF" w:val="clear"/>
            <w:vAlign w:val="center"/>
          </w:tcPr>
          <w:p>
            <w:pPr>
              <w:pStyle w:val="Normal"/>
              <w:widowControl w:val="false"/>
              <w:overflowPunct w:val="false"/>
              <w:jc w:val="center"/>
              <w:textAlignment w:val="auto"/>
              <w:rPr>
                <w:rFonts w:ascii="Arial" w:hAnsi="Arial" w:cs="Arial"/>
                <w:color w:val="000000"/>
                <w:sz w:val="14"/>
                <w:szCs w:val="14"/>
              </w:rPr>
            </w:pPr>
            <w:r>
              <w:rPr>
                <w:rFonts w:cs="Arial" w:ascii="Arial" w:hAnsi="Arial"/>
                <w:color w:val="000000"/>
                <w:sz w:val="14"/>
                <w:szCs w:val="14"/>
              </w:rPr>
            </w:r>
          </w:p>
        </w:tc>
        <w:tc>
          <w:tcPr>
            <w:tcW w:w="960" w:type="dxa"/>
            <w:tcBorders>
              <w:bottom w:val="single" w:sz="8" w:space="0" w:color="000000"/>
              <w:right w:val="single" w:sz="8" w:space="0" w:color="000000"/>
            </w:tcBorders>
            <w:shd w:color="000000" w:fill="FFFFFF" w:val="clear"/>
            <w:vAlign w:val="center"/>
          </w:tcPr>
          <w:p>
            <w:pPr>
              <w:pStyle w:val="Normal"/>
              <w:widowControl w:val="false"/>
              <w:overflowPunct w:val="false"/>
              <w:jc w:val="center"/>
              <w:textAlignment w:val="auto"/>
              <w:rPr>
                <w:rFonts w:ascii="Arial" w:hAnsi="Arial" w:cs="Arial"/>
                <w:b/>
                <w:b/>
                <w:bCs/>
                <w:color w:val="000000"/>
                <w:sz w:val="14"/>
                <w:szCs w:val="14"/>
              </w:rPr>
            </w:pPr>
            <w:r>
              <w:rPr>
                <w:rFonts w:cs="Arial" w:ascii="Arial" w:hAnsi="Arial"/>
                <w:b/>
                <w:bCs/>
                <w:color w:val="000000"/>
                <w:sz w:val="14"/>
                <w:szCs w:val="14"/>
              </w:rPr>
            </w:r>
          </w:p>
        </w:tc>
        <w:tc>
          <w:tcPr>
            <w:tcW w:w="960" w:type="dxa"/>
            <w:tcBorders>
              <w:bottom w:val="single" w:sz="8" w:space="0" w:color="000000"/>
              <w:right w:val="single" w:sz="8" w:space="0" w:color="000000"/>
            </w:tcBorders>
            <w:vAlign w:val="center"/>
          </w:tcPr>
          <w:p>
            <w:pPr>
              <w:pStyle w:val="Normal"/>
              <w:widowControl w:val="false"/>
              <w:overflowPunct w:val="false"/>
              <w:jc w:val="right"/>
              <w:textAlignment w:val="auto"/>
              <w:rPr>
                <w:rFonts w:ascii="Arial" w:hAnsi="Arial" w:cs="Arial"/>
                <w:color w:val="000000"/>
                <w:sz w:val="14"/>
                <w:szCs w:val="14"/>
              </w:rPr>
            </w:pPr>
            <w:r>
              <w:rPr>
                <w:rFonts w:cs="Arial" w:ascii="Arial" w:hAnsi="Arial"/>
                <w:color w:val="000000"/>
                <w:sz w:val="14"/>
                <w:szCs w:val="14"/>
              </w:rPr>
              <w:t>kos</w:t>
            </w:r>
          </w:p>
        </w:tc>
        <w:tc>
          <w:tcPr>
            <w:tcW w:w="1240" w:type="dxa"/>
            <w:tcBorders>
              <w:bottom w:val="single" w:sz="8" w:space="0" w:color="000000"/>
              <w:right w:val="single" w:sz="8" w:space="0" w:color="000000"/>
            </w:tcBorders>
            <w:vAlign w:val="center"/>
          </w:tcPr>
          <w:p>
            <w:pPr>
              <w:pStyle w:val="Normal"/>
              <w:widowControl w:val="false"/>
              <w:overflowPunct w:val="false"/>
              <w:jc w:val="center"/>
              <w:textAlignment w:val="auto"/>
              <w:rPr>
                <w:rFonts w:ascii="Arial" w:hAnsi="Arial" w:cs="Arial"/>
                <w:color w:val="000000"/>
                <w:sz w:val="14"/>
                <w:szCs w:val="14"/>
              </w:rPr>
            </w:pPr>
            <w:r>
              <w:rPr>
                <w:rFonts w:cs="Arial" w:ascii="Arial" w:hAnsi="Arial"/>
                <w:color w:val="000000"/>
                <w:sz w:val="14"/>
                <w:szCs w:val="14"/>
              </w:rPr>
            </w:r>
          </w:p>
        </w:tc>
        <w:tc>
          <w:tcPr>
            <w:tcW w:w="1579" w:type="dxa"/>
            <w:tcBorders>
              <w:bottom w:val="single" w:sz="8" w:space="0" w:color="000000"/>
              <w:right w:val="single" w:sz="8" w:space="0" w:color="000000"/>
            </w:tcBorders>
            <w:vAlign w:val="center"/>
          </w:tcPr>
          <w:p>
            <w:pPr>
              <w:pStyle w:val="Normal"/>
              <w:widowControl w:val="false"/>
              <w:overflowPunct w:val="false"/>
              <w:jc w:val="center"/>
              <w:textAlignment w:val="auto"/>
              <w:rPr>
                <w:rFonts w:ascii="Arial" w:hAnsi="Arial" w:cs="Arial"/>
                <w:color w:val="000000"/>
                <w:sz w:val="14"/>
                <w:szCs w:val="14"/>
              </w:rPr>
            </w:pPr>
            <w:r>
              <w:rPr>
                <w:rFonts w:cs="Arial" w:ascii="Arial" w:hAnsi="Arial"/>
                <w:color w:val="000000"/>
                <w:sz w:val="14"/>
                <w:szCs w:val="14"/>
              </w:rPr>
              <w:t> </w:t>
            </w:r>
          </w:p>
        </w:tc>
        <w:tc>
          <w:tcPr>
            <w:tcW w:w="1304" w:type="dxa"/>
            <w:tcBorders>
              <w:bottom w:val="single" w:sz="8" w:space="0" w:color="000000"/>
              <w:right w:val="single" w:sz="8" w:space="0" w:color="000000"/>
            </w:tcBorders>
            <w:vAlign w:val="center"/>
          </w:tcPr>
          <w:p>
            <w:pPr>
              <w:pStyle w:val="Normal"/>
              <w:widowControl w:val="false"/>
              <w:overflowPunct w:val="false"/>
              <w:jc w:val="right"/>
              <w:textAlignment w:val="auto"/>
              <w:rPr>
                <w:rFonts w:ascii="Arial" w:hAnsi="Arial" w:cs="Arial"/>
                <w:color w:val="000000"/>
                <w:sz w:val="14"/>
                <w:szCs w:val="14"/>
              </w:rPr>
            </w:pPr>
            <w:r>
              <w:rPr>
                <w:rFonts w:cs="Arial" w:ascii="Arial" w:hAnsi="Arial"/>
                <w:color w:val="000000"/>
                <w:sz w:val="14"/>
                <w:szCs w:val="14"/>
              </w:rPr>
              <w:t>€</w:t>
            </w:r>
          </w:p>
        </w:tc>
        <w:tc>
          <w:tcPr>
            <w:tcW w:w="1418" w:type="dxa"/>
            <w:tcBorders>
              <w:bottom w:val="single" w:sz="8" w:space="0" w:color="000000"/>
              <w:right w:val="single" w:sz="8" w:space="0" w:color="000000"/>
            </w:tcBorders>
            <w:vAlign w:val="center"/>
          </w:tcPr>
          <w:p>
            <w:pPr>
              <w:pStyle w:val="Normal"/>
              <w:widowControl w:val="false"/>
              <w:overflowPunct w:val="false"/>
              <w:jc w:val="right"/>
              <w:textAlignment w:val="auto"/>
              <w:rPr>
                <w:rFonts w:ascii="Arial" w:hAnsi="Arial" w:cs="Arial"/>
                <w:color w:val="000000"/>
                <w:sz w:val="14"/>
                <w:szCs w:val="14"/>
              </w:rPr>
            </w:pPr>
            <w:r>
              <w:rPr>
                <w:rFonts w:cs="Arial" w:ascii="Arial" w:hAnsi="Arial"/>
                <w:color w:val="000000"/>
                <w:sz w:val="14"/>
                <w:szCs w:val="14"/>
              </w:rPr>
              <w:t>€</w:t>
            </w:r>
          </w:p>
        </w:tc>
      </w:tr>
      <w:tr>
        <w:trPr>
          <w:trHeight w:val="375" w:hRule="atLeast"/>
          <w:cantSplit w:val="true"/>
        </w:trPr>
        <w:tc>
          <w:tcPr>
            <w:tcW w:w="960" w:type="dxa"/>
            <w:tcBorders>
              <w:left w:val="single" w:sz="8" w:space="0" w:color="000000"/>
              <w:bottom w:val="single" w:sz="8" w:space="0" w:color="000000"/>
              <w:right w:val="single" w:sz="8" w:space="0" w:color="000000"/>
            </w:tcBorders>
            <w:vAlign w:val="center"/>
          </w:tcPr>
          <w:p>
            <w:pPr>
              <w:pStyle w:val="Normal"/>
              <w:widowControl w:val="false"/>
              <w:overflowPunct w:val="false"/>
              <w:jc w:val="center"/>
              <w:textAlignment w:val="auto"/>
              <w:rPr>
                <w:rFonts w:ascii="Arial" w:hAnsi="Arial" w:cs="Arial"/>
                <w:color w:val="000000"/>
                <w:sz w:val="14"/>
                <w:szCs w:val="14"/>
              </w:rPr>
            </w:pPr>
            <w:r>
              <w:rPr>
                <w:rFonts w:cs="Arial" w:ascii="Arial" w:hAnsi="Arial"/>
                <w:color w:val="000000"/>
                <w:sz w:val="14"/>
                <w:szCs w:val="14"/>
              </w:rPr>
            </w:r>
          </w:p>
        </w:tc>
        <w:tc>
          <w:tcPr>
            <w:tcW w:w="1239" w:type="dxa"/>
            <w:tcBorders>
              <w:bottom w:val="single" w:sz="8" w:space="0" w:color="000000"/>
              <w:right w:val="single" w:sz="8" w:space="0" w:color="000000"/>
            </w:tcBorders>
            <w:vAlign w:val="center"/>
          </w:tcPr>
          <w:p>
            <w:pPr>
              <w:pStyle w:val="Normal"/>
              <w:widowControl w:val="false"/>
              <w:overflowPunct w:val="false"/>
              <w:jc w:val="center"/>
              <w:textAlignment w:val="auto"/>
              <w:rPr>
                <w:rFonts w:ascii="Arial" w:hAnsi="Arial" w:cs="Arial"/>
                <w:color w:val="000000"/>
                <w:sz w:val="14"/>
                <w:szCs w:val="14"/>
              </w:rPr>
            </w:pPr>
            <w:r>
              <w:rPr>
                <w:rFonts w:cs="Arial" w:ascii="Arial" w:hAnsi="Arial"/>
                <w:color w:val="000000"/>
                <w:sz w:val="14"/>
                <w:szCs w:val="14"/>
              </w:rPr>
            </w:r>
          </w:p>
        </w:tc>
        <w:tc>
          <w:tcPr>
            <w:tcW w:w="961" w:type="dxa"/>
            <w:tcBorders>
              <w:bottom w:val="single" w:sz="8" w:space="0" w:color="000000"/>
              <w:right w:val="single" w:sz="8" w:space="0" w:color="000000"/>
            </w:tcBorders>
            <w:shd w:color="000000" w:fill="FFFFFF" w:val="clear"/>
            <w:vAlign w:val="center"/>
          </w:tcPr>
          <w:p>
            <w:pPr>
              <w:pStyle w:val="Normal"/>
              <w:widowControl w:val="false"/>
              <w:overflowPunct w:val="false"/>
              <w:jc w:val="center"/>
              <w:textAlignment w:val="auto"/>
              <w:rPr>
                <w:rFonts w:ascii="Arial" w:hAnsi="Arial" w:cs="Arial"/>
                <w:color w:val="000000"/>
                <w:sz w:val="14"/>
                <w:szCs w:val="14"/>
              </w:rPr>
            </w:pPr>
            <w:r>
              <w:rPr>
                <w:rFonts w:cs="Arial" w:ascii="Arial" w:hAnsi="Arial"/>
                <w:color w:val="000000"/>
                <w:sz w:val="14"/>
                <w:szCs w:val="14"/>
              </w:rPr>
            </w:r>
          </w:p>
        </w:tc>
        <w:tc>
          <w:tcPr>
            <w:tcW w:w="960" w:type="dxa"/>
            <w:tcBorders>
              <w:bottom w:val="single" w:sz="8" w:space="0" w:color="000000"/>
              <w:right w:val="single" w:sz="8" w:space="0" w:color="000000"/>
            </w:tcBorders>
            <w:shd w:color="000000" w:fill="FFFFFF" w:val="clear"/>
            <w:vAlign w:val="center"/>
          </w:tcPr>
          <w:p>
            <w:pPr>
              <w:pStyle w:val="Normal"/>
              <w:widowControl w:val="false"/>
              <w:overflowPunct w:val="false"/>
              <w:jc w:val="center"/>
              <w:textAlignment w:val="auto"/>
              <w:rPr>
                <w:rFonts w:ascii="Arial" w:hAnsi="Arial" w:cs="Arial"/>
                <w:b/>
                <w:b/>
                <w:bCs/>
                <w:color w:val="000000"/>
                <w:sz w:val="14"/>
                <w:szCs w:val="14"/>
              </w:rPr>
            </w:pPr>
            <w:r>
              <w:rPr>
                <w:rFonts w:cs="Arial" w:ascii="Arial" w:hAnsi="Arial"/>
                <w:b/>
                <w:bCs/>
                <w:color w:val="000000"/>
                <w:sz w:val="14"/>
                <w:szCs w:val="14"/>
              </w:rPr>
            </w:r>
          </w:p>
        </w:tc>
        <w:tc>
          <w:tcPr>
            <w:tcW w:w="960" w:type="dxa"/>
            <w:tcBorders>
              <w:bottom w:val="single" w:sz="8" w:space="0" w:color="000000"/>
              <w:right w:val="single" w:sz="8" w:space="0" w:color="000000"/>
            </w:tcBorders>
            <w:vAlign w:val="center"/>
          </w:tcPr>
          <w:p>
            <w:pPr>
              <w:pStyle w:val="Normal"/>
              <w:widowControl w:val="false"/>
              <w:overflowPunct w:val="false"/>
              <w:jc w:val="right"/>
              <w:textAlignment w:val="auto"/>
              <w:rPr>
                <w:rFonts w:ascii="Arial" w:hAnsi="Arial" w:cs="Arial"/>
                <w:color w:val="000000"/>
                <w:sz w:val="14"/>
                <w:szCs w:val="14"/>
              </w:rPr>
            </w:pPr>
            <w:r>
              <w:rPr>
                <w:rFonts w:cs="Arial" w:ascii="Arial" w:hAnsi="Arial"/>
                <w:color w:val="000000"/>
                <w:sz w:val="14"/>
                <w:szCs w:val="14"/>
              </w:rPr>
              <w:t>kos</w:t>
            </w:r>
          </w:p>
        </w:tc>
        <w:tc>
          <w:tcPr>
            <w:tcW w:w="1240" w:type="dxa"/>
            <w:tcBorders>
              <w:bottom w:val="single" w:sz="8" w:space="0" w:color="000000"/>
              <w:right w:val="single" w:sz="8" w:space="0" w:color="000000"/>
            </w:tcBorders>
            <w:vAlign w:val="center"/>
          </w:tcPr>
          <w:p>
            <w:pPr>
              <w:pStyle w:val="Normal"/>
              <w:widowControl w:val="false"/>
              <w:overflowPunct w:val="false"/>
              <w:jc w:val="center"/>
              <w:textAlignment w:val="auto"/>
              <w:rPr>
                <w:rFonts w:ascii="Arial" w:hAnsi="Arial" w:cs="Arial"/>
                <w:color w:val="000000"/>
                <w:sz w:val="14"/>
                <w:szCs w:val="14"/>
              </w:rPr>
            </w:pPr>
            <w:r>
              <w:rPr>
                <w:rFonts w:cs="Arial" w:ascii="Arial" w:hAnsi="Arial"/>
                <w:color w:val="000000"/>
                <w:sz w:val="14"/>
                <w:szCs w:val="14"/>
              </w:rPr>
            </w:r>
          </w:p>
        </w:tc>
        <w:tc>
          <w:tcPr>
            <w:tcW w:w="1579" w:type="dxa"/>
            <w:tcBorders>
              <w:bottom w:val="single" w:sz="8" w:space="0" w:color="000000"/>
              <w:right w:val="single" w:sz="8" w:space="0" w:color="000000"/>
            </w:tcBorders>
            <w:vAlign w:val="center"/>
          </w:tcPr>
          <w:p>
            <w:pPr>
              <w:pStyle w:val="Normal"/>
              <w:widowControl w:val="false"/>
              <w:overflowPunct w:val="false"/>
              <w:jc w:val="center"/>
              <w:textAlignment w:val="auto"/>
              <w:rPr>
                <w:rFonts w:ascii="Arial" w:hAnsi="Arial" w:cs="Arial"/>
                <w:color w:val="000000"/>
                <w:sz w:val="14"/>
                <w:szCs w:val="14"/>
              </w:rPr>
            </w:pPr>
            <w:r>
              <w:rPr>
                <w:rFonts w:cs="Arial" w:ascii="Arial" w:hAnsi="Arial"/>
                <w:color w:val="000000"/>
                <w:sz w:val="14"/>
                <w:szCs w:val="14"/>
              </w:rPr>
              <w:t> </w:t>
            </w:r>
          </w:p>
        </w:tc>
        <w:tc>
          <w:tcPr>
            <w:tcW w:w="1304" w:type="dxa"/>
            <w:tcBorders>
              <w:bottom w:val="single" w:sz="8" w:space="0" w:color="000000"/>
              <w:right w:val="single" w:sz="8" w:space="0" w:color="000000"/>
            </w:tcBorders>
            <w:vAlign w:val="center"/>
          </w:tcPr>
          <w:p>
            <w:pPr>
              <w:pStyle w:val="Normal"/>
              <w:widowControl w:val="false"/>
              <w:overflowPunct w:val="false"/>
              <w:jc w:val="right"/>
              <w:textAlignment w:val="auto"/>
              <w:rPr>
                <w:rFonts w:ascii="Arial" w:hAnsi="Arial" w:cs="Arial"/>
                <w:color w:val="000000"/>
                <w:sz w:val="14"/>
                <w:szCs w:val="14"/>
              </w:rPr>
            </w:pPr>
            <w:r>
              <w:rPr>
                <w:rFonts w:cs="Arial" w:ascii="Arial" w:hAnsi="Arial"/>
                <w:color w:val="000000"/>
                <w:sz w:val="14"/>
                <w:szCs w:val="14"/>
              </w:rPr>
              <w:t>€</w:t>
            </w:r>
          </w:p>
        </w:tc>
        <w:tc>
          <w:tcPr>
            <w:tcW w:w="1418" w:type="dxa"/>
            <w:tcBorders>
              <w:bottom w:val="single" w:sz="8" w:space="0" w:color="000000"/>
              <w:right w:val="single" w:sz="8" w:space="0" w:color="000000"/>
            </w:tcBorders>
            <w:vAlign w:val="center"/>
          </w:tcPr>
          <w:p>
            <w:pPr>
              <w:pStyle w:val="Normal"/>
              <w:widowControl w:val="false"/>
              <w:overflowPunct w:val="false"/>
              <w:jc w:val="right"/>
              <w:textAlignment w:val="auto"/>
              <w:rPr>
                <w:rFonts w:ascii="Arial" w:hAnsi="Arial" w:cs="Arial"/>
                <w:color w:val="000000"/>
                <w:sz w:val="14"/>
                <w:szCs w:val="14"/>
              </w:rPr>
            </w:pPr>
            <w:r>
              <w:rPr>
                <w:rFonts w:cs="Arial" w:ascii="Arial" w:hAnsi="Arial"/>
                <w:color w:val="000000"/>
                <w:sz w:val="14"/>
                <w:szCs w:val="14"/>
              </w:rPr>
              <w:t>€</w:t>
            </w:r>
          </w:p>
        </w:tc>
      </w:tr>
      <w:tr>
        <w:trPr>
          <w:trHeight w:val="375" w:hRule="atLeast"/>
          <w:cantSplit w:val="true"/>
        </w:trPr>
        <w:tc>
          <w:tcPr>
            <w:tcW w:w="960" w:type="dxa"/>
            <w:tcBorders>
              <w:left w:val="single" w:sz="8" w:space="0" w:color="000000"/>
              <w:bottom w:val="single" w:sz="8" w:space="0" w:color="000000"/>
              <w:right w:val="single" w:sz="8" w:space="0" w:color="000000"/>
            </w:tcBorders>
            <w:vAlign w:val="center"/>
          </w:tcPr>
          <w:p>
            <w:pPr>
              <w:pStyle w:val="Normal"/>
              <w:widowControl w:val="false"/>
              <w:overflowPunct w:val="false"/>
              <w:jc w:val="center"/>
              <w:textAlignment w:val="auto"/>
              <w:rPr>
                <w:rFonts w:ascii="Arial" w:hAnsi="Arial" w:cs="Arial"/>
                <w:color w:val="000000"/>
                <w:sz w:val="14"/>
                <w:szCs w:val="14"/>
              </w:rPr>
            </w:pPr>
            <w:r>
              <w:rPr>
                <w:rFonts w:cs="Arial" w:ascii="Arial" w:hAnsi="Arial"/>
                <w:color w:val="000000"/>
                <w:sz w:val="14"/>
                <w:szCs w:val="14"/>
              </w:rPr>
              <w:t> </w:t>
            </w:r>
          </w:p>
        </w:tc>
        <w:tc>
          <w:tcPr>
            <w:tcW w:w="1239" w:type="dxa"/>
            <w:tcBorders>
              <w:bottom w:val="single" w:sz="8" w:space="0" w:color="000000"/>
              <w:right w:val="single" w:sz="8" w:space="0" w:color="000000"/>
            </w:tcBorders>
            <w:vAlign w:val="center"/>
          </w:tcPr>
          <w:p>
            <w:pPr>
              <w:pStyle w:val="Normal"/>
              <w:widowControl w:val="false"/>
              <w:overflowPunct w:val="false"/>
              <w:jc w:val="center"/>
              <w:textAlignment w:val="auto"/>
              <w:rPr>
                <w:rFonts w:ascii="Arial" w:hAnsi="Arial" w:cs="Arial"/>
                <w:color w:val="000000"/>
                <w:sz w:val="14"/>
                <w:szCs w:val="14"/>
              </w:rPr>
            </w:pPr>
            <w:r>
              <w:rPr>
                <w:rFonts w:cs="Arial" w:ascii="Arial" w:hAnsi="Arial"/>
                <w:color w:val="000000"/>
                <w:sz w:val="14"/>
                <w:szCs w:val="14"/>
              </w:rPr>
            </w:r>
          </w:p>
        </w:tc>
        <w:tc>
          <w:tcPr>
            <w:tcW w:w="961" w:type="dxa"/>
            <w:tcBorders>
              <w:bottom w:val="single" w:sz="8" w:space="0" w:color="000000"/>
              <w:right w:val="single" w:sz="8" w:space="0" w:color="000000"/>
            </w:tcBorders>
            <w:shd w:color="000000" w:fill="FFFFFF" w:val="clear"/>
            <w:vAlign w:val="center"/>
          </w:tcPr>
          <w:p>
            <w:pPr>
              <w:pStyle w:val="Normal"/>
              <w:widowControl w:val="false"/>
              <w:overflowPunct w:val="false"/>
              <w:jc w:val="center"/>
              <w:textAlignment w:val="auto"/>
              <w:rPr>
                <w:rFonts w:ascii="Arial" w:hAnsi="Arial" w:cs="Arial"/>
                <w:color w:val="000000"/>
                <w:sz w:val="14"/>
                <w:szCs w:val="14"/>
              </w:rPr>
            </w:pPr>
            <w:r>
              <w:rPr>
                <w:rFonts w:cs="Arial" w:ascii="Arial" w:hAnsi="Arial"/>
                <w:color w:val="000000"/>
                <w:sz w:val="14"/>
                <w:szCs w:val="14"/>
              </w:rPr>
              <w:t> </w:t>
            </w:r>
          </w:p>
        </w:tc>
        <w:tc>
          <w:tcPr>
            <w:tcW w:w="960" w:type="dxa"/>
            <w:tcBorders>
              <w:bottom w:val="single" w:sz="8" w:space="0" w:color="000000"/>
              <w:right w:val="single" w:sz="8" w:space="0" w:color="000000"/>
            </w:tcBorders>
            <w:shd w:color="000000" w:fill="FFFFFF" w:val="clear"/>
            <w:vAlign w:val="center"/>
          </w:tcPr>
          <w:p>
            <w:pPr>
              <w:pStyle w:val="Normal"/>
              <w:widowControl w:val="false"/>
              <w:overflowPunct w:val="false"/>
              <w:jc w:val="center"/>
              <w:textAlignment w:val="auto"/>
              <w:rPr>
                <w:rFonts w:ascii="Arial" w:hAnsi="Arial" w:cs="Arial"/>
                <w:b/>
                <w:b/>
                <w:bCs/>
                <w:color w:val="000000"/>
                <w:sz w:val="14"/>
                <w:szCs w:val="14"/>
              </w:rPr>
            </w:pPr>
            <w:r>
              <w:rPr>
                <w:rFonts w:cs="Arial" w:ascii="Arial" w:hAnsi="Arial"/>
                <w:b/>
                <w:bCs/>
                <w:color w:val="000000"/>
                <w:sz w:val="14"/>
                <w:szCs w:val="14"/>
              </w:rPr>
              <w:t> </w:t>
            </w:r>
          </w:p>
        </w:tc>
        <w:tc>
          <w:tcPr>
            <w:tcW w:w="960" w:type="dxa"/>
            <w:tcBorders>
              <w:bottom w:val="single" w:sz="8" w:space="0" w:color="000000"/>
              <w:right w:val="single" w:sz="8" w:space="0" w:color="000000"/>
            </w:tcBorders>
            <w:vAlign w:val="center"/>
          </w:tcPr>
          <w:p>
            <w:pPr>
              <w:pStyle w:val="Normal"/>
              <w:widowControl w:val="false"/>
              <w:overflowPunct w:val="false"/>
              <w:jc w:val="right"/>
              <w:textAlignment w:val="auto"/>
              <w:rPr>
                <w:rFonts w:ascii="Arial" w:hAnsi="Arial" w:cs="Arial"/>
                <w:color w:val="000000"/>
                <w:sz w:val="14"/>
                <w:szCs w:val="14"/>
              </w:rPr>
            </w:pPr>
            <w:r>
              <w:rPr>
                <w:rFonts w:cs="Arial" w:ascii="Arial" w:hAnsi="Arial"/>
                <w:color w:val="000000"/>
                <w:sz w:val="14"/>
                <w:szCs w:val="14"/>
              </w:rPr>
              <w:t>kos</w:t>
            </w:r>
          </w:p>
        </w:tc>
        <w:tc>
          <w:tcPr>
            <w:tcW w:w="1240" w:type="dxa"/>
            <w:tcBorders>
              <w:bottom w:val="single" w:sz="8" w:space="0" w:color="000000"/>
              <w:right w:val="single" w:sz="8" w:space="0" w:color="000000"/>
            </w:tcBorders>
            <w:vAlign w:val="center"/>
          </w:tcPr>
          <w:p>
            <w:pPr>
              <w:pStyle w:val="Normal"/>
              <w:widowControl w:val="false"/>
              <w:overflowPunct w:val="false"/>
              <w:jc w:val="center"/>
              <w:textAlignment w:val="auto"/>
              <w:rPr>
                <w:rFonts w:ascii="Arial" w:hAnsi="Arial" w:cs="Arial"/>
                <w:color w:val="000000"/>
                <w:sz w:val="14"/>
                <w:szCs w:val="14"/>
              </w:rPr>
            </w:pPr>
            <w:r>
              <w:rPr>
                <w:rFonts w:cs="Arial" w:ascii="Arial" w:hAnsi="Arial"/>
                <w:color w:val="000000"/>
                <w:sz w:val="14"/>
                <w:szCs w:val="14"/>
              </w:rPr>
              <w:t> </w:t>
            </w:r>
          </w:p>
        </w:tc>
        <w:tc>
          <w:tcPr>
            <w:tcW w:w="1579" w:type="dxa"/>
            <w:tcBorders>
              <w:bottom w:val="single" w:sz="8" w:space="0" w:color="000000"/>
              <w:right w:val="single" w:sz="8" w:space="0" w:color="000000"/>
            </w:tcBorders>
            <w:vAlign w:val="center"/>
          </w:tcPr>
          <w:p>
            <w:pPr>
              <w:pStyle w:val="Normal"/>
              <w:widowControl w:val="false"/>
              <w:overflowPunct w:val="false"/>
              <w:jc w:val="center"/>
              <w:textAlignment w:val="auto"/>
              <w:rPr>
                <w:rFonts w:ascii="Arial" w:hAnsi="Arial" w:cs="Arial"/>
                <w:color w:val="000000"/>
                <w:sz w:val="14"/>
                <w:szCs w:val="14"/>
              </w:rPr>
            </w:pPr>
            <w:r>
              <w:rPr>
                <w:rFonts w:cs="Arial" w:ascii="Arial" w:hAnsi="Arial"/>
                <w:color w:val="000000"/>
                <w:sz w:val="14"/>
                <w:szCs w:val="14"/>
              </w:rPr>
              <w:t> </w:t>
            </w:r>
          </w:p>
        </w:tc>
        <w:tc>
          <w:tcPr>
            <w:tcW w:w="1304" w:type="dxa"/>
            <w:tcBorders>
              <w:bottom w:val="single" w:sz="8" w:space="0" w:color="000000"/>
              <w:right w:val="single" w:sz="8" w:space="0" w:color="000000"/>
            </w:tcBorders>
            <w:vAlign w:val="center"/>
          </w:tcPr>
          <w:p>
            <w:pPr>
              <w:pStyle w:val="Normal"/>
              <w:widowControl w:val="false"/>
              <w:overflowPunct w:val="false"/>
              <w:jc w:val="right"/>
              <w:textAlignment w:val="auto"/>
              <w:rPr>
                <w:rFonts w:ascii="Arial" w:hAnsi="Arial" w:cs="Arial"/>
                <w:color w:val="000000"/>
                <w:sz w:val="14"/>
                <w:szCs w:val="14"/>
              </w:rPr>
            </w:pPr>
            <w:r>
              <w:rPr>
                <w:rFonts w:cs="Arial" w:ascii="Arial" w:hAnsi="Arial"/>
                <w:color w:val="000000"/>
                <w:sz w:val="14"/>
                <w:szCs w:val="14"/>
              </w:rPr>
              <w:t>€</w:t>
            </w:r>
          </w:p>
        </w:tc>
        <w:tc>
          <w:tcPr>
            <w:tcW w:w="1418" w:type="dxa"/>
            <w:tcBorders>
              <w:bottom w:val="single" w:sz="8" w:space="0" w:color="000000"/>
              <w:right w:val="single" w:sz="8" w:space="0" w:color="000000"/>
            </w:tcBorders>
            <w:vAlign w:val="center"/>
          </w:tcPr>
          <w:p>
            <w:pPr>
              <w:pStyle w:val="Normal"/>
              <w:widowControl w:val="false"/>
              <w:overflowPunct w:val="false"/>
              <w:jc w:val="right"/>
              <w:textAlignment w:val="auto"/>
              <w:rPr>
                <w:rFonts w:ascii="Arial" w:hAnsi="Arial" w:cs="Arial"/>
                <w:color w:val="000000"/>
                <w:sz w:val="14"/>
                <w:szCs w:val="14"/>
              </w:rPr>
            </w:pPr>
            <w:r>
              <w:rPr>
                <w:rFonts w:cs="Arial" w:ascii="Arial" w:hAnsi="Arial"/>
                <w:color w:val="000000"/>
                <w:sz w:val="14"/>
                <w:szCs w:val="14"/>
              </w:rPr>
              <w:t>€</w:t>
            </w:r>
          </w:p>
        </w:tc>
      </w:tr>
      <w:tr>
        <w:trPr>
          <w:trHeight w:val="375" w:hRule="atLeast"/>
          <w:cantSplit w:val="true"/>
        </w:trPr>
        <w:tc>
          <w:tcPr>
            <w:tcW w:w="960" w:type="dxa"/>
            <w:tcBorders>
              <w:left w:val="single" w:sz="8" w:space="0" w:color="000000"/>
              <w:bottom w:val="single" w:sz="8" w:space="0" w:color="000000"/>
              <w:right w:val="single" w:sz="8" w:space="0" w:color="000000"/>
            </w:tcBorders>
            <w:vAlign w:val="center"/>
          </w:tcPr>
          <w:p>
            <w:pPr>
              <w:pStyle w:val="Normal"/>
              <w:widowControl w:val="false"/>
              <w:overflowPunct w:val="false"/>
              <w:jc w:val="center"/>
              <w:textAlignment w:val="auto"/>
              <w:rPr>
                <w:rFonts w:ascii="Arial" w:hAnsi="Arial" w:cs="Arial"/>
                <w:color w:val="000000"/>
                <w:sz w:val="14"/>
                <w:szCs w:val="14"/>
              </w:rPr>
            </w:pPr>
            <w:r>
              <w:rPr>
                <w:rFonts w:cs="Arial" w:ascii="Arial" w:hAnsi="Arial"/>
                <w:color w:val="000000"/>
                <w:sz w:val="14"/>
                <w:szCs w:val="14"/>
              </w:rPr>
              <w:t> </w:t>
            </w:r>
          </w:p>
        </w:tc>
        <w:tc>
          <w:tcPr>
            <w:tcW w:w="1239" w:type="dxa"/>
            <w:tcBorders>
              <w:bottom w:val="single" w:sz="8" w:space="0" w:color="000000"/>
              <w:right w:val="single" w:sz="8" w:space="0" w:color="000000"/>
            </w:tcBorders>
            <w:vAlign w:val="center"/>
          </w:tcPr>
          <w:p>
            <w:pPr>
              <w:pStyle w:val="Normal"/>
              <w:widowControl w:val="false"/>
              <w:overflowPunct w:val="false"/>
              <w:jc w:val="center"/>
              <w:textAlignment w:val="auto"/>
              <w:rPr>
                <w:rFonts w:ascii="Arial" w:hAnsi="Arial" w:cs="Arial"/>
                <w:color w:val="000000"/>
                <w:sz w:val="14"/>
                <w:szCs w:val="14"/>
              </w:rPr>
            </w:pPr>
            <w:r>
              <w:rPr>
                <w:rFonts w:cs="Arial" w:ascii="Arial" w:hAnsi="Arial"/>
                <w:color w:val="000000"/>
                <w:sz w:val="14"/>
                <w:szCs w:val="14"/>
              </w:rPr>
              <w:t> </w:t>
            </w:r>
          </w:p>
        </w:tc>
        <w:tc>
          <w:tcPr>
            <w:tcW w:w="961" w:type="dxa"/>
            <w:tcBorders>
              <w:bottom w:val="single" w:sz="8" w:space="0" w:color="000000"/>
              <w:right w:val="single" w:sz="8" w:space="0" w:color="000000"/>
            </w:tcBorders>
            <w:shd w:color="000000" w:fill="FFFFFF" w:val="clear"/>
            <w:vAlign w:val="center"/>
          </w:tcPr>
          <w:p>
            <w:pPr>
              <w:pStyle w:val="Normal"/>
              <w:widowControl w:val="false"/>
              <w:overflowPunct w:val="false"/>
              <w:jc w:val="center"/>
              <w:textAlignment w:val="auto"/>
              <w:rPr>
                <w:rFonts w:ascii="Arial" w:hAnsi="Arial" w:cs="Arial"/>
                <w:color w:val="000000"/>
                <w:sz w:val="14"/>
                <w:szCs w:val="14"/>
              </w:rPr>
            </w:pPr>
            <w:r>
              <w:rPr>
                <w:rFonts w:cs="Arial" w:ascii="Arial" w:hAnsi="Arial"/>
                <w:color w:val="000000"/>
                <w:sz w:val="14"/>
                <w:szCs w:val="14"/>
              </w:rPr>
              <w:t> </w:t>
            </w:r>
          </w:p>
        </w:tc>
        <w:tc>
          <w:tcPr>
            <w:tcW w:w="960" w:type="dxa"/>
            <w:tcBorders>
              <w:bottom w:val="single" w:sz="8" w:space="0" w:color="000000"/>
              <w:right w:val="single" w:sz="8" w:space="0" w:color="000000"/>
            </w:tcBorders>
            <w:shd w:color="000000" w:fill="FFFFFF" w:val="clear"/>
            <w:vAlign w:val="center"/>
          </w:tcPr>
          <w:p>
            <w:pPr>
              <w:pStyle w:val="Normal"/>
              <w:widowControl w:val="false"/>
              <w:overflowPunct w:val="false"/>
              <w:jc w:val="center"/>
              <w:textAlignment w:val="auto"/>
              <w:rPr>
                <w:rFonts w:ascii="Arial" w:hAnsi="Arial" w:cs="Arial"/>
                <w:b/>
                <w:b/>
                <w:bCs/>
                <w:color w:val="000000"/>
                <w:sz w:val="14"/>
                <w:szCs w:val="14"/>
              </w:rPr>
            </w:pPr>
            <w:r>
              <w:rPr>
                <w:rFonts w:cs="Arial" w:ascii="Arial" w:hAnsi="Arial"/>
                <w:b/>
                <w:bCs/>
                <w:color w:val="000000"/>
                <w:sz w:val="14"/>
                <w:szCs w:val="14"/>
              </w:rPr>
              <w:t> </w:t>
            </w:r>
          </w:p>
        </w:tc>
        <w:tc>
          <w:tcPr>
            <w:tcW w:w="960" w:type="dxa"/>
            <w:tcBorders>
              <w:bottom w:val="single" w:sz="8" w:space="0" w:color="000000"/>
              <w:right w:val="single" w:sz="8" w:space="0" w:color="000000"/>
            </w:tcBorders>
            <w:vAlign w:val="center"/>
          </w:tcPr>
          <w:p>
            <w:pPr>
              <w:pStyle w:val="Normal"/>
              <w:widowControl w:val="false"/>
              <w:overflowPunct w:val="false"/>
              <w:jc w:val="right"/>
              <w:textAlignment w:val="auto"/>
              <w:rPr>
                <w:rFonts w:ascii="Arial" w:hAnsi="Arial" w:cs="Arial"/>
                <w:color w:val="000000"/>
                <w:sz w:val="14"/>
                <w:szCs w:val="14"/>
              </w:rPr>
            </w:pPr>
            <w:r>
              <w:rPr>
                <w:rFonts w:cs="Arial" w:ascii="Arial" w:hAnsi="Arial"/>
                <w:color w:val="000000"/>
                <w:sz w:val="14"/>
                <w:szCs w:val="14"/>
              </w:rPr>
              <w:t>kos</w:t>
            </w:r>
          </w:p>
        </w:tc>
        <w:tc>
          <w:tcPr>
            <w:tcW w:w="1240" w:type="dxa"/>
            <w:tcBorders>
              <w:bottom w:val="single" w:sz="8" w:space="0" w:color="000000"/>
              <w:right w:val="single" w:sz="8" w:space="0" w:color="000000"/>
            </w:tcBorders>
            <w:vAlign w:val="center"/>
          </w:tcPr>
          <w:p>
            <w:pPr>
              <w:pStyle w:val="Normal"/>
              <w:widowControl w:val="false"/>
              <w:overflowPunct w:val="false"/>
              <w:jc w:val="center"/>
              <w:textAlignment w:val="auto"/>
              <w:rPr>
                <w:rFonts w:ascii="Arial" w:hAnsi="Arial" w:cs="Arial"/>
                <w:color w:val="000000"/>
                <w:sz w:val="14"/>
                <w:szCs w:val="14"/>
              </w:rPr>
            </w:pPr>
            <w:r>
              <w:rPr>
                <w:rFonts w:cs="Arial" w:ascii="Arial" w:hAnsi="Arial"/>
                <w:color w:val="000000"/>
                <w:sz w:val="14"/>
                <w:szCs w:val="14"/>
              </w:rPr>
              <w:t> </w:t>
            </w:r>
          </w:p>
        </w:tc>
        <w:tc>
          <w:tcPr>
            <w:tcW w:w="1579" w:type="dxa"/>
            <w:tcBorders>
              <w:bottom w:val="single" w:sz="8" w:space="0" w:color="000000"/>
              <w:right w:val="single" w:sz="8" w:space="0" w:color="000000"/>
            </w:tcBorders>
            <w:vAlign w:val="center"/>
          </w:tcPr>
          <w:p>
            <w:pPr>
              <w:pStyle w:val="Normal"/>
              <w:widowControl w:val="false"/>
              <w:overflowPunct w:val="false"/>
              <w:jc w:val="center"/>
              <w:textAlignment w:val="auto"/>
              <w:rPr>
                <w:rFonts w:ascii="Arial" w:hAnsi="Arial" w:cs="Arial"/>
                <w:color w:val="000000"/>
                <w:sz w:val="14"/>
                <w:szCs w:val="14"/>
              </w:rPr>
            </w:pPr>
            <w:r>
              <w:rPr>
                <w:rFonts w:cs="Arial" w:ascii="Arial" w:hAnsi="Arial"/>
                <w:color w:val="000000"/>
                <w:sz w:val="14"/>
                <w:szCs w:val="14"/>
              </w:rPr>
              <w:t> </w:t>
            </w:r>
          </w:p>
        </w:tc>
        <w:tc>
          <w:tcPr>
            <w:tcW w:w="1304" w:type="dxa"/>
            <w:tcBorders>
              <w:bottom w:val="single" w:sz="8" w:space="0" w:color="000000"/>
              <w:right w:val="single" w:sz="8" w:space="0" w:color="000000"/>
            </w:tcBorders>
            <w:vAlign w:val="center"/>
          </w:tcPr>
          <w:p>
            <w:pPr>
              <w:pStyle w:val="Normal"/>
              <w:widowControl w:val="false"/>
              <w:overflowPunct w:val="false"/>
              <w:jc w:val="right"/>
              <w:textAlignment w:val="auto"/>
              <w:rPr>
                <w:rFonts w:ascii="Arial" w:hAnsi="Arial" w:cs="Arial"/>
                <w:color w:val="000000"/>
                <w:sz w:val="14"/>
                <w:szCs w:val="14"/>
              </w:rPr>
            </w:pPr>
            <w:r>
              <w:rPr>
                <w:rFonts w:cs="Arial" w:ascii="Arial" w:hAnsi="Arial"/>
                <w:color w:val="000000"/>
                <w:sz w:val="14"/>
                <w:szCs w:val="14"/>
              </w:rPr>
              <w:t>€</w:t>
            </w:r>
          </w:p>
        </w:tc>
        <w:tc>
          <w:tcPr>
            <w:tcW w:w="1418" w:type="dxa"/>
            <w:tcBorders>
              <w:bottom w:val="single" w:sz="8" w:space="0" w:color="000000"/>
              <w:right w:val="single" w:sz="8" w:space="0" w:color="000000"/>
            </w:tcBorders>
            <w:vAlign w:val="center"/>
          </w:tcPr>
          <w:p>
            <w:pPr>
              <w:pStyle w:val="Normal"/>
              <w:widowControl w:val="false"/>
              <w:overflowPunct w:val="false"/>
              <w:jc w:val="right"/>
              <w:textAlignment w:val="auto"/>
              <w:rPr>
                <w:rFonts w:ascii="Arial" w:hAnsi="Arial" w:cs="Arial"/>
                <w:color w:val="000000"/>
                <w:sz w:val="14"/>
                <w:szCs w:val="14"/>
              </w:rPr>
            </w:pPr>
            <w:r>
              <w:rPr>
                <w:rFonts w:cs="Arial" w:ascii="Arial" w:hAnsi="Arial"/>
                <w:color w:val="000000"/>
                <w:sz w:val="14"/>
                <w:szCs w:val="14"/>
              </w:rPr>
              <w:t>€</w:t>
            </w:r>
          </w:p>
        </w:tc>
      </w:tr>
      <w:tr>
        <w:trPr>
          <w:trHeight w:val="375" w:hRule="atLeast"/>
          <w:cantSplit w:val="true"/>
        </w:trPr>
        <w:tc>
          <w:tcPr>
            <w:tcW w:w="960" w:type="dxa"/>
            <w:tcBorders>
              <w:left w:val="single" w:sz="8" w:space="0" w:color="000000"/>
              <w:bottom w:val="single" w:sz="8" w:space="0" w:color="000000"/>
              <w:right w:val="single" w:sz="8" w:space="0" w:color="000000"/>
            </w:tcBorders>
            <w:vAlign w:val="center"/>
          </w:tcPr>
          <w:p>
            <w:pPr>
              <w:pStyle w:val="Normal"/>
              <w:widowControl w:val="false"/>
              <w:overflowPunct w:val="false"/>
              <w:jc w:val="center"/>
              <w:textAlignment w:val="auto"/>
              <w:rPr>
                <w:rFonts w:ascii="Arial" w:hAnsi="Arial" w:cs="Arial"/>
                <w:color w:val="000000"/>
                <w:sz w:val="14"/>
                <w:szCs w:val="14"/>
              </w:rPr>
            </w:pPr>
            <w:r>
              <w:rPr>
                <w:rFonts w:cs="Arial" w:ascii="Arial" w:hAnsi="Arial"/>
                <w:color w:val="000000"/>
                <w:sz w:val="14"/>
                <w:szCs w:val="14"/>
              </w:rPr>
              <w:t> </w:t>
            </w:r>
          </w:p>
        </w:tc>
        <w:tc>
          <w:tcPr>
            <w:tcW w:w="1239" w:type="dxa"/>
            <w:tcBorders>
              <w:bottom w:val="single" w:sz="8" w:space="0" w:color="000000"/>
              <w:right w:val="single" w:sz="8" w:space="0" w:color="000000"/>
            </w:tcBorders>
            <w:vAlign w:val="center"/>
          </w:tcPr>
          <w:p>
            <w:pPr>
              <w:pStyle w:val="Normal"/>
              <w:widowControl w:val="false"/>
              <w:overflowPunct w:val="false"/>
              <w:jc w:val="center"/>
              <w:textAlignment w:val="auto"/>
              <w:rPr>
                <w:rFonts w:ascii="Arial" w:hAnsi="Arial" w:cs="Arial"/>
                <w:color w:val="000000"/>
                <w:sz w:val="14"/>
                <w:szCs w:val="14"/>
              </w:rPr>
            </w:pPr>
            <w:r>
              <w:rPr>
                <w:rFonts w:cs="Arial" w:ascii="Arial" w:hAnsi="Arial"/>
                <w:color w:val="000000"/>
                <w:sz w:val="14"/>
                <w:szCs w:val="14"/>
              </w:rPr>
              <w:t> </w:t>
            </w:r>
          </w:p>
        </w:tc>
        <w:tc>
          <w:tcPr>
            <w:tcW w:w="961" w:type="dxa"/>
            <w:tcBorders>
              <w:bottom w:val="single" w:sz="8" w:space="0" w:color="000000"/>
              <w:right w:val="single" w:sz="8" w:space="0" w:color="000000"/>
            </w:tcBorders>
            <w:shd w:color="000000" w:fill="FFFFFF" w:val="clear"/>
            <w:vAlign w:val="center"/>
          </w:tcPr>
          <w:p>
            <w:pPr>
              <w:pStyle w:val="Normal"/>
              <w:widowControl w:val="false"/>
              <w:overflowPunct w:val="false"/>
              <w:jc w:val="center"/>
              <w:textAlignment w:val="auto"/>
              <w:rPr>
                <w:rFonts w:ascii="Arial" w:hAnsi="Arial" w:cs="Arial"/>
                <w:color w:val="000000"/>
                <w:sz w:val="14"/>
                <w:szCs w:val="14"/>
              </w:rPr>
            </w:pPr>
            <w:r>
              <w:rPr>
                <w:rFonts w:cs="Arial" w:ascii="Arial" w:hAnsi="Arial"/>
                <w:color w:val="000000"/>
                <w:sz w:val="14"/>
                <w:szCs w:val="14"/>
              </w:rPr>
              <w:t> </w:t>
            </w:r>
          </w:p>
        </w:tc>
        <w:tc>
          <w:tcPr>
            <w:tcW w:w="960" w:type="dxa"/>
            <w:tcBorders>
              <w:bottom w:val="single" w:sz="8" w:space="0" w:color="000000"/>
              <w:right w:val="single" w:sz="8" w:space="0" w:color="000000"/>
            </w:tcBorders>
            <w:shd w:color="000000" w:fill="FFFFFF" w:val="clear"/>
            <w:vAlign w:val="center"/>
          </w:tcPr>
          <w:p>
            <w:pPr>
              <w:pStyle w:val="Normal"/>
              <w:widowControl w:val="false"/>
              <w:overflowPunct w:val="false"/>
              <w:jc w:val="center"/>
              <w:textAlignment w:val="auto"/>
              <w:rPr>
                <w:rFonts w:ascii="Arial" w:hAnsi="Arial" w:cs="Arial"/>
                <w:b/>
                <w:b/>
                <w:bCs/>
                <w:color w:val="000000"/>
                <w:sz w:val="14"/>
                <w:szCs w:val="14"/>
              </w:rPr>
            </w:pPr>
            <w:r>
              <w:rPr>
                <w:rFonts w:cs="Arial" w:ascii="Arial" w:hAnsi="Arial"/>
                <w:b/>
                <w:bCs/>
                <w:color w:val="000000"/>
                <w:sz w:val="14"/>
                <w:szCs w:val="14"/>
              </w:rPr>
              <w:t> </w:t>
            </w:r>
          </w:p>
        </w:tc>
        <w:tc>
          <w:tcPr>
            <w:tcW w:w="960" w:type="dxa"/>
            <w:tcBorders>
              <w:bottom w:val="single" w:sz="8" w:space="0" w:color="000000"/>
              <w:right w:val="single" w:sz="8" w:space="0" w:color="000000"/>
            </w:tcBorders>
            <w:vAlign w:val="center"/>
          </w:tcPr>
          <w:p>
            <w:pPr>
              <w:pStyle w:val="Normal"/>
              <w:widowControl w:val="false"/>
              <w:overflowPunct w:val="false"/>
              <w:jc w:val="right"/>
              <w:textAlignment w:val="auto"/>
              <w:rPr>
                <w:rFonts w:ascii="Arial" w:hAnsi="Arial" w:cs="Arial"/>
                <w:color w:val="000000"/>
                <w:sz w:val="14"/>
                <w:szCs w:val="14"/>
              </w:rPr>
            </w:pPr>
            <w:r>
              <w:rPr>
                <w:rFonts w:cs="Arial" w:ascii="Arial" w:hAnsi="Arial"/>
                <w:color w:val="000000"/>
                <w:sz w:val="14"/>
                <w:szCs w:val="14"/>
              </w:rPr>
              <w:t>kos</w:t>
            </w:r>
          </w:p>
        </w:tc>
        <w:tc>
          <w:tcPr>
            <w:tcW w:w="1240" w:type="dxa"/>
            <w:tcBorders>
              <w:bottom w:val="single" w:sz="8" w:space="0" w:color="000000"/>
              <w:right w:val="single" w:sz="8" w:space="0" w:color="000000"/>
            </w:tcBorders>
            <w:vAlign w:val="center"/>
          </w:tcPr>
          <w:p>
            <w:pPr>
              <w:pStyle w:val="Normal"/>
              <w:widowControl w:val="false"/>
              <w:overflowPunct w:val="false"/>
              <w:jc w:val="center"/>
              <w:textAlignment w:val="auto"/>
              <w:rPr>
                <w:rFonts w:ascii="Arial" w:hAnsi="Arial" w:cs="Arial"/>
                <w:color w:val="000000"/>
                <w:sz w:val="14"/>
                <w:szCs w:val="14"/>
              </w:rPr>
            </w:pPr>
            <w:r>
              <w:rPr>
                <w:rFonts w:cs="Arial" w:ascii="Arial" w:hAnsi="Arial"/>
                <w:color w:val="000000"/>
                <w:sz w:val="14"/>
                <w:szCs w:val="14"/>
              </w:rPr>
              <w:t> </w:t>
            </w:r>
          </w:p>
        </w:tc>
        <w:tc>
          <w:tcPr>
            <w:tcW w:w="1579" w:type="dxa"/>
            <w:tcBorders>
              <w:bottom w:val="single" w:sz="8" w:space="0" w:color="000000"/>
              <w:right w:val="single" w:sz="8" w:space="0" w:color="000000"/>
            </w:tcBorders>
            <w:vAlign w:val="center"/>
          </w:tcPr>
          <w:p>
            <w:pPr>
              <w:pStyle w:val="Normal"/>
              <w:widowControl w:val="false"/>
              <w:overflowPunct w:val="false"/>
              <w:jc w:val="center"/>
              <w:textAlignment w:val="auto"/>
              <w:rPr>
                <w:rFonts w:ascii="Arial" w:hAnsi="Arial" w:cs="Arial"/>
                <w:color w:val="000000"/>
                <w:sz w:val="14"/>
                <w:szCs w:val="14"/>
              </w:rPr>
            </w:pPr>
            <w:r>
              <w:rPr>
                <w:rFonts w:cs="Arial" w:ascii="Arial" w:hAnsi="Arial"/>
                <w:color w:val="000000"/>
                <w:sz w:val="14"/>
                <w:szCs w:val="14"/>
              </w:rPr>
              <w:t> </w:t>
            </w:r>
          </w:p>
        </w:tc>
        <w:tc>
          <w:tcPr>
            <w:tcW w:w="1304" w:type="dxa"/>
            <w:tcBorders>
              <w:bottom w:val="single" w:sz="8" w:space="0" w:color="000000"/>
              <w:right w:val="single" w:sz="8" w:space="0" w:color="000000"/>
            </w:tcBorders>
            <w:vAlign w:val="center"/>
          </w:tcPr>
          <w:p>
            <w:pPr>
              <w:pStyle w:val="Normal"/>
              <w:widowControl w:val="false"/>
              <w:overflowPunct w:val="false"/>
              <w:jc w:val="right"/>
              <w:textAlignment w:val="auto"/>
              <w:rPr>
                <w:rFonts w:ascii="Arial" w:hAnsi="Arial" w:cs="Arial"/>
                <w:color w:val="000000"/>
                <w:sz w:val="14"/>
                <w:szCs w:val="14"/>
              </w:rPr>
            </w:pPr>
            <w:r>
              <w:rPr>
                <w:rFonts w:cs="Arial" w:ascii="Arial" w:hAnsi="Arial"/>
                <w:color w:val="000000"/>
                <w:sz w:val="14"/>
                <w:szCs w:val="14"/>
              </w:rPr>
              <w:t>€</w:t>
            </w:r>
          </w:p>
        </w:tc>
        <w:tc>
          <w:tcPr>
            <w:tcW w:w="1418" w:type="dxa"/>
            <w:tcBorders>
              <w:bottom w:val="single" w:sz="8" w:space="0" w:color="000000"/>
              <w:right w:val="single" w:sz="8" w:space="0" w:color="000000"/>
            </w:tcBorders>
            <w:vAlign w:val="center"/>
          </w:tcPr>
          <w:p>
            <w:pPr>
              <w:pStyle w:val="Normal"/>
              <w:widowControl w:val="false"/>
              <w:overflowPunct w:val="false"/>
              <w:jc w:val="right"/>
              <w:textAlignment w:val="auto"/>
              <w:rPr>
                <w:rFonts w:ascii="Arial" w:hAnsi="Arial" w:cs="Arial"/>
                <w:color w:val="000000"/>
                <w:sz w:val="14"/>
                <w:szCs w:val="14"/>
              </w:rPr>
            </w:pPr>
            <w:r>
              <w:rPr>
                <w:rFonts w:cs="Arial" w:ascii="Arial" w:hAnsi="Arial"/>
                <w:color w:val="000000"/>
                <w:sz w:val="14"/>
                <w:szCs w:val="14"/>
              </w:rPr>
              <w:t>€</w:t>
            </w:r>
          </w:p>
        </w:tc>
      </w:tr>
    </w:tbl>
    <w:p>
      <w:pPr>
        <w:pStyle w:val="Normal"/>
        <w:tabs>
          <w:tab w:val="clear" w:pos="1304"/>
          <w:tab w:val="left" w:pos="9576" w:leader="none"/>
        </w:tabs>
        <w:rPr>
          <w:rFonts w:ascii="Arial" w:hAnsi="Arial" w:cs="Arial"/>
        </w:rPr>
      </w:pPr>
      <w:r>
        <w:rPr/>
      </w:r>
      <w:r>
        <w:rPr/>
        <w:fldChar w:fldCharType="end"/>
      </w:r>
      <w:r>
        <w:rPr/>
        <w:tab/>
      </w:r>
      <w:bookmarkStart w:id="4" w:name="_Hlk78277872"/>
      <w:r>
        <w:rPr>
          <w:rFonts w:cs="Arial" w:ascii="Arial" w:hAnsi="Arial"/>
          <w:i/>
          <w:iCs/>
          <w:sz w:val="16"/>
          <w:szCs w:val="16"/>
        </w:rPr>
        <w:t>Cene so brez DDV</w:t>
      </w:r>
      <w:bookmarkEnd w:id="4"/>
      <w:r>
        <w:rPr>
          <w:rFonts w:cs="Arial" w:ascii="Arial" w:hAnsi="Arial"/>
        </w:rPr>
        <w:tab/>
      </w:r>
    </w:p>
    <w:p>
      <w:pPr>
        <w:pStyle w:val="Normal"/>
        <w:rPr/>
      </w:pPr>
      <w:r>
        <w:rPr/>
      </w:r>
    </w:p>
    <w:tbl>
      <w:tblPr>
        <w:tblpPr w:bottomFromText="0" w:horzAnchor="margin" w:leftFromText="180" w:rightFromText="180" w:tblpX="0" w:tblpXSpec="center" w:tblpY="31" w:topFromText="0" w:vertAnchor="text"/>
        <w:tblW w:w="8566" w:type="dxa"/>
        <w:jc w:val="center"/>
        <w:tblInd w:w="0" w:type="dxa"/>
        <w:tblLayout w:type="fixed"/>
        <w:tblCellMar>
          <w:top w:w="0" w:type="dxa"/>
          <w:left w:w="70" w:type="dxa"/>
          <w:bottom w:w="0" w:type="dxa"/>
          <w:right w:w="70" w:type="dxa"/>
        </w:tblCellMar>
        <w:tblLook w:val="0000" w:noHBand="0" w:noVBand="0" w:firstColumn="0" w:lastRow="0" w:lastColumn="0" w:firstRow="0"/>
      </w:tblPr>
      <w:tblGrid>
        <w:gridCol w:w="2779"/>
        <w:gridCol w:w="2894"/>
        <w:gridCol w:w="2893"/>
      </w:tblGrid>
      <w:tr>
        <w:trPr>
          <w:trHeight w:val="308" w:hRule="atLeast"/>
          <w:cantSplit w:val="true"/>
        </w:trPr>
        <w:tc>
          <w:tcPr>
            <w:tcW w:w="27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Arial" w:hAnsi="Arial" w:cs="Arial"/>
                <w:sz w:val="14"/>
                <w:szCs w:val="14"/>
              </w:rPr>
            </w:pPr>
            <w:r>
              <w:rPr>
                <w:rFonts w:cs="Arial" w:ascii="Arial" w:hAnsi="Arial"/>
                <w:sz w:val="14"/>
                <w:szCs w:val="14"/>
              </w:rPr>
              <w:t>Pričetek opravljanja storitve</w:t>
            </w:r>
          </w:p>
        </w:tc>
        <w:tc>
          <w:tcPr>
            <w:tcW w:w="578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Arial" w:hAnsi="Arial" w:cs="Arial"/>
                <w:sz w:val="14"/>
                <w:szCs w:val="14"/>
              </w:rPr>
            </w:pPr>
            <w:r>
              <w:rPr>
                <w:rFonts w:cs="Arial" w:ascii="Arial" w:hAnsi="Arial"/>
                <w:sz w:val="14"/>
                <w:szCs w:val="14"/>
              </w:rPr>
            </w:r>
          </w:p>
        </w:tc>
      </w:tr>
      <w:tr>
        <w:trPr>
          <w:trHeight w:val="879" w:hRule="atLeast"/>
          <w:cantSplit w:val="true"/>
        </w:trPr>
        <w:tc>
          <w:tcPr>
            <w:tcW w:w="277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Arial" w:hAnsi="Arial" w:cs="Arial"/>
                <w:sz w:val="14"/>
                <w:szCs w:val="14"/>
              </w:rPr>
            </w:pPr>
            <w:r>
              <w:rPr>
                <w:rFonts w:cs="Arial" w:ascii="Arial" w:hAnsi="Arial"/>
                <w:sz w:val="14"/>
                <w:szCs w:val="14"/>
              </w:rPr>
              <w:t>Navodila za dostavo</w:t>
            </w:r>
          </w:p>
        </w:tc>
        <w:tc>
          <w:tcPr>
            <w:tcW w:w="5787"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cs="Arial"/>
                <w:color w:val="000000" w:themeColor="text1"/>
                <w:sz w:val="14"/>
                <w:szCs w:val="14"/>
              </w:rPr>
            </w:pPr>
            <w:r>
              <w:rPr>
                <w:rFonts w:cs="Arial" w:ascii="Arial" w:hAnsi="Arial"/>
                <w:color w:val="000000" w:themeColor="text1"/>
                <w:sz w:val="14"/>
                <w:szCs w:val="14"/>
              </w:rPr>
            </w:r>
          </w:p>
        </w:tc>
      </w:tr>
      <w:tr>
        <w:trPr>
          <w:trHeight w:val="308" w:hRule="atLeast"/>
          <w:cantSplit w:val="true"/>
        </w:trPr>
        <w:tc>
          <w:tcPr>
            <w:tcW w:w="277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Arial" w:hAnsi="Arial" w:cs="Arial"/>
                <w:sz w:val="14"/>
                <w:szCs w:val="14"/>
              </w:rPr>
            </w:pPr>
            <w:r>
              <w:rPr>
                <w:rFonts w:cs="Arial" w:ascii="Arial" w:hAnsi="Arial"/>
                <w:sz w:val="14"/>
                <w:szCs w:val="14"/>
              </w:rPr>
            </w:r>
          </w:p>
        </w:tc>
        <w:tc>
          <w:tcPr>
            <w:tcW w:w="578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Arial" w:hAnsi="Arial" w:cs="Arial"/>
                <w:sz w:val="14"/>
                <w:szCs w:val="14"/>
              </w:rPr>
            </w:pPr>
            <w:r>
              <w:rPr>
                <w:rFonts w:cs="Arial" w:ascii="Arial" w:hAnsi="Arial"/>
                <w:sz w:val="14"/>
                <w:szCs w:val="14"/>
              </w:rPr>
              <w:t>Delovni čas 10:00-23:00</w:t>
            </w:r>
          </w:p>
        </w:tc>
      </w:tr>
      <w:tr>
        <w:trPr>
          <w:trHeight w:val="308" w:hRule="atLeast"/>
          <w:cantSplit w:val="true"/>
        </w:trPr>
        <w:tc>
          <w:tcPr>
            <w:tcW w:w="277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Arial" w:hAnsi="Arial" w:cs="Arial"/>
                <w:sz w:val="14"/>
                <w:szCs w:val="14"/>
              </w:rPr>
            </w:pPr>
            <w:r>
              <w:rPr>
                <w:rFonts w:cs="Arial" w:ascii="Arial" w:hAnsi="Arial"/>
                <w:sz w:val="14"/>
                <w:szCs w:val="14"/>
              </w:rPr>
            </w:r>
          </w:p>
        </w:tc>
        <w:tc>
          <w:tcPr>
            <w:tcW w:w="28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Arial" w:hAnsi="Arial" w:cs="Arial"/>
                <w:sz w:val="14"/>
                <w:szCs w:val="14"/>
              </w:rPr>
            </w:pPr>
            <w:r>
              <w:rPr>
                <w:rFonts w:cs="Arial" w:ascii="Arial" w:hAnsi="Arial"/>
                <w:sz w:val="14"/>
                <w:szCs w:val="14"/>
              </w:rPr>
              <w:t xml:space="preserve">Koda </w:t>
            </w:r>
            <w:r>
              <w:fldChar w:fldCharType="begin">
                <w:ffData>
                  <w:name w:val="Teksti111"/>
                  <w:enabled/>
                  <w:calcOnExit w:val="0"/>
                  <w:textInput/>
                </w:ffData>
              </w:fldChar>
            </w:r>
            <w:r>
              <w:rPr>
                <w:sz w:val="14"/>
                <w:szCs w:val="14"/>
                <w:rFonts w:cs="Arial" w:ascii="Arial" w:hAnsi="Arial"/>
              </w:rPr>
              <w:instrText xml:space="preserve"> FORMTEXT </w:instrText>
            </w:r>
            <w:r>
              <w:rPr>
                <w:rFonts w:cs="Arial" w:ascii="Arial" w:hAnsi="Arial"/>
                <w:sz w:val="14"/>
                <w:szCs w:val="14"/>
              </w:rPr>
            </w:r>
            <w:r>
              <w:rPr>
                <w:sz w:val="14"/>
                <w:szCs w:val="14"/>
                <w:rFonts w:cs="Arial" w:ascii="Arial" w:hAnsi="Arial"/>
              </w:rPr>
              <w:fldChar w:fldCharType="separate"/>
            </w:r>
            <w:r>
              <w:rPr>
                <w:rFonts w:cs="Arial" w:ascii="Arial" w:hAnsi="Arial"/>
                <w:sz w:val="14"/>
                <w:szCs w:val="14"/>
              </w:rPr>
              <w:t>     </w:t>
            </w:r>
            <w:r>
              <w:rPr>
                <w:rFonts w:cs="Arial" w:ascii="Arial" w:hAnsi="Arial"/>
                <w:sz w:val="14"/>
                <w:szCs w:val="14"/>
              </w:rPr>
            </w:r>
            <w:r>
              <w:rPr>
                <w:sz w:val="14"/>
                <w:szCs w:val="14"/>
                <w:rFonts w:cs="Arial" w:ascii="Arial" w:hAnsi="Arial"/>
              </w:rPr>
              <w:fldChar w:fldCharType="end"/>
            </w:r>
          </w:p>
        </w:tc>
        <w:tc>
          <w:tcPr>
            <w:tcW w:w="28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Arial" w:hAnsi="Arial" w:cs="Arial"/>
                <w:sz w:val="14"/>
                <w:szCs w:val="14"/>
              </w:rPr>
            </w:pPr>
            <w:r>
              <w:rPr>
                <w:rFonts w:cs="Arial" w:ascii="Arial" w:hAnsi="Arial"/>
                <w:sz w:val="14"/>
                <w:szCs w:val="14"/>
              </w:rPr>
              <w:t xml:space="preserve">Ključ       </w:t>
            </w:r>
            <w:r>
              <w:fldChar w:fldCharType="begin">
                <w:ffData>
                  <w:name w:val=""/>
                  <w:enabled/>
                  <w:calcOnExit w:val="0"/>
                  <w:checkBox>
                    <w:sizeAuto/>
                  </w:checkBox>
                </w:ffData>
              </w:fldChar>
            </w:r>
            <w:r>
              <w:rPr>
                <w:sz w:val="14"/>
                <w:szCs w:val="14"/>
                <w:rFonts w:cs="Arial" w:ascii="Arial" w:hAnsi="Arial"/>
              </w:rPr>
              <w:instrText xml:space="preserve"> FORMCHECKBOX </w:instrText>
            </w:r>
            <w:r>
              <w:rPr>
                <w:sz w:val="14"/>
                <w:szCs w:val="14"/>
                <w:rFonts w:cs="Arial" w:ascii="Arial" w:hAnsi="Arial"/>
              </w:rPr>
              <w:fldChar w:fldCharType="separate"/>
            </w:r>
            <w:bookmarkStart w:id="5" w:name="__Fieldmark__2546_627644971"/>
            <w:bookmarkStart w:id="6" w:name="__Fieldmark__2546_627644971"/>
            <w:bookmarkEnd w:id="6"/>
            <w:r>
              <w:rPr>
                <w:rFonts w:cs="Arial" w:ascii="Arial" w:hAnsi="Arial"/>
                <w:sz w:val="14"/>
                <w:szCs w:val="14"/>
              </w:rPr>
            </w:r>
            <w:r>
              <w:rPr>
                <w:sz w:val="14"/>
                <w:szCs w:val="14"/>
                <w:rFonts w:cs="Arial" w:ascii="Arial" w:hAnsi="Arial"/>
              </w:rPr>
              <w:fldChar w:fldCharType="end"/>
            </w:r>
            <w:r>
              <w:rPr>
                <w:rFonts w:cs="Arial" w:ascii="Arial" w:hAnsi="Arial"/>
                <w:sz w:val="14"/>
                <w:szCs w:val="14"/>
              </w:rPr>
              <w:t xml:space="preserve"> da  </w:t>
            </w:r>
            <w:r>
              <w:fldChar w:fldCharType="begin">
                <w:ffData>
                  <w:name w:val=""/>
                  <w:enabled/>
                  <w:calcOnExit w:val="0"/>
                  <w:checkBox>
                    <w:sizeAuto/>
                  </w:checkBox>
                </w:ffData>
              </w:fldChar>
            </w:r>
            <w:r>
              <w:rPr>
                <w:sz w:val="14"/>
                <w:szCs w:val="14"/>
                <w:rFonts w:cs="Arial" w:ascii="Arial" w:hAnsi="Arial"/>
              </w:rPr>
              <w:instrText xml:space="preserve"> FORMCHECKBOX </w:instrText>
            </w:r>
            <w:r>
              <w:rPr>
                <w:sz w:val="14"/>
                <w:szCs w:val="14"/>
                <w:rFonts w:cs="Arial" w:ascii="Arial" w:hAnsi="Arial"/>
              </w:rPr>
              <w:fldChar w:fldCharType="separate"/>
            </w:r>
            <w:bookmarkStart w:id="7" w:name="__Fieldmark__2552_627644971"/>
            <w:bookmarkStart w:id="8" w:name="__Fieldmark__2552_627644971"/>
            <w:bookmarkEnd w:id="8"/>
            <w:r>
              <w:rPr>
                <w:rFonts w:cs="Arial" w:ascii="Arial" w:hAnsi="Arial"/>
                <w:sz w:val="14"/>
                <w:szCs w:val="14"/>
              </w:rPr>
            </w:r>
            <w:r>
              <w:rPr>
                <w:sz w:val="14"/>
                <w:szCs w:val="14"/>
                <w:rFonts w:cs="Arial" w:ascii="Arial" w:hAnsi="Arial"/>
              </w:rPr>
              <w:fldChar w:fldCharType="end"/>
            </w:r>
            <w:r>
              <w:rPr>
                <w:rFonts w:cs="Arial" w:ascii="Arial" w:hAnsi="Arial"/>
                <w:sz w:val="14"/>
                <w:szCs w:val="14"/>
              </w:rPr>
              <w:t xml:space="preserve"> ne</w:t>
            </w:r>
          </w:p>
        </w:tc>
      </w:tr>
      <w:tr>
        <w:trPr>
          <w:trHeight w:val="1057" w:hRule="atLeast"/>
          <w:cantSplit w:val="true"/>
        </w:trPr>
        <w:tc>
          <w:tcPr>
            <w:tcW w:w="27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Arial" w:hAnsi="Arial" w:cs="Arial"/>
                <w:sz w:val="14"/>
                <w:szCs w:val="14"/>
              </w:rPr>
            </w:pPr>
            <w:r>
              <w:rPr>
                <w:rFonts w:cs="Arial" w:ascii="Arial" w:hAnsi="Arial"/>
                <w:sz w:val="14"/>
                <w:szCs w:val="14"/>
              </w:rPr>
              <w:t>Dodatne informacije</w:t>
            </w:r>
          </w:p>
        </w:tc>
        <w:tc>
          <w:tcPr>
            <w:tcW w:w="578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Arial" w:hAnsi="Arial" w:cs="Arial"/>
                <w:color w:val="FF0000"/>
                <w:sz w:val="14"/>
                <w:szCs w:val="14"/>
              </w:rPr>
            </w:pPr>
            <w:r>
              <w:rPr>
                <w:rFonts w:cs="Arial" w:ascii="Arial" w:hAnsi="Arial"/>
                <w:color w:val="FF0000"/>
                <w:sz w:val="14"/>
                <w:szCs w:val="14"/>
              </w:rPr>
            </w:r>
          </w:p>
          <w:p>
            <w:pPr>
              <w:pStyle w:val="Normal"/>
              <w:widowControl w:val="false"/>
              <w:rPr>
                <w:rFonts w:ascii="Arial" w:hAnsi="Arial" w:cs="Arial"/>
                <w:color w:val="FF0000"/>
                <w:sz w:val="14"/>
                <w:szCs w:val="14"/>
              </w:rPr>
            </w:pPr>
            <w:r>
              <w:rPr>
                <w:rFonts w:cs="Arial" w:ascii="Arial" w:hAnsi="Arial"/>
                <w:color w:val="FF0000"/>
                <w:sz w:val="14"/>
                <w:szCs w:val="14"/>
              </w:rPr>
            </w:r>
          </w:p>
          <w:p>
            <w:pPr>
              <w:pStyle w:val="Normal"/>
              <w:widowControl w:val="false"/>
              <w:rPr>
                <w:rFonts w:ascii="Arial" w:hAnsi="Arial" w:cs="Arial"/>
                <w:color w:val="FF0000"/>
                <w:sz w:val="14"/>
                <w:szCs w:val="14"/>
              </w:rPr>
            </w:pPr>
            <w:r>
              <w:rPr>
                <w:rFonts w:cs="Arial" w:ascii="Arial" w:hAnsi="Arial"/>
                <w:color w:val="FF0000"/>
                <w:sz w:val="14"/>
                <w:szCs w:val="14"/>
              </w:rPr>
            </w:r>
          </w:p>
        </w:tc>
      </w:tr>
    </w:tbl>
    <w:p>
      <w:pPr>
        <w:pStyle w:val="Normal"/>
        <w:overflowPunct w:val="false"/>
        <w:textAlignment w:val="auto"/>
        <w:rPr/>
      </w:pPr>
      <w:r>
        <w:rPr/>
        <w:br/>
      </w:r>
    </w:p>
    <w:p>
      <w:pPr>
        <w:pStyle w:val="Normal"/>
        <w:rPr/>
      </w:pPr>
      <w:r>
        <w:rPr/>
      </w:r>
    </w:p>
    <w:p>
      <w:pPr>
        <w:pStyle w:val="Normal"/>
        <w:rPr/>
      </w:pPr>
      <w:r>
        <w:rPr/>
      </w:r>
      <w:r>
        <w:br w:type="page"/>
      </w:r>
    </w:p>
    <w:tbl>
      <w:tblPr>
        <w:tblpPr w:bottomFromText="0" w:horzAnchor="margin" w:leftFromText="180" w:rightFromText="180" w:tblpX="0" w:tblpXSpec="center" w:tblpY="1765" w:topFromText="0" w:vertAnchor="page"/>
        <w:tblW w:w="10060" w:type="dxa"/>
        <w:jc w:val="center"/>
        <w:tblInd w:w="0" w:type="dxa"/>
        <w:tblLayout w:type="fixed"/>
        <w:tblCellMar>
          <w:top w:w="0" w:type="dxa"/>
          <w:left w:w="70" w:type="dxa"/>
          <w:bottom w:w="0" w:type="dxa"/>
          <w:right w:w="28" w:type="dxa"/>
        </w:tblCellMar>
        <w:tblLook w:val="0000" w:noHBand="0" w:noVBand="0" w:firstColumn="0" w:lastRow="0" w:lastColumn="0" w:firstRow="0"/>
      </w:tblPr>
      <w:tblGrid>
        <w:gridCol w:w="1977"/>
        <w:gridCol w:w="2271"/>
        <w:gridCol w:w="1558"/>
        <w:gridCol w:w="4254"/>
      </w:tblGrid>
      <w:tr>
        <w:trPr>
          <w:trHeight w:val="405" w:hRule="atLeast"/>
        </w:trPr>
        <w:tc>
          <w:tcPr>
            <w:tcW w:w="1977" w:type="dxa"/>
            <w:tcBorders>
              <w:top w:val="single" w:sz="4" w:space="0" w:color="000000"/>
              <w:left w:val="single" w:sz="4" w:space="0" w:color="000000"/>
              <w:bottom w:val="single" w:sz="4" w:space="0" w:color="000000"/>
              <w:right w:val="single" w:sz="4" w:space="0" w:color="000000"/>
            </w:tcBorders>
          </w:tcPr>
          <w:p>
            <w:pPr>
              <w:pStyle w:val="P68B1DB1Normal2"/>
              <w:pageBreakBefore/>
              <w:widowControl w:val="false"/>
              <w:spacing w:before="40" w:after="40"/>
              <w:ind w:right="-70" w:hanging="0"/>
              <w:rPr>
                <w:highlight w:val="none"/>
              </w:rPr>
            </w:pPr>
            <w:r>
              <w:rPr>
                <w:highlight w:val="none"/>
              </w:rPr>
              <w:t>Pogostost menjave, dostava</w:t>
            </w:r>
          </w:p>
        </w:tc>
        <w:tc>
          <w:tcPr>
            <w:tcW w:w="8083" w:type="dxa"/>
            <w:gridSpan w:val="3"/>
            <w:tcBorders>
              <w:top w:val="single" w:sz="4" w:space="0" w:color="000000"/>
              <w:left w:val="single" w:sz="4" w:space="0" w:color="000000"/>
              <w:bottom w:val="single" w:sz="4" w:space="0" w:color="000000"/>
              <w:right w:val="single" w:sz="4" w:space="0" w:color="000000"/>
            </w:tcBorders>
            <w:tcMar>
              <w:right w:w="70" w:type="dxa"/>
            </w:tcMar>
          </w:tcPr>
          <w:p>
            <w:pPr>
              <w:pStyle w:val="P68B1DB1Normal2"/>
              <w:widowControl w:val="false"/>
              <w:suppressAutoHyphens w:val="true"/>
              <w:spacing w:before="40" w:after="40"/>
              <w:ind w:firstLine="4"/>
              <w:rPr>
                <w:highlight w:val="none"/>
              </w:rPr>
            </w:pPr>
            <w:r>
              <w:rPr>
                <w:highlight w:val="none"/>
              </w:rPr>
              <w:t xml:space="preserve">Lindström se zaveže, da bo dostavil, menjal in čistil predpražnike, kot je dogovorjeno v tej pogodbi ali pozneje dogovorjeno med pogodbenicama. Dostave se opravijo brez ločene dobavnice. </w:t>
            </w:r>
          </w:p>
          <w:p>
            <w:pPr>
              <w:pStyle w:val="P68B1DB1Normal2"/>
              <w:widowControl w:val="false"/>
              <w:suppressAutoHyphens w:val="true"/>
              <w:spacing w:before="40" w:after="40"/>
              <w:ind w:firstLine="4"/>
              <w:rPr>
                <w:highlight w:val="none"/>
              </w:rPr>
            </w:pPr>
            <w:r>
              <w:rPr>
                <w:highlight w:val="none"/>
              </w:rPr>
              <w:t>Če je Lindstrom predpražnik založen z drugimi predmeti (težjimi) in jih voznik ne more zamenjati, se cena ne spreminja.</w:t>
            </w:r>
          </w:p>
        </w:tc>
      </w:tr>
      <w:tr>
        <w:trPr>
          <w:trHeight w:val="739" w:hRule="atLeast"/>
        </w:trPr>
        <w:tc>
          <w:tcPr>
            <w:tcW w:w="1977" w:type="dxa"/>
            <w:tcBorders>
              <w:top w:val="single" w:sz="4" w:space="0" w:color="000000"/>
              <w:left w:val="single" w:sz="4" w:space="0" w:color="000000"/>
              <w:bottom w:val="single" w:sz="4" w:space="0" w:color="000000"/>
              <w:right w:val="single" w:sz="4" w:space="0" w:color="000000"/>
            </w:tcBorders>
            <w:tcMar>
              <w:right w:w="70" w:type="dxa"/>
            </w:tcMar>
          </w:tcPr>
          <w:p>
            <w:pPr>
              <w:pStyle w:val="P68B1DB1Normal2"/>
              <w:widowControl w:val="false"/>
              <w:spacing w:before="40" w:after="40"/>
              <w:rPr>
                <w:highlight w:val="none"/>
              </w:rPr>
            </w:pPr>
            <w:r>
              <w:rPr>
                <w:highlight w:val="none"/>
              </w:rPr>
              <w:t>Spremembe v storitvi</w:t>
            </w:r>
          </w:p>
        </w:tc>
        <w:tc>
          <w:tcPr>
            <w:tcW w:w="8083" w:type="dxa"/>
            <w:gridSpan w:val="3"/>
            <w:tcBorders>
              <w:top w:val="single" w:sz="4" w:space="0" w:color="000000"/>
              <w:left w:val="single" w:sz="4" w:space="0" w:color="000000"/>
              <w:bottom w:val="single" w:sz="4" w:space="0" w:color="000000"/>
              <w:right w:val="single" w:sz="4" w:space="0" w:color="000000"/>
            </w:tcBorders>
            <w:tcMar>
              <w:right w:w="70" w:type="dxa"/>
            </w:tcMar>
            <w:vAlign w:val="center"/>
          </w:tcPr>
          <w:p>
            <w:pPr>
              <w:pStyle w:val="P68B1DB1Normal2"/>
              <w:widowControl w:val="false"/>
              <w:suppressAutoHyphens w:val="true"/>
              <w:spacing w:before="40" w:after="40"/>
              <w:rPr>
                <w:highlight w:val="none"/>
              </w:rPr>
            </w:pPr>
            <w:r>
              <w:rPr>
                <w:highlight w:val="none"/>
              </w:rPr>
              <w:t>Količine, velikosti ali modele predpražnikov lahko spremenite na zahtevo. Za spremembe prilagojenih predpražnikov (po meri) veljajo pravila o povračilu.</w:t>
            </w:r>
          </w:p>
          <w:p>
            <w:pPr>
              <w:pStyle w:val="P68B1DB1Normal2"/>
              <w:widowControl w:val="false"/>
              <w:suppressAutoHyphens w:val="true"/>
              <w:spacing w:before="40" w:after="40"/>
              <w:rPr/>
            </w:pPr>
            <w:r>
              <w:rPr>
                <w:highlight w:val="none"/>
              </w:rPr>
              <w:t xml:space="preserve">Število uporabljenih predpražnikov lahko spremenite tako, da jih vrnete oz. nas predhodno o tem obvestite na mail pisarna.slovenia@lindstromgroup.com ter navedete, katere predpražnike je treba odstraniti iz uporabe. Zmanjšanje števila predpražnikov bo upoštevano pri izdajanju računov, ki se začne od tedna po vrnitvi. Spremembe nad 50 % začetnega zneska morajo biti dogovorjene posebej. </w:t>
            </w:r>
          </w:p>
        </w:tc>
      </w:tr>
      <w:tr>
        <w:trPr>
          <w:trHeight w:val="405" w:hRule="atLeast"/>
        </w:trPr>
        <w:tc>
          <w:tcPr>
            <w:tcW w:w="1977" w:type="dxa"/>
            <w:tcBorders>
              <w:top w:val="single" w:sz="4" w:space="0" w:color="000000"/>
              <w:left w:val="single" w:sz="4" w:space="0" w:color="000000"/>
              <w:bottom w:val="single" w:sz="4" w:space="0" w:color="000000"/>
              <w:right w:val="single" w:sz="4" w:space="0" w:color="000000"/>
            </w:tcBorders>
            <w:tcMar>
              <w:right w:w="70" w:type="dxa"/>
            </w:tcMar>
          </w:tcPr>
          <w:p>
            <w:pPr>
              <w:pStyle w:val="P68B1DB1Normal2"/>
              <w:widowControl w:val="false"/>
              <w:spacing w:before="40" w:after="40"/>
              <w:rPr>
                <w:highlight w:val="none"/>
              </w:rPr>
            </w:pPr>
            <w:r>
              <w:rPr>
                <w:highlight w:val="none"/>
              </w:rPr>
              <w:t>Lastništvo in obveznosti</w:t>
            </w:r>
          </w:p>
        </w:tc>
        <w:tc>
          <w:tcPr>
            <w:tcW w:w="8083" w:type="dxa"/>
            <w:gridSpan w:val="3"/>
            <w:tcBorders>
              <w:top w:val="single" w:sz="4" w:space="0" w:color="000000"/>
              <w:left w:val="single" w:sz="4" w:space="0" w:color="000000"/>
              <w:bottom w:val="single" w:sz="4" w:space="0" w:color="000000"/>
              <w:right w:val="single" w:sz="4" w:space="0" w:color="000000"/>
            </w:tcBorders>
            <w:tcMar>
              <w:right w:w="70" w:type="dxa"/>
            </w:tcMar>
          </w:tcPr>
          <w:p>
            <w:pPr>
              <w:pStyle w:val="P68B1DB1BodyText3"/>
              <w:widowControl w:val="false"/>
              <w:spacing w:before="40" w:after="40"/>
              <w:ind w:right="-52" w:hanging="0"/>
              <w:rPr>
                <w:highlight w:val="none"/>
              </w:rPr>
            </w:pPr>
            <w:r>
              <w:rPr>
                <w:highlight w:val="none"/>
              </w:rPr>
              <w:t>Lindström je lastnik vseh izdelkov za najem, če ni drugače dogovorjeno.</w:t>
            </w:r>
          </w:p>
          <w:p>
            <w:pPr>
              <w:pStyle w:val="P68B1DB1BodyText3"/>
              <w:widowControl w:val="false"/>
              <w:spacing w:before="40" w:after="40"/>
              <w:ind w:right="-52" w:hanging="0"/>
              <w:rPr>
                <w:highlight w:val="none"/>
              </w:rPr>
            </w:pPr>
            <w:r>
              <w:rPr>
                <w:highlight w:val="none"/>
              </w:rPr>
              <w:t>Lindström kupi tudi '</w:t>
            </w:r>
            <w:r>
              <w:rPr>
                <w:b/>
                <w:bCs/>
                <w:highlight w:val="none"/>
              </w:rPr>
              <w:t>kupcu prilagojene izdelke'</w:t>
            </w:r>
            <w:r>
              <w:rPr>
                <w:highlight w:val="none"/>
              </w:rPr>
              <w:t>, označene na pogodbi in dodatne nadomestne predpražnike, potrebne za ohranitev dogovorjenih pogojev storitve.</w:t>
            </w:r>
          </w:p>
          <w:p>
            <w:pPr>
              <w:pStyle w:val="P68B1DB1BodyText3"/>
              <w:widowControl w:val="false"/>
              <w:spacing w:before="40" w:after="40"/>
              <w:ind w:right="-52" w:hanging="0"/>
              <w:rPr>
                <w:highlight w:val="none"/>
              </w:rPr>
            </w:pPr>
            <w:r>
              <w:rPr>
                <w:highlight w:val="none"/>
              </w:rPr>
              <w:t xml:space="preserve">Stranka je odgovorna za pridobitev dovoljenja za uporabo kakršnih koli avtorsko zaščitenih dizajnov ali dizajnov različnih blagovnih znamk, ki se uporabljajo na predpražniku. Ustvarjeni dizajn ostane v lasti Lindströma. Naročnik nima pravice uporabiti izdelka s tretjo osebo brez pisnega soglasja podjetja Lindström. </w:t>
            </w:r>
          </w:p>
        </w:tc>
      </w:tr>
      <w:tr>
        <w:trPr>
          <w:trHeight w:val="405" w:hRule="atLeast"/>
        </w:trPr>
        <w:tc>
          <w:tcPr>
            <w:tcW w:w="1977" w:type="dxa"/>
            <w:tcBorders>
              <w:top w:val="single" w:sz="4" w:space="0" w:color="000000"/>
              <w:left w:val="single" w:sz="4" w:space="0" w:color="000000"/>
              <w:bottom w:val="single" w:sz="4" w:space="0" w:color="000000"/>
              <w:right w:val="single" w:sz="4" w:space="0" w:color="000000"/>
            </w:tcBorders>
            <w:tcMar>
              <w:right w:w="70" w:type="dxa"/>
            </w:tcMar>
          </w:tcPr>
          <w:p>
            <w:pPr>
              <w:pStyle w:val="P68B1DB1Normal2"/>
              <w:widowControl w:val="false"/>
              <w:spacing w:before="40" w:after="40"/>
              <w:rPr>
                <w:highlight w:val="none"/>
              </w:rPr>
            </w:pPr>
            <w:r>
              <w:rPr>
                <w:highlight w:val="none"/>
              </w:rPr>
              <w:t>Povračilo stroškov</w:t>
            </w:r>
          </w:p>
        </w:tc>
        <w:tc>
          <w:tcPr>
            <w:tcW w:w="8083" w:type="dxa"/>
            <w:gridSpan w:val="3"/>
            <w:tcBorders>
              <w:top w:val="single" w:sz="4" w:space="0" w:color="000000"/>
              <w:left w:val="single" w:sz="4" w:space="0" w:color="000000"/>
              <w:bottom w:val="single" w:sz="4" w:space="0" w:color="000000"/>
              <w:right w:val="single" w:sz="4" w:space="0" w:color="000000"/>
            </w:tcBorders>
            <w:tcMar>
              <w:right w:w="70" w:type="dxa"/>
            </w:tcMar>
          </w:tcPr>
          <w:p>
            <w:pPr>
              <w:pStyle w:val="P68B1DB1BodyText3"/>
              <w:widowControl w:val="false"/>
              <w:spacing w:before="40" w:after="40"/>
              <w:ind w:right="-52" w:hanging="0"/>
              <w:rPr>
                <w:highlight w:val="none"/>
              </w:rPr>
            </w:pPr>
            <w:r>
              <w:rPr>
                <w:highlight w:val="none"/>
              </w:rPr>
              <w:t xml:space="preserve">Kupec je odgovoren za izdelke, ki jih ima in je dolžan plačati povračilo stroškov v naslednjih primerih: </w:t>
            </w:r>
          </w:p>
          <w:p>
            <w:pPr>
              <w:pStyle w:val="P68B1DB1BodyText3"/>
              <w:widowControl w:val="false"/>
              <w:numPr>
                <w:ilvl w:val="0"/>
                <w:numId w:val="7"/>
              </w:numPr>
              <w:ind w:left="714" w:right="-51" w:hanging="357"/>
              <w:rPr>
                <w:highlight w:val="none"/>
              </w:rPr>
            </w:pPr>
            <w:r>
              <w:rPr>
                <w:highlight w:val="none"/>
              </w:rPr>
              <w:t xml:space="preserve">Izdelek je izgubljen, poškodovan ali uničen. </w:t>
            </w:r>
          </w:p>
          <w:p>
            <w:pPr>
              <w:pStyle w:val="P68B1DB1BodyText3"/>
              <w:widowControl w:val="false"/>
              <w:numPr>
                <w:ilvl w:val="0"/>
                <w:numId w:val="7"/>
              </w:numPr>
              <w:ind w:left="714" w:right="-51" w:hanging="357"/>
              <w:rPr>
                <w:highlight w:val="none"/>
              </w:rPr>
            </w:pPr>
            <w:r>
              <w:rPr>
                <w:highlight w:val="none"/>
              </w:rPr>
              <w:t>Izdelek se izloči iz uporabe zaradi izjemno hitre in neprimerne obrabe.</w:t>
            </w:r>
          </w:p>
          <w:p>
            <w:pPr>
              <w:pStyle w:val="P68B1DB1BodyText3"/>
              <w:widowControl w:val="false"/>
              <w:numPr>
                <w:ilvl w:val="0"/>
                <w:numId w:val="7"/>
              </w:numPr>
              <w:ind w:left="714" w:right="-51" w:hanging="357"/>
              <w:rPr>
                <w:highlight w:val="none"/>
              </w:rPr>
            </w:pPr>
            <w:r>
              <w:rPr>
                <w:highlight w:val="none"/>
              </w:rPr>
              <w:t>Vrnjeni izdelki, ki niso primerni za nadaljnjo uporabo.</w:t>
            </w:r>
          </w:p>
          <w:p>
            <w:pPr>
              <w:pStyle w:val="P68B1DB1BodyText3"/>
              <w:widowControl w:val="false"/>
              <w:numPr>
                <w:ilvl w:val="0"/>
                <w:numId w:val="7"/>
              </w:numPr>
              <w:ind w:left="714" w:right="-51" w:hanging="357"/>
              <w:rPr>
                <w:highlight w:val="none"/>
              </w:rPr>
            </w:pPr>
            <w:r>
              <w:rPr>
                <w:highlight w:val="none"/>
              </w:rPr>
              <w:t xml:space="preserve">Za vse </w:t>
            </w:r>
            <w:r>
              <w:rPr>
                <w:b/>
                <w:bCs/>
                <w:highlight w:val="none"/>
              </w:rPr>
              <w:t>kupcu prilagojene izdelke (DESIGN)</w:t>
            </w:r>
            <w:r>
              <w:rPr>
                <w:highlight w:val="none"/>
              </w:rPr>
              <w:t xml:space="preserve">: ob prenehanju ali preklicu pogodbe ali ob spremembi modela. </w:t>
            </w:r>
          </w:p>
          <w:p>
            <w:pPr>
              <w:pStyle w:val="P68B1DB1Normal2"/>
              <w:widowControl w:val="false"/>
              <w:suppressAutoHyphens w:val="true"/>
              <w:spacing w:before="40" w:after="40"/>
              <w:rPr>
                <w:highlight w:val="none"/>
              </w:rPr>
            </w:pPr>
            <w:r>
              <w:rPr>
                <w:highlight w:val="none"/>
              </w:rPr>
              <w:t>Pravila povračila stroškov za '</w:t>
            </w:r>
            <w:r>
              <w:rPr>
                <w:b/>
                <w:bCs/>
                <w:highlight w:val="none"/>
              </w:rPr>
              <w:t>kupcu prilagojene izdelke'</w:t>
            </w:r>
            <w:r>
              <w:rPr>
                <w:highlight w:val="none"/>
              </w:rPr>
              <w:t xml:space="preserve"> temeljijo na starosti, izračunani od prve dobave. </w:t>
            </w:r>
          </w:p>
          <w:tbl>
            <w:tblPr>
              <w:tblW w:w="402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72"/>
              <w:gridCol w:w="2050"/>
            </w:tblGrid>
            <w:tr>
              <w:trPr>
                <w:trHeight w:val="260" w:hRule="atLeast"/>
              </w:trPr>
              <w:tc>
                <w:tcPr>
                  <w:tcW w:w="1972" w:type="dxa"/>
                  <w:tcBorders>
                    <w:top w:val="single" w:sz="4" w:space="0" w:color="000000"/>
                    <w:left w:val="single" w:sz="4" w:space="0" w:color="000000"/>
                    <w:bottom w:val="single" w:sz="4" w:space="0" w:color="000000"/>
                    <w:right w:val="single" w:sz="4" w:space="0" w:color="000000"/>
                  </w:tcBorders>
                  <w:shd w:color="auto" w:fill="2F5496" w:themeFill="accent1" w:themeFillShade="bf" w:val="clear"/>
                </w:tcPr>
                <w:p>
                  <w:pPr>
                    <w:pStyle w:val="P68B1DB1Normal4"/>
                    <w:widowControl w:val="false"/>
                    <w:jc w:val="both"/>
                    <w:rPr>
                      <w:rFonts w:eastAsia="Arial,SimSun"/>
                      <w:color w:val="A5A5A5" w:themeColor="accent3"/>
                      <w:sz w:val="14"/>
                      <w:szCs w:val="16"/>
                      <w:highlight w:val="none"/>
                    </w:rPr>
                  </w:pPr>
                  <w:r>
                    <w:rPr>
                      <w:sz w:val="14"/>
                      <w:szCs w:val="16"/>
                      <w:highlight w:val="none"/>
                    </w:rPr>
                    <w:t xml:space="preserve">Obdobje po prvi dostavi </w:t>
                  </w:r>
                </w:p>
              </w:tc>
              <w:tc>
                <w:tcPr>
                  <w:tcW w:w="2050" w:type="dxa"/>
                  <w:tcBorders>
                    <w:top w:val="single" w:sz="4" w:space="0" w:color="000000"/>
                    <w:left w:val="single" w:sz="4" w:space="0" w:color="000000"/>
                    <w:bottom w:val="single" w:sz="4" w:space="0" w:color="000000"/>
                    <w:right w:val="single" w:sz="4" w:space="0" w:color="000000"/>
                  </w:tcBorders>
                  <w:shd w:color="auto" w:fill="2F5496" w:themeFill="accent1" w:themeFillShade="bf" w:val="clear"/>
                </w:tcPr>
                <w:p>
                  <w:pPr>
                    <w:pStyle w:val="P68B1DB1Normal4"/>
                    <w:widowControl w:val="false"/>
                    <w:jc w:val="both"/>
                    <w:rPr>
                      <w:rFonts w:eastAsia="Arial,SimSun"/>
                      <w:color w:val="A5A5A5" w:themeColor="accent3"/>
                      <w:sz w:val="14"/>
                      <w:szCs w:val="16"/>
                      <w:highlight w:val="none"/>
                    </w:rPr>
                  </w:pPr>
                  <w:r>
                    <w:rPr>
                      <w:sz w:val="14"/>
                      <w:szCs w:val="16"/>
                      <w:highlight w:val="none"/>
                    </w:rPr>
                    <w:t>% višine povračila</w:t>
                  </w:r>
                </w:p>
              </w:tc>
            </w:tr>
            <w:tr>
              <w:trPr>
                <w:trHeight w:val="260" w:hRule="atLeast"/>
              </w:trPr>
              <w:tc>
                <w:tcPr>
                  <w:tcW w:w="1972" w:type="dxa"/>
                  <w:tcBorders>
                    <w:top w:val="single" w:sz="4" w:space="0" w:color="000000"/>
                    <w:left w:val="single" w:sz="4" w:space="0" w:color="000000"/>
                    <w:bottom w:val="single" w:sz="4" w:space="0" w:color="000000"/>
                    <w:right w:val="single" w:sz="4" w:space="0" w:color="000000"/>
                  </w:tcBorders>
                </w:tcPr>
                <w:p>
                  <w:pPr>
                    <w:pStyle w:val="P68B1DB1Normal5"/>
                    <w:widowControl w:val="false"/>
                    <w:jc w:val="both"/>
                    <w:rPr>
                      <w:rFonts w:eastAsia="Arial,SimSun"/>
                      <w:sz w:val="14"/>
                      <w:szCs w:val="16"/>
                      <w:highlight w:val="none"/>
                    </w:rPr>
                  </w:pPr>
                  <w:r>
                    <w:rPr>
                      <w:sz w:val="14"/>
                      <w:szCs w:val="16"/>
                      <w:highlight w:val="none"/>
                    </w:rPr>
                    <w:t>Pod 12 mesecev</w:t>
                  </w:r>
                </w:p>
              </w:tc>
              <w:tc>
                <w:tcPr>
                  <w:tcW w:w="2050" w:type="dxa"/>
                  <w:tcBorders>
                    <w:top w:val="single" w:sz="4" w:space="0" w:color="000000"/>
                    <w:left w:val="single" w:sz="4" w:space="0" w:color="000000"/>
                    <w:bottom w:val="single" w:sz="4" w:space="0" w:color="000000"/>
                    <w:right w:val="single" w:sz="4" w:space="0" w:color="000000"/>
                  </w:tcBorders>
                </w:tcPr>
                <w:p>
                  <w:pPr>
                    <w:pStyle w:val="P68B1DB1Normal5"/>
                    <w:widowControl w:val="false"/>
                    <w:jc w:val="both"/>
                    <w:rPr>
                      <w:rFonts w:eastAsia="Arial,SimSun"/>
                      <w:sz w:val="14"/>
                      <w:szCs w:val="16"/>
                      <w:highlight w:val="none"/>
                    </w:rPr>
                  </w:pPr>
                  <w:r>
                    <w:rPr>
                      <w:sz w:val="14"/>
                      <w:szCs w:val="16"/>
                      <w:highlight w:val="none"/>
                    </w:rPr>
                    <w:t>100 %</w:t>
                  </w:r>
                </w:p>
              </w:tc>
            </w:tr>
            <w:tr>
              <w:trPr>
                <w:trHeight w:val="260" w:hRule="atLeast"/>
              </w:trPr>
              <w:tc>
                <w:tcPr>
                  <w:tcW w:w="1972" w:type="dxa"/>
                  <w:tcBorders>
                    <w:top w:val="single" w:sz="4" w:space="0" w:color="000000"/>
                    <w:left w:val="single" w:sz="4" w:space="0" w:color="000000"/>
                    <w:bottom w:val="single" w:sz="4" w:space="0" w:color="000000"/>
                    <w:right w:val="single" w:sz="4" w:space="0" w:color="000000"/>
                  </w:tcBorders>
                </w:tcPr>
                <w:p>
                  <w:pPr>
                    <w:pStyle w:val="P68B1DB1Normal6"/>
                    <w:widowControl w:val="false"/>
                    <w:jc w:val="both"/>
                    <w:rPr>
                      <w:rFonts w:eastAsia="Arial,SimSun"/>
                      <w:sz w:val="14"/>
                      <w:szCs w:val="16"/>
                      <w:highlight w:val="none"/>
                    </w:rPr>
                  </w:pPr>
                  <w:r>
                    <w:rPr>
                      <w:sz w:val="14"/>
                      <w:szCs w:val="16"/>
                      <w:highlight w:val="none"/>
                    </w:rPr>
                    <w:t>13 do 24 mesecev</w:t>
                  </w:r>
                </w:p>
              </w:tc>
              <w:tc>
                <w:tcPr>
                  <w:tcW w:w="2050" w:type="dxa"/>
                  <w:tcBorders>
                    <w:top w:val="single" w:sz="4" w:space="0" w:color="000000"/>
                    <w:left w:val="single" w:sz="4" w:space="0" w:color="000000"/>
                    <w:bottom w:val="single" w:sz="4" w:space="0" w:color="000000"/>
                    <w:right w:val="single" w:sz="4" w:space="0" w:color="000000"/>
                  </w:tcBorders>
                </w:tcPr>
                <w:p>
                  <w:pPr>
                    <w:pStyle w:val="P68B1DB1Normal5"/>
                    <w:widowControl w:val="false"/>
                    <w:jc w:val="both"/>
                    <w:rPr>
                      <w:rFonts w:eastAsia="Arial,SimSun"/>
                      <w:sz w:val="14"/>
                      <w:szCs w:val="16"/>
                      <w:highlight w:val="none"/>
                    </w:rPr>
                  </w:pPr>
                  <w:r>
                    <w:rPr>
                      <w:sz w:val="14"/>
                      <w:szCs w:val="16"/>
                      <w:highlight w:val="none"/>
                    </w:rPr>
                    <w:t>60 %</w:t>
                  </w:r>
                </w:p>
              </w:tc>
            </w:tr>
            <w:tr>
              <w:trPr>
                <w:trHeight w:val="267" w:hRule="atLeast"/>
              </w:trPr>
              <w:tc>
                <w:tcPr>
                  <w:tcW w:w="1972" w:type="dxa"/>
                  <w:tcBorders>
                    <w:top w:val="single" w:sz="4" w:space="0" w:color="000000"/>
                    <w:left w:val="single" w:sz="4" w:space="0" w:color="000000"/>
                    <w:bottom w:val="single" w:sz="4" w:space="0" w:color="000000"/>
                    <w:right w:val="single" w:sz="4" w:space="0" w:color="000000"/>
                  </w:tcBorders>
                </w:tcPr>
                <w:p>
                  <w:pPr>
                    <w:pStyle w:val="P68B1DB1Normal6"/>
                    <w:widowControl w:val="false"/>
                    <w:jc w:val="both"/>
                    <w:rPr>
                      <w:rFonts w:eastAsia="Arial,SimSun"/>
                      <w:sz w:val="14"/>
                      <w:szCs w:val="16"/>
                      <w:highlight w:val="none"/>
                    </w:rPr>
                  </w:pPr>
                  <w:r>
                    <w:rPr>
                      <w:sz w:val="14"/>
                      <w:szCs w:val="16"/>
                      <w:highlight w:val="none"/>
                    </w:rPr>
                    <w:t>25 do 36 mesecev</w:t>
                  </w:r>
                </w:p>
              </w:tc>
              <w:tc>
                <w:tcPr>
                  <w:tcW w:w="2050" w:type="dxa"/>
                  <w:tcBorders>
                    <w:top w:val="single" w:sz="4" w:space="0" w:color="000000"/>
                    <w:left w:val="single" w:sz="4" w:space="0" w:color="000000"/>
                    <w:bottom w:val="single" w:sz="4" w:space="0" w:color="000000"/>
                    <w:right w:val="single" w:sz="4" w:space="0" w:color="000000"/>
                  </w:tcBorders>
                </w:tcPr>
                <w:p>
                  <w:pPr>
                    <w:pStyle w:val="P68B1DB1Normal5"/>
                    <w:widowControl w:val="false"/>
                    <w:jc w:val="both"/>
                    <w:rPr>
                      <w:rFonts w:eastAsia="Arial,SimSun"/>
                      <w:sz w:val="14"/>
                      <w:szCs w:val="16"/>
                      <w:highlight w:val="none"/>
                    </w:rPr>
                  </w:pPr>
                  <w:r>
                    <w:rPr>
                      <w:sz w:val="14"/>
                      <w:szCs w:val="16"/>
                      <w:highlight w:val="none"/>
                    </w:rPr>
                    <w:t>40 %</w:t>
                  </w:r>
                </w:p>
              </w:tc>
            </w:tr>
            <w:tr>
              <w:trPr>
                <w:trHeight w:val="260" w:hRule="atLeast"/>
              </w:trPr>
              <w:tc>
                <w:tcPr>
                  <w:tcW w:w="1972" w:type="dxa"/>
                  <w:tcBorders>
                    <w:top w:val="single" w:sz="4" w:space="0" w:color="000000"/>
                    <w:left w:val="single" w:sz="4" w:space="0" w:color="000000"/>
                    <w:bottom w:val="single" w:sz="4" w:space="0" w:color="000000"/>
                    <w:right w:val="single" w:sz="4" w:space="0" w:color="000000"/>
                  </w:tcBorders>
                </w:tcPr>
                <w:p>
                  <w:pPr>
                    <w:pStyle w:val="P68B1DB1Normal5"/>
                    <w:widowControl w:val="false"/>
                    <w:jc w:val="both"/>
                    <w:rPr>
                      <w:rFonts w:eastAsia="Arial,SimSun"/>
                      <w:sz w:val="14"/>
                      <w:szCs w:val="16"/>
                      <w:highlight w:val="none"/>
                    </w:rPr>
                  </w:pPr>
                  <w:r>
                    <w:rPr>
                      <w:sz w:val="14"/>
                      <w:szCs w:val="16"/>
                      <w:highlight w:val="none"/>
                    </w:rPr>
                    <w:t>nad 36 mesecev</w:t>
                  </w:r>
                </w:p>
              </w:tc>
              <w:tc>
                <w:tcPr>
                  <w:tcW w:w="2050" w:type="dxa"/>
                  <w:tcBorders>
                    <w:top w:val="single" w:sz="4" w:space="0" w:color="000000"/>
                    <w:left w:val="single" w:sz="4" w:space="0" w:color="000000"/>
                    <w:bottom w:val="single" w:sz="4" w:space="0" w:color="000000"/>
                    <w:right w:val="single" w:sz="4" w:space="0" w:color="000000"/>
                  </w:tcBorders>
                </w:tcPr>
                <w:p>
                  <w:pPr>
                    <w:pStyle w:val="P68B1DB1Normal5"/>
                    <w:widowControl w:val="false"/>
                    <w:jc w:val="both"/>
                    <w:rPr>
                      <w:rFonts w:eastAsia="Arial,SimSun"/>
                      <w:sz w:val="14"/>
                      <w:szCs w:val="16"/>
                      <w:highlight w:val="none"/>
                    </w:rPr>
                  </w:pPr>
                  <w:r>
                    <w:rPr>
                      <w:sz w:val="14"/>
                      <w:szCs w:val="16"/>
                      <w:highlight w:val="none"/>
                    </w:rPr>
                    <w:t>0 %</w:t>
                  </w:r>
                </w:p>
              </w:tc>
            </w:tr>
          </w:tbl>
          <w:p>
            <w:pPr>
              <w:pStyle w:val="P68B1DB1Normal2"/>
              <w:widowControl w:val="false"/>
              <w:suppressAutoHyphens w:val="true"/>
              <w:spacing w:before="40" w:after="40"/>
              <w:rPr>
                <w:highlight w:val="none"/>
              </w:rPr>
            </w:pPr>
            <w:r>
              <w:rPr>
                <w:highlight w:val="none"/>
              </w:rPr>
            </w:r>
          </w:p>
          <w:p>
            <w:pPr>
              <w:pStyle w:val="P68B1DB1Normal2"/>
              <w:widowControl w:val="false"/>
              <w:suppressAutoHyphens w:val="true"/>
              <w:spacing w:before="40" w:after="40"/>
              <w:rPr>
                <w:highlight w:val="none"/>
              </w:rPr>
            </w:pPr>
            <w:r>
              <w:rPr>
                <w:highlight w:val="none"/>
              </w:rPr>
              <w:t>Če je kupcu prilagojeni izdelek potrebno zamenjati, se bo predpražnik odgovarjajoče velikosti uporabljal do dostave novega kupcu prilagojenega predpražnika.</w:t>
            </w:r>
          </w:p>
          <w:p>
            <w:pPr>
              <w:pStyle w:val="P68B1DB1Normal2"/>
              <w:widowControl w:val="false"/>
              <w:suppressAutoHyphens w:val="true"/>
              <w:spacing w:before="40" w:after="40"/>
              <w:rPr>
                <w:highlight w:val="none"/>
              </w:rPr>
            </w:pPr>
            <w:r>
              <w:rPr>
                <w:highlight w:val="none"/>
              </w:rPr>
              <w:t>Ob prenehanju ali odpovedi pogodbe, ali pri zmanjšanju števila predpražnikov ali pri spremembi dizajna, je kupec dolžan odkupiti zaloge kupcu prilagojenih izdelkov, vključno z zalogo za pranje (za 1 položen predpražnik je zaloga 2 kos). Celoten znesek 'kupcu prilagojenih izdelkov', je število predpražnikov, navedeno v pogodbi, plus količina predpražnikov, kupljenih za zalogo za pranje, da se zagotovi pravilno delovanje storitve na podlagi pogostosti menjave.</w:t>
            </w:r>
          </w:p>
          <w:p>
            <w:pPr>
              <w:pStyle w:val="P68B1DB1Normal2"/>
              <w:widowControl w:val="false"/>
              <w:suppressAutoHyphens w:val="true"/>
              <w:spacing w:before="40" w:after="40"/>
              <w:rPr>
                <w:highlight w:val="none"/>
              </w:rPr>
            </w:pPr>
            <w:r>
              <w:rPr>
                <w:highlight w:val="none"/>
              </w:rPr>
              <w:t>Lastnik vrnjenih in odkupljenih izdelkov ostaja Lindström, ki bo zagotovil, da se bodo predpražniki primerno reciklirali.</w:t>
            </w:r>
          </w:p>
        </w:tc>
      </w:tr>
      <w:tr>
        <w:trPr>
          <w:trHeight w:val="405" w:hRule="atLeast"/>
        </w:trPr>
        <w:tc>
          <w:tcPr>
            <w:tcW w:w="1977" w:type="dxa"/>
            <w:tcBorders>
              <w:top w:val="single" w:sz="4" w:space="0" w:color="000000"/>
              <w:left w:val="single" w:sz="4" w:space="0" w:color="000000"/>
              <w:bottom w:val="single" w:sz="4" w:space="0" w:color="000000"/>
              <w:right w:val="single" w:sz="4" w:space="0" w:color="000000"/>
            </w:tcBorders>
            <w:tcMar>
              <w:right w:w="70" w:type="dxa"/>
            </w:tcMar>
          </w:tcPr>
          <w:p>
            <w:pPr>
              <w:pStyle w:val="P68B1DB1Normal2"/>
              <w:widowControl w:val="false"/>
              <w:spacing w:before="40" w:after="40"/>
              <w:rPr>
                <w:highlight w:val="none"/>
              </w:rPr>
            </w:pPr>
            <w:r>
              <w:rPr>
                <w:highlight w:val="none"/>
              </w:rPr>
              <w:t xml:space="preserve">Cena, izdajanje računov, rok plačila </w:t>
            </w:r>
          </w:p>
        </w:tc>
        <w:tc>
          <w:tcPr>
            <w:tcW w:w="8083" w:type="dxa"/>
            <w:gridSpan w:val="3"/>
            <w:tcBorders>
              <w:top w:val="single" w:sz="4" w:space="0" w:color="000000"/>
              <w:left w:val="single" w:sz="4" w:space="0" w:color="000000"/>
              <w:bottom w:val="single" w:sz="4" w:space="0" w:color="000000"/>
              <w:right w:val="single" w:sz="4" w:space="0" w:color="000000"/>
            </w:tcBorders>
            <w:tcMar>
              <w:right w:w="70" w:type="dxa"/>
            </w:tcMar>
          </w:tcPr>
          <w:p>
            <w:pPr>
              <w:pStyle w:val="P68B1DB1Normal2"/>
              <w:widowControl w:val="false"/>
              <w:suppressAutoHyphens w:val="true"/>
              <w:spacing w:before="40" w:after="40"/>
              <w:ind w:firstLine="6"/>
              <w:rPr>
                <w:highlight w:val="none"/>
              </w:rPr>
            </w:pPr>
            <w:r>
              <w:rPr>
                <w:highlight w:val="none"/>
              </w:rPr>
              <w:t>Cena najema in drugi stroški storitve temeljijo na trenutnih cenah na enoto. Cene se lahko spremenijo z enomesečnim odpovednim rokom. Cene ne vključujejo DDV in drugih možnih zakonskih stroškov. Dogovorjene vrednosti najema bodo zaračunane tudi, če menjava predpražnikov ni mogoča zaradi kupca, če so predpražniki založeni ali obteženi z drugimi predmeti ali ko so prostori kupca med prazniki na dan menjave zaprti.</w:t>
            </w:r>
            <w:bookmarkStart w:id="9" w:name="Valinta5"/>
            <w:r>
              <w:rPr>
                <w:highlight w:val="none"/>
              </w:rPr>
              <w:t xml:space="preserve"> </w:t>
            </w:r>
          </w:p>
          <w:p>
            <w:pPr>
              <w:pStyle w:val="P68B1DB1Normal2"/>
              <w:widowControl w:val="false"/>
              <w:suppressAutoHyphens w:val="true"/>
              <w:spacing w:before="40" w:after="40"/>
              <w:ind w:firstLine="6"/>
              <w:rPr>
                <w:highlight w:val="none"/>
              </w:rPr>
            </w:pPr>
            <w:r>
              <w:rPr>
                <w:highlight w:val="none"/>
              </w:rPr>
              <w:t xml:space="preserve">Obračunsko obdobje je štiri (4) tedne, rok plačila pa 14 dni. </w:t>
            </w:r>
            <w:bookmarkEnd w:id="9"/>
            <w:r>
              <w:rPr>
                <w:highlight w:val="none"/>
              </w:rPr>
              <w:t>Če se izjemoma obračunajo zamudne obresti, pa se zaračunajo v skladu z zakonom o zamudnih obrestih.</w:t>
            </w:r>
          </w:p>
        </w:tc>
      </w:tr>
      <w:tr>
        <w:trPr>
          <w:trHeight w:val="342" w:hRule="atLeast"/>
        </w:trPr>
        <w:tc>
          <w:tcPr>
            <w:tcW w:w="1977" w:type="dxa"/>
            <w:vMerge w:val="restart"/>
            <w:tcBorders>
              <w:top w:val="single" w:sz="4" w:space="0" w:color="000000"/>
              <w:left w:val="single" w:sz="4" w:space="0" w:color="000000"/>
              <w:bottom w:val="single" w:sz="4" w:space="0" w:color="000000"/>
              <w:right w:val="single" w:sz="4" w:space="0" w:color="000000"/>
            </w:tcBorders>
            <w:tcMar>
              <w:right w:w="70" w:type="dxa"/>
            </w:tcMar>
            <w:vAlign w:val="center"/>
          </w:tcPr>
          <w:p>
            <w:pPr>
              <w:pStyle w:val="P68B1DB1Normal2"/>
              <w:widowControl w:val="false"/>
              <w:spacing w:before="40" w:after="40"/>
              <w:rPr>
                <w:highlight w:val="none"/>
              </w:rPr>
            </w:pPr>
            <w:r>
              <w:rPr>
                <w:highlight w:val="none"/>
              </w:rPr>
              <w:t>Načini plačila</w:t>
            </w:r>
          </w:p>
        </w:tc>
        <w:tc>
          <w:tcPr>
            <w:tcW w:w="2271" w:type="dxa"/>
            <w:tcBorders>
              <w:top w:val="single" w:sz="4" w:space="0" w:color="000000"/>
              <w:left w:val="single" w:sz="4" w:space="0" w:color="000000"/>
              <w:bottom w:val="single" w:sz="4" w:space="0" w:color="000000"/>
              <w:right w:val="single" w:sz="4" w:space="0" w:color="000000"/>
            </w:tcBorders>
            <w:tcMar>
              <w:right w:w="70" w:type="dxa"/>
            </w:tcMar>
            <w:vAlign w:val="center"/>
          </w:tcPr>
          <w:p>
            <w:pPr>
              <w:pStyle w:val="P68B1DB1BodyText3"/>
              <w:widowControl w:val="false"/>
              <w:spacing w:before="40" w:after="40"/>
              <w:ind w:right="-52" w:hanging="0"/>
              <w:rPr>
                <w:highlight w:val="none"/>
              </w:rPr>
            </w:pPr>
            <w:r>
              <w:rPr>
                <w:highlight w:val="none"/>
              </w:rPr>
              <w:t xml:space="preserve">Papirnat račun </w:t>
            </w:r>
          </w:p>
        </w:tc>
        <w:tc>
          <w:tcPr>
            <w:tcW w:w="5812" w:type="dxa"/>
            <w:gridSpan w:val="2"/>
            <w:tcBorders>
              <w:top w:val="single" w:sz="4" w:space="0" w:color="000000"/>
              <w:left w:val="single" w:sz="4" w:space="0" w:color="000000"/>
              <w:bottom w:val="single" w:sz="4" w:space="0" w:color="000000"/>
              <w:right w:val="single" w:sz="4" w:space="0" w:color="000000"/>
            </w:tcBorders>
            <w:tcMar>
              <w:right w:w="70" w:type="dxa"/>
            </w:tcMar>
            <w:vAlign w:val="center"/>
          </w:tcPr>
          <w:p>
            <w:pPr>
              <w:pStyle w:val="P68B1DB1BodyText3"/>
              <w:widowControl w:val="false"/>
              <w:spacing w:before="40" w:after="40"/>
              <w:ind w:right="-52" w:hanging="0"/>
              <w:rPr>
                <w:highlight w:val="none"/>
              </w:rPr>
            </w:pPr>
            <w:r>
              <w:fldChar w:fldCharType="begin">
                <w:ffData>
                  <w:name w:val=""/>
                  <w:enabled/>
                  <w:calcOnExit w:val="0"/>
                  <w:checkBox>
                    <w:sizeAuto/>
                  </w:checkBox>
                </w:ffData>
              </w:fldChar>
            </w:r>
            <w:r>
              <w:rPr/>
              <w:instrText xml:space="preserve"> FORMCHECKBOX </w:instrText>
            </w:r>
            <w:r>
              <w:rPr/>
              <w:fldChar w:fldCharType="separate"/>
            </w:r>
            <w:bookmarkStart w:id="10" w:name="__Fieldmark__2704_627644971"/>
            <w:bookmarkStart w:id="11" w:name="__Fieldmark__2704_627644971"/>
            <w:bookmarkEnd w:id="11"/>
            <w:r>
              <w:rPr/>
            </w:r>
            <w:r>
              <w:rPr/>
              <w:fldChar w:fldCharType="end"/>
            </w:r>
            <w:r>
              <w:rPr>
                <w:highlight w:val="none"/>
              </w:rPr>
              <w:t xml:space="preserve">da    </w:t>
            </w:r>
          </w:p>
        </w:tc>
      </w:tr>
      <w:tr>
        <w:trPr>
          <w:trHeight w:val="342" w:hRule="atLeast"/>
        </w:trPr>
        <w:tc>
          <w:tcPr>
            <w:tcW w:w="1977" w:type="dxa"/>
            <w:vMerge w:val="continue"/>
            <w:tcBorders>
              <w:top w:val="single" w:sz="4" w:space="0" w:color="000000"/>
              <w:left w:val="single" w:sz="4" w:space="0" w:color="000000"/>
              <w:bottom w:val="single" w:sz="4" w:space="0" w:color="000000"/>
              <w:right w:val="single" w:sz="4" w:space="0" w:color="000000"/>
            </w:tcBorders>
            <w:tcMar>
              <w:right w:w="70" w:type="dxa"/>
            </w:tcMar>
            <w:vAlign w:val="center"/>
          </w:tcPr>
          <w:p>
            <w:pPr>
              <w:pStyle w:val="Normal"/>
              <w:widowControl w:val="false"/>
              <w:spacing w:before="40" w:after="40"/>
              <w:rPr>
                <w:rFonts w:ascii="Arial" w:hAnsi="Arial" w:cs="Arial"/>
                <w:sz w:val="14"/>
              </w:rPr>
            </w:pPr>
            <w:r>
              <w:rPr>
                <w:rFonts w:cs="Arial" w:ascii="Arial" w:hAnsi="Arial"/>
                <w:sz w:val="14"/>
              </w:rPr>
            </w:r>
          </w:p>
        </w:tc>
        <w:tc>
          <w:tcPr>
            <w:tcW w:w="2271" w:type="dxa"/>
            <w:tcBorders>
              <w:top w:val="single" w:sz="4" w:space="0" w:color="000000"/>
              <w:left w:val="single" w:sz="4" w:space="0" w:color="000000"/>
              <w:bottom w:val="single" w:sz="4" w:space="0" w:color="000000"/>
              <w:right w:val="single" w:sz="4" w:space="0" w:color="000000"/>
            </w:tcBorders>
            <w:tcMar>
              <w:right w:w="70" w:type="dxa"/>
            </w:tcMar>
            <w:vAlign w:val="center"/>
          </w:tcPr>
          <w:p>
            <w:pPr>
              <w:pStyle w:val="P68B1DB1Normal2"/>
              <w:widowControl w:val="false"/>
              <w:rPr>
                <w:highlight w:val="none"/>
              </w:rPr>
            </w:pPr>
            <w:r>
              <w:rPr>
                <w:highlight w:val="none"/>
              </w:rPr>
              <w:t>Bančno nakazilo</w:t>
            </w:r>
          </w:p>
        </w:tc>
        <w:tc>
          <w:tcPr>
            <w:tcW w:w="5812" w:type="dxa"/>
            <w:gridSpan w:val="2"/>
            <w:tcBorders>
              <w:top w:val="single" w:sz="4" w:space="0" w:color="000000"/>
              <w:left w:val="single" w:sz="4" w:space="0" w:color="000000"/>
              <w:bottom w:val="single" w:sz="4" w:space="0" w:color="000000"/>
              <w:right w:val="single" w:sz="4" w:space="0" w:color="000000"/>
            </w:tcBorders>
            <w:tcMar>
              <w:right w:w="70" w:type="dxa"/>
            </w:tcMar>
            <w:vAlign w:val="center"/>
          </w:tcPr>
          <w:p>
            <w:pPr>
              <w:pStyle w:val="P68B1DB1Normal2"/>
              <w:widowControl w:val="false"/>
              <w:rPr>
                <w:highlight w:val="none"/>
              </w:rPr>
            </w:pPr>
            <w:r>
              <w:rPr>
                <w:highlight w:val="none"/>
              </w:rPr>
            </w:r>
          </w:p>
        </w:tc>
      </w:tr>
      <w:tr>
        <w:trPr>
          <w:trHeight w:val="342" w:hRule="atLeast"/>
        </w:trPr>
        <w:tc>
          <w:tcPr>
            <w:tcW w:w="1977" w:type="dxa"/>
            <w:vMerge w:val="continue"/>
            <w:tcBorders>
              <w:top w:val="single" w:sz="4" w:space="0" w:color="000000"/>
              <w:left w:val="single" w:sz="4" w:space="0" w:color="000000"/>
              <w:bottom w:val="single" w:sz="4" w:space="0" w:color="000000"/>
              <w:right w:val="single" w:sz="4" w:space="0" w:color="000000"/>
            </w:tcBorders>
            <w:tcMar>
              <w:right w:w="70" w:type="dxa"/>
            </w:tcMar>
            <w:vAlign w:val="center"/>
          </w:tcPr>
          <w:p>
            <w:pPr>
              <w:pStyle w:val="Normal"/>
              <w:widowControl w:val="false"/>
              <w:spacing w:before="40" w:after="40"/>
              <w:rPr>
                <w:rFonts w:ascii="Arial" w:hAnsi="Arial" w:cs="Arial"/>
                <w:sz w:val="14"/>
              </w:rPr>
            </w:pPr>
            <w:r>
              <w:rPr>
                <w:rFonts w:cs="Arial" w:ascii="Arial" w:hAnsi="Arial"/>
                <w:sz w:val="14"/>
              </w:rPr>
            </w:r>
          </w:p>
        </w:tc>
        <w:tc>
          <w:tcPr>
            <w:tcW w:w="2271" w:type="dxa"/>
            <w:tcBorders>
              <w:top w:val="single" w:sz="4" w:space="0" w:color="000000"/>
              <w:left w:val="single" w:sz="4" w:space="0" w:color="000000"/>
              <w:bottom w:val="single" w:sz="4" w:space="0" w:color="000000"/>
              <w:right w:val="single" w:sz="4" w:space="0" w:color="000000"/>
            </w:tcBorders>
            <w:tcMar>
              <w:right w:w="70" w:type="dxa"/>
            </w:tcMar>
            <w:vAlign w:val="center"/>
          </w:tcPr>
          <w:p>
            <w:pPr>
              <w:pStyle w:val="P68B1DB1Normal2"/>
              <w:widowControl w:val="false"/>
              <w:rPr>
                <w:b/>
                <w:b/>
                <w:bCs/>
                <w:highlight w:val="none"/>
              </w:rPr>
            </w:pPr>
            <w:r>
              <w:rPr>
                <w:b/>
                <w:bCs/>
                <w:highlight w:val="none"/>
              </w:rPr>
              <w:t>eRačun</w:t>
            </w:r>
          </w:p>
        </w:tc>
        <w:tc>
          <w:tcPr>
            <w:tcW w:w="5812" w:type="dxa"/>
            <w:gridSpan w:val="2"/>
            <w:tcBorders>
              <w:top w:val="single" w:sz="4" w:space="0" w:color="000000"/>
              <w:left w:val="single" w:sz="4" w:space="0" w:color="000000"/>
              <w:bottom w:val="single" w:sz="4" w:space="0" w:color="000000"/>
              <w:right w:val="single" w:sz="4" w:space="0" w:color="000000"/>
            </w:tcBorders>
            <w:tcMar>
              <w:right w:w="70" w:type="dxa"/>
            </w:tcMar>
            <w:vAlign w:val="center"/>
          </w:tcPr>
          <w:p>
            <w:pPr>
              <w:pStyle w:val="P68B1DB1Normal2"/>
              <w:widowControl w:val="false"/>
              <w:rPr>
                <w:highlight w:val="none"/>
              </w:rPr>
            </w:pPr>
            <w:r>
              <w:rPr>
                <w:highlight w:val="none"/>
              </w:rPr>
              <w:t xml:space="preserve"> </w:t>
            </w:r>
          </w:p>
        </w:tc>
      </w:tr>
      <w:tr>
        <w:trPr>
          <w:trHeight w:val="342" w:hRule="atLeast"/>
        </w:trPr>
        <w:tc>
          <w:tcPr>
            <w:tcW w:w="1977" w:type="dxa"/>
            <w:vMerge w:val="continue"/>
            <w:tcBorders>
              <w:top w:val="single" w:sz="4" w:space="0" w:color="000000"/>
              <w:left w:val="single" w:sz="4" w:space="0" w:color="000000"/>
              <w:bottom w:val="single" w:sz="4" w:space="0" w:color="000000"/>
              <w:right w:val="single" w:sz="4" w:space="0" w:color="000000"/>
            </w:tcBorders>
            <w:tcMar>
              <w:right w:w="70" w:type="dxa"/>
            </w:tcMar>
            <w:vAlign w:val="center"/>
          </w:tcPr>
          <w:p>
            <w:pPr>
              <w:pStyle w:val="Normal"/>
              <w:widowControl w:val="false"/>
              <w:spacing w:before="40" w:after="40"/>
              <w:rPr>
                <w:rFonts w:ascii="Arial" w:hAnsi="Arial" w:cs="Arial"/>
                <w:sz w:val="14"/>
              </w:rPr>
            </w:pPr>
            <w:r>
              <w:rPr>
                <w:rFonts w:cs="Arial" w:ascii="Arial" w:hAnsi="Arial"/>
                <w:sz w:val="14"/>
              </w:rPr>
            </w:r>
          </w:p>
        </w:tc>
        <w:tc>
          <w:tcPr>
            <w:tcW w:w="2271" w:type="dxa"/>
            <w:tcBorders>
              <w:top w:val="single" w:sz="4" w:space="0" w:color="000000"/>
              <w:left w:val="single" w:sz="4" w:space="0" w:color="000000"/>
              <w:bottom w:val="single" w:sz="4" w:space="0" w:color="000000"/>
              <w:right w:val="single" w:sz="4" w:space="0" w:color="000000"/>
            </w:tcBorders>
            <w:tcMar>
              <w:right w:w="70" w:type="dxa"/>
            </w:tcMar>
            <w:vAlign w:val="center"/>
          </w:tcPr>
          <w:p>
            <w:pPr>
              <w:pStyle w:val="P68B1DB1Normal2"/>
              <w:widowControl w:val="false"/>
              <w:rPr>
                <w:highlight w:val="none"/>
              </w:rPr>
            </w:pPr>
            <w:r>
              <w:rPr>
                <w:highlight w:val="none"/>
              </w:rPr>
              <w:t>Email</w:t>
            </w:r>
          </w:p>
        </w:tc>
        <w:tc>
          <w:tcPr>
            <w:tcW w:w="5812" w:type="dxa"/>
            <w:gridSpan w:val="2"/>
            <w:tcBorders>
              <w:top w:val="single" w:sz="4" w:space="0" w:color="000000"/>
              <w:left w:val="single" w:sz="4" w:space="0" w:color="000000"/>
              <w:bottom w:val="single" w:sz="4" w:space="0" w:color="000000"/>
              <w:right w:val="single" w:sz="4" w:space="0" w:color="000000"/>
            </w:tcBorders>
            <w:tcMar>
              <w:right w:w="70" w:type="dxa"/>
            </w:tcMar>
            <w:vAlign w:val="center"/>
          </w:tcPr>
          <w:p>
            <w:pPr>
              <w:pStyle w:val="P68B1DB1Normal2"/>
              <w:widowControl w:val="false"/>
              <w:rPr>
                <w:highlight w:val="none"/>
              </w:rPr>
            </w:pPr>
            <w:r>
              <w:rPr>
                <w:highlight w:val="none"/>
              </w:rPr>
            </w:r>
          </w:p>
        </w:tc>
      </w:tr>
      <w:tr>
        <w:trPr>
          <w:trHeight w:val="342" w:hRule="atLeast"/>
        </w:trPr>
        <w:tc>
          <w:tcPr>
            <w:tcW w:w="1977" w:type="dxa"/>
            <w:vMerge w:val="continue"/>
            <w:tcBorders>
              <w:top w:val="single" w:sz="4" w:space="0" w:color="000000"/>
              <w:left w:val="single" w:sz="4" w:space="0" w:color="000000"/>
              <w:bottom w:val="single" w:sz="4" w:space="0" w:color="000000"/>
              <w:right w:val="single" w:sz="4" w:space="0" w:color="000000"/>
            </w:tcBorders>
            <w:tcMar>
              <w:right w:w="70" w:type="dxa"/>
            </w:tcMar>
            <w:vAlign w:val="center"/>
          </w:tcPr>
          <w:p>
            <w:pPr>
              <w:pStyle w:val="Normal"/>
              <w:widowControl w:val="false"/>
              <w:rPr>
                <w:rFonts w:ascii="Arial" w:hAnsi="Arial" w:cs="Arial"/>
                <w:sz w:val="14"/>
              </w:rPr>
            </w:pPr>
            <w:r>
              <w:rPr>
                <w:rFonts w:cs="Arial" w:ascii="Arial" w:hAnsi="Arial"/>
                <w:sz w:val="14"/>
              </w:rPr>
            </w:r>
          </w:p>
        </w:tc>
        <w:tc>
          <w:tcPr>
            <w:tcW w:w="2271" w:type="dxa"/>
            <w:tcBorders>
              <w:top w:val="single" w:sz="4" w:space="0" w:color="000000"/>
              <w:left w:val="single" w:sz="4" w:space="0" w:color="000000"/>
              <w:bottom w:val="single" w:sz="4" w:space="0" w:color="000000"/>
              <w:right w:val="single" w:sz="4" w:space="0" w:color="000000"/>
            </w:tcBorders>
            <w:tcMar>
              <w:right w:w="70" w:type="dxa"/>
            </w:tcMar>
            <w:vAlign w:val="center"/>
          </w:tcPr>
          <w:p>
            <w:pPr>
              <w:pStyle w:val="P68B1DB1Normal2"/>
              <w:widowControl w:val="false"/>
              <w:rPr>
                <w:highlight w:val="none"/>
              </w:rPr>
            </w:pPr>
            <w:r>
              <w:rPr>
                <w:highlight w:val="none"/>
              </w:rPr>
              <w:t>Referenčna številka</w:t>
            </w:r>
          </w:p>
        </w:tc>
        <w:tc>
          <w:tcPr>
            <w:tcW w:w="5812" w:type="dxa"/>
            <w:gridSpan w:val="2"/>
            <w:tcBorders>
              <w:top w:val="single" w:sz="4" w:space="0" w:color="000000"/>
              <w:left w:val="single" w:sz="4" w:space="0" w:color="000000"/>
              <w:bottom w:val="single" w:sz="4" w:space="0" w:color="000000"/>
              <w:right w:val="single" w:sz="4" w:space="0" w:color="000000"/>
            </w:tcBorders>
            <w:tcMar>
              <w:right w:w="70" w:type="dxa"/>
            </w:tcMar>
            <w:vAlign w:val="center"/>
          </w:tcPr>
          <w:p>
            <w:pPr>
              <w:pStyle w:val="P68B1DB1Normal2"/>
              <w:widowControl w:val="false"/>
              <w:rPr>
                <w:highlight w:val="none"/>
              </w:rPr>
            </w:pPr>
            <w:r>
              <w:rPr>
                <w:highlight w:val="none"/>
              </w:rPr>
            </w:r>
          </w:p>
        </w:tc>
      </w:tr>
      <w:tr>
        <w:trPr>
          <w:trHeight w:val="524" w:hRule="atLeast"/>
        </w:trPr>
        <w:tc>
          <w:tcPr>
            <w:tcW w:w="1977" w:type="dxa"/>
            <w:tcBorders>
              <w:top w:val="single" w:sz="4" w:space="0" w:color="000000"/>
              <w:left w:val="single" w:sz="4" w:space="0" w:color="000000"/>
              <w:bottom w:val="single" w:sz="4" w:space="0" w:color="000000"/>
              <w:right w:val="single" w:sz="4" w:space="0" w:color="000000"/>
            </w:tcBorders>
            <w:tcMar>
              <w:right w:w="70" w:type="dxa"/>
            </w:tcMar>
          </w:tcPr>
          <w:p>
            <w:pPr>
              <w:pStyle w:val="P68B1DB1Normal2"/>
              <w:widowControl w:val="false"/>
              <w:spacing w:before="40" w:after="40"/>
              <w:rPr>
                <w:highlight w:val="none"/>
              </w:rPr>
            </w:pPr>
            <w:r>
              <w:rPr>
                <w:highlight w:val="none"/>
              </w:rPr>
              <w:t>Rok veljavnosti pogodbe</w:t>
            </w:r>
          </w:p>
        </w:tc>
        <w:tc>
          <w:tcPr>
            <w:tcW w:w="8083" w:type="dxa"/>
            <w:gridSpan w:val="3"/>
            <w:tcBorders>
              <w:top w:val="single" w:sz="4" w:space="0" w:color="000000"/>
              <w:left w:val="single" w:sz="4" w:space="0" w:color="000000"/>
              <w:bottom w:val="single" w:sz="4" w:space="0" w:color="000000"/>
              <w:right w:val="single" w:sz="4" w:space="0" w:color="000000"/>
            </w:tcBorders>
            <w:tcMar>
              <w:right w:w="70" w:type="dxa"/>
            </w:tcMar>
          </w:tcPr>
          <w:p>
            <w:pPr>
              <w:pStyle w:val="P68B1DB1BodyText3"/>
              <w:widowControl w:val="false"/>
              <w:spacing w:before="40" w:after="40"/>
              <w:ind w:right="-52" w:hanging="0"/>
              <w:rPr>
                <w:highlight w:val="none"/>
              </w:rPr>
            </w:pPr>
            <w:r>
              <w:rPr>
                <w:highlight w:val="none"/>
              </w:rPr>
              <w:t xml:space="preserve">Pogodba začne veljati od trenutka podpisa. Rok veljavnosti pogodbe je 12 mesecev (v nadaljnjem besedilu: rok veljavnosti). Po izteku tega obdobja bo pogodba veljala do nadaljnjega, razen če bo odpovedana v pisni obliki z najmanj 3-mesečnim odpovednim rokom. </w:t>
            </w:r>
          </w:p>
        </w:tc>
      </w:tr>
      <w:tr>
        <w:trPr>
          <w:trHeight w:val="418" w:hRule="atLeast"/>
        </w:trPr>
        <w:tc>
          <w:tcPr>
            <w:tcW w:w="1977" w:type="dxa"/>
            <w:tcBorders>
              <w:top w:val="single" w:sz="4" w:space="0" w:color="000000"/>
              <w:left w:val="single" w:sz="4" w:space="0" w:color="000000"/>
              <w:bottom w:val="single" w:sz="4" w:space="0" w:color="000000"/>
              <w:right w:val="single" w:sz="4" w:space="0" w:color="000000"/>
            </w:tcBorders>
            <w:tcMar>
              <w:right w:w="70" w:type="dxa"/>
            </w:tcMar>
          </w:tcPr>
          <w:p>
            <w:pPr>
              <w:pStyle w:val="P68B1DB1Normal2"/>
              <w:widowControl w:val="false"/>
              <w:spacing w:before="40" w:after="40"/>
              <w:rPr>
                <w:highlight w:val="none"/>
              </w:rPr>
            </w:pPr>
            <w:r>
              <w:rPr>
                <w:highlight w:val="none"/>
              </w:rPr>
              <w:t xml:space="preserve">Odpoved pogodbe </w:t>
            </w:r>
          </w:p>
        </w:tc>
        <w:tc>
          <w:tcPr>
            <w:tcW w:w="8083" w:type="dxa"/>
            <w:gridSpan w:val="3"/>
            <w:tcBorders>
              <w:top w:val="single" w:sz="4" w:space="0" w:color="000000"/>
              <w:left w:val="single" w:sz="4" w:space="0" w:color="000000"/>
              <w:bottom w:val="single" w:sz="4" w:space="0" w:color="000000"/>
              <w:right w:val="single" w:sz="4" w:space="0" w:color="000000"/>
            </w:tcBorders>
            <w:tcMar>
              <w:right w:w="70" w:type="dxa"/>
            </w:tcMar>
          </w:tcPr>
          <w:p>
            <w:pPr>
              <w:pStyle w:val="P68B1DB1Normal2"/>
              <w:widowControl w:val="false"/>
              <w:spacing w:before="40" w:after="40"/>
              <w:ind w:right="-52" w:hanging="0"/>
              <w:rPr>
                <w:highlight w:val="none"/>
              </w:rPr>
            </w:pPr>
            <w:r>
              <w:rPr>
                <w:highlight w:val="none"/>
              </w:rPr>
              <w:t xml:space="preserve">Vsaka pogodbenica ima pravico, da odstopi od pogodbe pred prenehanjem veljavnosti pogodbe, tako da drugo pogodbenico o tem pisno obvesti vsaj en (1) mesec prej. Če kupec prekine pogodbo iz katerega koli drugega razloga, kot je določen v splošnih pogojih, bo Lindströmu plačal odškodnino v znesku, ki znaša 50 (petdeset) odstotkov preostalega računa. </w:t>
            </w:r>
          </w:p>
        </w:tc>
      </w:tr>
      <w:tr>
        <w:trPr>
          <w:trHeight w:val="443" w:hRule="atLeast"/>
        </w:trPr>
        <w:tc>
          <w:tcPr>
            <w:tcW w:w="1977" w:type="dxa"/>
            <w:tcBorders>
              <w:top w:val="single" w:sz="4" w:space="0" w:color="000000"/>
              <w:left w:val="single" w:sz="4" w:space="0" w:color="000000"/>
              <w:bottom w:val="single" w:sz="4" w:space="0" w:color="000000"/>
              <w:right w:val="single" w:sz="4" w:space="0" w:color="000000"/>
            </w:tcBorders>
            <w:tcMar>
              <w:right w:w="70" w:type="dxa"/>
            </w:tcMar>
          </w:tcPr>
          <w:p>
            <w:pPr>
              <w:pStyle w:val="P68B1DB1Normal2"/>
              <w:widowControl w:val="false"/>
              <w:spacing w:before="40" w:after="40"/>
              <w:rPr>
                <w:highlight w:val="none"/>
              </w:rPr>
            </w:pPr>
            <w:r>
              <w:rPr>
                <w:highlight w:val="none"/>
              </w:rPr>
              <w:t>Splošni pogoji</w:t>
            </w:r>
          </w:p>
        </w:tc>
        <w:tc>
          <w:tcPr>
            <w:tcW w:w="8083" w:type="dxa"/>
            <w:gridSpan w:val="3"/>
            <w:tcBorders>
              <w:top w:val="single" w:sz="4" w:space="0" w:color="000000"/>
              <w:left w:val="single" w:sz="4" w:space="0" w:color="000000"/>
              <w:bottom w:val="single" w:sz="4" w:space="0" w:color="000000"/>
              <w:right w:val="single" w:sz="4" w:space="0" w:color="000000"/>
            </w:tcBorders>
            <w:tcMar>
              <w:right w:w="70" w:type="dxa"/>
            </w:tcMar>
          </w:tcPr>
          <w:p>
            <w:pPr>
              <w:pStyle w:val="P68B1DB1BodyTextIndent27"/>
              <w:widowControl w:val="false"/>
              <w:spacing w:before="40" w:after="40"/>
              <w:ind w:firstLine="6"/>
              <w:rPr>
                <w:highlight w:val="none"/>
              </w:rPr>
            </w:pPr>
            <w:r>
              <w:rPr>
                <w:highlight w:val="none"/>
              </w:rPr>
              <w:t>Splošni pogoji, kot so priloženi tej pogodbi, veljajo za vse zadeve, ki niso določene v besedilu te pogodbe.</w:t>
            </w:r>
          </w:p>
        </w:tc>
      </w:tr>
      <w:tr>
        <w:trPr>
          <w:trHeight w:val="286" w:hRule="atLeast"/>
          <w:cantSplit w:val="true"/>
        </w:trPr>
        <w:tc>
          <w:tcPr>
            <w:tcW w:w="1977" w:type="dxa"/>
            <w:vMerge w:val="restart"/>
            <w:tcBorders>
              <w:top w:val="single" w:sz="4" w:space="0" w:color="000000"/>
              <w:left w:val="single" w:sz="4" w:space="0" w:color="000000"/>
              <w:bottom w:val="single" w:sz="4" w:space="0" w:color="000000"/>
              <w:right w:val="single" w:sz="4" w:space="0" w:color="000000"/>
            </w:tcBorders>
            <w:tcMar>
              <w:right w:w="70" w:type="dxa"/>
            </w:tcMar>
          </w:tcPr>
          <w:p>
            <w:pPr>
              <w:pStyle w:val="P68B1DB1Normal2"/>
              <w:widowControl w:val="false"/>
              <w:spacing w:before="40" w:after="0"/>
              <w:rPr>
                <w:highlight w:val="none"/>
              </w:rPr>
            </w:pPr>
            <w:r>
              <w:rPr>
                <w:highlight w:val="none"/>
              </w:rPr>
              <w:t>Datum in podpisi</w:t>
            </w:r>
          </w:p>
        </w:tc>
        <w:tc>
          <w:tcPr>
            <w:tcW w:w="8083" w:type="dxa"/>
            <w:gridSpan w:val="3"/>
            <w:tcBorders>
              <w:top w:val="single" w:sz="4" w:space="0" w:color="000000"/>
              <w:left w:val="single" w:sz="4" w:space="0" w:color="000000"/>
              <w:bottom w:val="single" w:sz="4" w:space="0" w:color="000000"/>
              <w:right w:val="single" w:sz="4" w:space="0" w:color="000000"/>
            </w:tcBorders>
            <w:tcMar>
              <w:right w:w="70" w:type="dxa"/>
            </w:tcMar>
          </w:tcPr>
          <w:p>
            <w:pPr>
              <w:pStyle w:val="P68B1DB1BodyText28"/>
              <w:widowControl w:val="false"/>
              <w:spacing w:before="40" w:after="40"/>
              <w:rPr>
                <w:highlight w:val="none"/>
              </w:rPr>
            </w:pPr>
            <w:r>
              <w:rPr>
                <w:highlight w:val="none"/>
              </w:rPr>
              <w:t xml:space="preserve">Ta pogodba je bila sklenjena v (2) dveh izvodih, po en za vsako stranko. Predstavniki strank s tem zastopajo in jamčijo, da imajo polno zakonsko moč in pooblastila za podpis te pogodbe. </w:t>
            </w:r>
          </w:p>
        </w:tc>
      </w:tr>
      <w:tr>
        <w:trPr>
          <w:trHeight w:val="204" w:hRule="atLeast"/>
          <w:cantSplit w:val="true"/>
        </w:trPr>
        <w:tc>
          <w:tcPr>
            <w:tcW w:w="1977" w:type="dxa"/>
            <w:vMerge w:val="continue"/>
            <w:tcBorders>
              <w:top w:val="single" w:sz="4" w:space="0" w:color="000000"/>
              <w:left w:val="single" w:sz="4" w:space="0" w:color="000000"/>
              <w:bottom w:val="single" w:sz="4" w:space="0" w:color="000000"/>
              <w:right w:val="single" w:sz="4" w:space="0" w:color="000000"/>
            </w:tcBorders>
            <w:tcMar>
              <w:right w:w="70" w:type="dxa"/>
            </w:tcMar>
          </w:tcPr>
          <w:p>
            <w:pPr>
              <w:pStyle w:val="Normal"/>
              <w:widowControl w:val="false"/>
              <w:spacing w:before="40" w:after="0"/>
              <w:rPr>
                <w:rFonts w:ascii="Arial" w:hAnsi="Arial" w:cs="Arial"/>
                <w:b/>
                <w:b/>
                <w:sz w:val="14"/>
              </w:rPr>
            </w:pPr>
            <w:r>
              <w:rPr>
                <w:rFonts w:cs="Arial" w:ascii="Arial" w:hAnsi="Arial"/>
                <w:b/>
                <w:sz w:val="14"/>
              </w:rPr>
            </w:r>
          </w:p>
        </w:tc>
        <w:tc>
          <w:tcPr>
            <w:tcW w:w="3829" w:type="dxa"/>
            <w:gridSpan w:val="2"/>
            <w:tcBorders>
              <w:top w:val="single" w:sz="4" w:space="0" w:color="000000"/>
              <w:left w:val="single" w:sz="4" w:space="0" w:color="000000"/>
              <w:bottom w:val="single" w:sz="4" w:space="0" w:color="000000"/>
              <w:right w:val="single" w:sz="4" w:space="0" w:color="000000"/>
            </w:tcBorders>
            <w:tcMar>
              <w:right w:w="70" w:type="dxa"/>
            </w:tcMar>
          </w:tcPr>
          <w:p>
            <w:pPr>
              <w:pStyle w:val="P68B1DB1BodyText29"/>
              <w:widowControl w:val="false"/>
              <w:spacing w:before="40" w:after="40"/>
              <w:rPr>
                <w:highlight w:val="none"/>
              </w:rPr>
            </w:pPr>
            <w:r>
              <w:rPr>
                <w:highlight w:val="none"/>
              </w:rPr>
              <w:t xml:space="preserve">Kupec </w:t>
            </w:r>
          </w:p>
        </w:tc>
        <w:tc>
          <w:tcPr>
            <w:tcW w:w="4254" w:type="dxa"/>
            <w:tcBorders>
              <w:top w:val="single" w:sz="4" w:space="0" w:color="000000"/>
              <w:left w:val="single" w:sz="4" w:space="0" w:color="000000"/>
              <w:bottom w:val="single" w:sz="4" w:space="0" w:color="000000"/>
              <w:right w:val="single" w:sz="4" w:space="0" w:color="000000"/>
            </w:tcBorders>
            <w:tcMar>
              <w:right w:w="70" w:type="dxa"/>
            </w:tcMar>
          </w:tcPr>
          <w:p>
            <w:pPr>
              <w:pStyle w:val="P68B1DB1BodyText28"/>
              <w:widowControl w:val="false"/>
              <w:spacing w:before="40" w:after="40"/>
              <w:rPr>
                <w:highlight w:val="none"/>
              </w:rPr>
            </w:pPr>
            <w:r>
              <w:rPr>
                <w:b/>
                <w:highlight w:val="none"/>
              </w:rPr>
              <w:t>Lindström</w:t>
            </w:r>
            <w:r>
              <w:rPr>
                <w:highlight w:val="none"/>
              </w:rPr>
              <w:t xml:space="preserve"> </w:t>
            </w:r>
          </w:p>
        </w:tc>
      </w:tr>
      <w:tr>
        <w:trPr>
          <w:trHeight w:val="790" w:hRule="atLeast"/>
          <w:cantSplit w:val="true"/>
        </w:trPr>
        <w:tc>
          <w:tcPr>
            <w:tcW w:w="1977" w:type="dxa"/>
            <w:vMerge w:val="continue"/>
            <w:tcBorders>
              <w:top w:val="single" w:sz="4" w:space="0" w:color="000000"/>
              <w:left w:val="single" w:sz="4" w:space="0" w:color="000000"/>
              <w:bottom w:val="single" w:sz="4" w:space="0" w:color="000000"/>
              <w:right w:val="single" w:sz="4" w:space="0" w:color="000000"/>
            </w:tcBorders>
            <w:tcMar>
              <w:right w:w="70" w:type="dxa"/>
            </w:tcMar>
          </w:tcPr>
          <w:p>
            <w:pPr>
              <w:pStyle w:val="Normal"/>
              <w:widowControl w:val="false"/>
              <w:spacing w:before="40" w:after="0"/>
              <w:rPr>
                <w:rFonts w:ascii="Arial" w:hAnsi="Arial" w:cs="Arial"/>
                <w:b/>
                <w:b/>
                <w:sz w:val="14"/>
              </w:rPr>
            </w:pPr>
            <w:r>
              <w:rPr>
                <w:rFonts w:cs="Arial" w:ascii="Arial" w:hAnsi="Arial"/>
                <w:b/>
                <w:sz w:val="14"/>
              </w:rPr>
            </w:r>
          </w:p>
        </w:tc>
        <w:tc>
          <w:tcPr>
            <w:tcW w:w="3829" w:type="dxa"/>
            <w:gridSpan w:val="2"/>
            <w:tcBorders>
              <w:top w:val="single" w:sz="4" w:space="0" w:color="000000"/>
              <w:left w:val="single" w:sz="4" w:space="0" w:color="000000"/>
              <w:bottom w:val="single" w:sz="4" w:space="0" w:color="000000"/>
              <w:right w:val="single" w:sz="4" w:space="0" w:color="000000"/>
            </w:tcBorders>
            <w:tcMar>
              <w:right w:w="70" w:type="dxa"/>
            </w:tcMar>
          </w:tcPr>
          <w:p>
            <w:pPr>
              <w:pStyle w:val="P68B1DB1Header10"/>
              <w:widowControl w:val="false"/>
              <w:rPr>
                <w:b/>
                <w:b/>
                <w:highlight w:val="none"/>
              </w:rPr>
            </w:pPr>
            <w:r>
              <w:rPr>
                <w:highlight w:val="none"/>
              </w:rPr>
              <w:t xml:space="preserve">Datum in podpis </w:t>
            </w:r>
          </w:p>
        </w:tc>
        <w:tc>
          <w:tcPr>
            <w:tcW w:w="4254" w:type="dxa"/>
            <w:tcBorders>
              <w:top w:val="single" w:sz="4" w:space="0" w:color="000000"/>
              <w:left w:val="single" w:sz="4" w:space="0" w:color="000000"/>
              <w:bottom w:val="single" w:sz="4" w:space="0" w:color="000000"/>
              <w:right w:val="single" w:sz="4" w:space="0" w:color="000000"/>
            </w:tcBorders>
            <w:tcMar>
              <w:right w:w="70" w:type="dxa"/>
            </w:tcMar>
          </w:tcPr>
          <w:p>
            <w:pPr>
              <w:pStyle w:val="P68B1DB1BodyText28"/>
              <w:widowControl w:val="false"/>
              <w:spacing w:before="40" w:after="40"/>
              <w:rPr>
                <w:highlight w:val="none"/>
              </w:rPr>
            </w:pPr>
            <w:r>
              <w:rPr>
                <w:highlight w:val="none"/>
              </w:rPr>
              <w:t xml:space="preserve">Datum in podpis </w:t>
            </w:r>
          </w:p>
        </w:tc>
      </w:tr>
      <w:tr>
        <w:trPr>
          <w:trHeight w:val="406" w:hRule="atLeast"/>
          <w:cantSplit w:val="true"/>
        </w:trPr>
        <w:tc>
          <w:tcPr>
            <w:tcW w:w="1977" w:type="dxa"/>
            <w:vMerge w:val="continue"/>
            <w:tcBorders>
              <w:top w:val="single" w:sz="4" w:space="0" w:color="000000"/>
              <w:left w:val="single" w:sz="4" w:space="0" w:color="000000"/>
              <w:bottom w:val="single" w:sz="4" w:space="0" w:color="000000"/>
              <w:right w:val="single" w:sz="4" w:space="0" w:color="000000"/>
            </w:tcBorders>
            <w:tcMar>
              <w:right w:w="70" w:type="dxa"/>
            </w:tcMar>
          </w:tcPr>
          <w:p>
            <w:pPr>
              <w:pStyle w:val="Normal"/>
              <w:widowControl w:val="false"/>
              <w:spacing w:before="40" w:after="0"/>
              <w:rPr>
                <w:rFonts w:ascii="Arial" w:hAnsi="Arial" w:cs="Arial"/>
                <w:b/>
                <w:b/>
                <w:sz w:val="14"/>
              </w:rPr>
            </w:pPr>
            <w:r>
              <w:rPr>
                <w:rFonts w:cs="Arial" w:ascii="Arial" w:hAnsi="Arial"/>
                <w:b/>
                <w:sz w:val="14"/>
              </w:rPr>
            </w:r>
          </w:p>
        </w:tc>
        <w:tc>
          <w:tcPr>
            <w:tcW w:w="3829" w:type="dxa"/>
            <w:gridSpan w:val="2"/>
            <w:tcBorders>
              <w:top w:val="single" w:sz="4" w:space="0" w:color="000000"/>
              <w:left w:val="single" w:sz="4" w:space="0" w:color="000000"/>
              <w:bottom w:val="single" w:sz="4" w:space="0" w:color="000000"/>
              <w:right w:val="single" w:sz="4" w:space="0" w:color="000000"/>
            </w:tcBorders>
            <w:tcMar>
              <w:right w:w="70" w:type="dxa"/>
            </w:tcMar>
          </w:tcPr>
          <w:p>
            <w:pPr>
              <w:pStyle w:val="P68B1DB1Normal2"/>
              <w:widowControl w:val="false"/>
              <w:overflowPunct w:val="false"/>
              <w:textAlignment w:val="auto"/>
              <w:rPr>
                <w:b/>
                <w:b/>
                <w:highlight w:val="none"/>
              </w:rPr>
            </w:pPr>
            <w:r>
              <w:rPr>
                <w:highlight w:val="none"/>
              </w:rPr>
              <w:t>Ime (z velikimi tiskanimi črkami):</w:t>
            </w:r>
          </w:p>
        </w:tc>
        <w:tc>
          <w:tcPr>
            <w:tcW w:w="4254" w:type="dxa"/>
            <w:tcBorders>
              <w:top w:val="single" w:sz="4" w:space="0" w:color="000000"/>
              <w:left w:val="single" w:sz="4" w:space="0" w:color="000000"/>
              <w:bottom w:val="single" w:sz="4" w:space="0" w:color="000000"/>
              <w:right w:val="single" w:sz="4" w:space="0" w:color="000000"/>
            </w:tcBorders>
            <w:tcMar>
              <w:right w:w="70" w:type="dxa"/>
            </w:tcMar>
          </w:tcPr>
          <w:p>
            <w:pPr>
              <w:pStyle w:val="P68B1DB1Normal2"/>
              <w:widowControl w:val="false"/>
              <w:overflowPunct w:val="false"/>
              <w:textAlignment w:val="auto"/>
              <w:rPr>
                <w:b/>
                <w:b/>
                <w:highlight w:val="none"/>
              </w:rPr>
            </w:pPr>
            <w:r>
              <w:rPr>
                <w:highlight w:val="none"/>
              </w:rPr>
              <w:t>Ime (z velikimi tiskanimi črkami):</w:t>
            </w:r>
          </w:p>
        </w:tc>
      </w:tr>
    </w:tbl>
    <w:p>
      <w:pPr>
        <w:sectPr>
          <w:headerReference w:type="default" r:id="rId2"/>
          <w:footerReference w:type="default" r:id="rId3"/>
          <w:type w:val="nextPage"/>
          <w:pgSz w:w="11906" w:h="16838"/>
          <w:pgMar w:left="425" w:right="454" w:gutter="0" w:header="907" w:top="1021" w:footer="0" w:bottom="57"/>
          <w:pgBorders w:display="allPages" w:offsetFrom="text">
            <w:right w:val="single" w:sz="8" w:space="0" w:color="FFFFFF"/>
          </w:pgBorders>
          <w:pgNumType w:fmt="decimal"/>
          <w:formProt w:val="false"/>
          <w:textDirection w:val="lrTb"/>
          <w:docGrid w:type="default" w:linePitch="360" w:charSpace="8192"/>
        </w:sectPr>
      </w:pPr>
    </w:p>
    <w:p>
      <w:pPr>
        <w:pStyle w:val="Normal"/>
        <w:rPr>
          <w:rFonts w:ascii="Calibri" w:hAnsi="Calibri" w:cs="Calibri" w:asciiTheme="minorHAnsi" w:cstheme="minorHAnsi" w:hAnsiTheme="minorHAnsi"/>
          <w:sz w:val="11"/>
        </w:rPr>
      </w:pPr>
      <w:r>
        <w:rPr>
          <w:rFonts w:cs="Calibri" w:cstheme="minorHAnsi" w:ascii="Calibri" w:hAnsi="Calibri"/>
          <w:sz w:val="11"/>
        </w:rPr>
      </w:r>
    </w:p>
    <w:p>
      <w:pPr>
        <w:sectPr>
          <w:type w:val="continuous"/>
          <w:pgSz w:w="11906" w:h="16838"/>
          <w:pgMar w:left="425" w:right="454" w:gutter="0" w:header="907" w:top="1021" w:footer="0" w:bottom="57"/>
          <w:cols w:num="2" w:space="624" w:equalWidth="true" w:sep="false"/>
          <w:formProt w:val="false"/>
          <w:textDirection w:val="lrTb"/>
          <w:docGrid w:type="default" w:linePitch="360" w:charSpace="8192"/>
        </w:sectPr>
      </w:pPr>
    </w:p>
    <w:p>
      <w:pPr>
        <w:pStyle w:val="ListParagraph"/>
        <w:numPr>
          <w:ilvl w:val="0"/>
          <w:numId w:val="11"/>
        </w:numPr>
        <w:spacing w:lineRule="atLeast" w:line="20"/>
        <w:jc w:val="both"/>
        <w:rPr>
          <w:rFonts w:ascii="Calibri" w:hAnsi="Calibri" w:cs="Calibri"/>
          <w:b/>
          <w:b/>
          <w:color w:val="003F72"/>
          <w:sz w:val="10"/>
          <w:szCs w:val="10"/>
          <w:lang w:bidi="en-GB"/>
        </w:rPr>
      </w:pPr>
      <w:r>
        <w:rPr>
          <w:rFonts w:cs="Calibri" w:ascii="Calibri" w:hAnsi="Calibri"/>
          <w:b/>
          <w:color w:val="003F72"/>
          <w:sz w:val="10"/>
          <w:szCs w:val="10"/>
          <w:lang w:bidi="en-GB"/>
        </w:rPr>
        <w:t>Veljavnost splošnih pogojev podjetja Lindström</w:t>
      </w:r>
    </w:p>
    <w:p>
      <w:pPr>
        <w:pStyle w:val="Normal"/>
        <w:spacing w:lineRule="atLeast" w:line="20"/>
        <w:ind w:left="284" w:hanging="284"/>
        <w:jc w:val="both"/>
        <w:rPr>
          <w:rFonts w:ascii="Calibri" w:hAnsi="Calibri" w:cs="Calibri"/>
          <w:sz w:val="10"/>
          <w:szCs w:val="10"/>
          <w:lang w:bidi="en-GB"/>
        </w:rPr>
      </w:pPr>
      <w:r>
        <w:rPr>
          <w:rFonts w:cs="Calibri" w:ascii="Calibri" w:hAnsi="Calibri"/>
          <w:sz w:val="10"/>
          <w:szCs w:val="10"/>
          <w:lang w:bidi="en-GB"/>
        </w:rPr>
      </w:r>
    </w:p>
    <w:p>
      <w:pPr>
        <w:pStyle w:val="Normal"/>
        <w:ind w:left="284" w:hanging="0"/>
        <w:rPr>
          <w:rFonts w:ascii="Calibri" w:hAnsi="Calibri" w:cs="Calibri"/>
          <w:sz w:val="10"/>
          <w:szCs w:val="10"/>
          <w:lang w:bidi="en-GB"/>
        </w:rPr>
      </w:pPr>
      <w:r>
        <w:rPr>
          <w:rFonts w:cs="Calibri" w:ascii="Calibri" w:hAnsi="Calibri"/>
          <w:sz w:val="10"/>
          <w:szCs w:val="10"/>
          <w:lang w:bidi="en-GB"/>
        </w:rPr>
        <w:t>Ti pogoji veljajo za vse Pogodbe o storitvi, ki jih je izdal Lindström, vključno s pogodbami, sklenjenimi prek spletne storitve eLindström, in šteje se, da jih je kupec sprejel s podpisom Pogodbe o storitvi.</w:t>
      </w:r>
    </w:p>
    <w:p>
      <w:pPr>
        <w:pStyle w:val="Normal"/>
        <w:ind w:left="284" w:hanging="0"/>
        <w:rPr>
          <w:rFonts w:ascii="Calibri" w:hAnsi="Calibri" w:cs="Calibri"/>
          <w:sz w:val="10"/>
          <w:szCs w:val="10"/>
          <w:lang w:bidi="en-GB"/>
        </w:rPr>
      </w:pPr>
      <w:r>
        <w:rPr>
          <w:rFonts w:cs="Calibri" w:ascii="Calibri" w:hAnsi="Calibri"/>
          <w:sz w:val="10"/>
          <w:szCs w:val="10"/>
          <w:lang w:bidi="en-GB"/>
        </w:rPr>
        <w:t>Ti Splošni pogoji so veljavni od 01.08.2020 do nadaljnjega obvestila.</w:t>
      </w:r>
    </w:p>
    <w:p>
      <w:pPr>
        <w:pStyle w:val="Normal"/>
        <w:ind w:left="284" w:hanging="0"/>
        <w:rPr>
          <w:rFonts w:ascii="Calibri" w:hAnsi="Calibri" w:cs="Calibri"/>
          <w:sz w:val="10"/>
          <w:szCs w:val="10"/>
          <w:lang w:bidi="en-GB"/>
        </w:rPr>
      </w:pPr>
      <w:r>
        <w:rPr>
          <w:rFonts w:cs="Calibri" w:ascii="Calibri" w:hAnsi="Calibri"/>
          <w:sz w:val="10"/>
          <w:szCs w:val="10"/>
          <w:lang w:bidi="en-GB"/>
        </w:rPr>
        <w:t>Sprememba teh Splošnih pogojev je zavezujoča le, če je pisno dogovorjena.</w:t>
      </w:r>
    </w:p>
    <w:p>
      <w:pPr>
        <w:pStyle w:val="Normal"/>
        <w:numPr>
          <w:ilvl w:val="0"/>
          <w:numId w:val="11"/>
        </w:numPr>
        <w:tabs>
          <w:tab w:val="clear" w:pos="1304"/>
          <w:tab w:val="left" w:pos="426" w:leader="none"/>
        </w:tabs>
        <w:spacing w:lineRule="atLeast" w:line="20"/>
        <w:rPr>
          <w:rFonts w:ascii="Calibri" w:hAnsi="Calibri" w:cs="Calibri"/>
          <w:b/>
          <w:b/>
          <w:bCs/>
          <w:color w:val="003F72"/>
          <w:sz w:val="10"/>
          <w:szCs w:val="10"/>
          <w:lang w:eastAsia="en-US"/>
        </w:rPr>
      </w:pPr>
      <w:bookmarkStart w:id="12" w:name="_Hlk78963988"/>
      <w:r>
        <w:rPr>
          <w:rFonts w:cs="Calibri" w:ascii="Calibri" w:hAnsi="Calibri"/>
          <w:b/>
          <w:bCs/>
          <w:color w:val="003F72"/>
          <w:sz w:val="10"/>
          <w:szCs w:val="10"/>
          <w:lang w:eastAsia="en-US"/>
        </w:rPr>
        <w:t>Opredelitev pojmov in interpretacija</w:t>
      </w:r>
      <w:bookmarkEnd w:id="12"/>
    </w:p>
    <w:p>
      <w:pPr>
        <w:pStyle w:val="Normal"/>
        <w:tabs>
          <w:tab w:val="clear" w:pos="1304"/>
          <w:tab w:val="left" w:pos="284" w:leader="none"/>
        </w:tabs>
        <w:spacing w:lineRule="atLeast" w:line="20"/>
        <w:ind w:left="284" w:hanging="284"/>
        <w:rPr>
          <w:rFonts w:ascii="Calibri" w:hAnsi="Calibri" w:cs="Calibri"/>
          <w:color w:val="000000"/>
          <w:sz w:val="10"/>
          <w:szCs w:val="10"/>
          <w:lang w:eastAsia="en-US"/>
        </w:rPr>
      </w:pPr>
      <w:r>
        <w:rPr>
          <w:rFonts w:cs="Calibri" w:ascii="Calibri" w:hAnsi="Calibri"/>
          <w:color w:val="000000"/>
          <w:sz w:val="10"/>
          <w:szCs w:val="10"/>
          <w:lang w:eastAsia="en-US"/>
        </w:rPr>
        <w:tab/>
        <w:t xml:space="preserve">Besede in izrazi, ki se uporabljajo v teh Pogojih in v Pogodbi o storitvi imajo naslednji pomen: </w:t>
      </w:r>
    </w:p>
    <w:p>
      <w:pPr>
        <w:pStyle w:val="Normal"/>
        <w:numPr>
          <w:ilvl w:val="0"/>
          <w:numId w:val="6"/>
        </w:numPr>
        <w:spacing w:lineRule="atLeast" w:line="20"/>
        <w:ind w:left="567" w:hanging="283"/>
        <w:rPr>
          <w:rFonts w:ascii="Calibri" w:hAnsi="Calibri" w:cs="Calibri"/>
          <w:b/>
          <w:b/>
          <w:color w:val="000000"/>
          <w:sz w:val="10"/>
          <w:szCs w:val="10"/>
          <w:lang w:eastAsia="en-US"/>
        </w:rPr>
      </w:pPr>
      <w:r>
        <w:rPr>
          <w:rFonts w:cs="Calibri" w:ascii="Calibri" w:hAnsi="Calibri"/>
          <w:b/>
          <w:color w:val="000000"/>
          <w:sz w:val="10"/>
          <w:szCs w:val="10"/>
          <w:lang w:eastAsia="en-US"/>
        </w:rPr>
        <w:t xml:space="preserve">Pogodba o storitvi: </w:t>
      </w:r>
      <w:r>
        <w:rPr>
          <w:rFonts w:cs="Calibri" w:ascii="Calibri" w:hAnsi="Calibri"/>
          <w:bCs/>
          <w:color w:val="000000"/>
          <w:sz w:val="10"/>
          <w:szCs w:val="10"/>
          <w:lang w:eastAsia="en-US"/>
        </w:rPr>
        <w:t>Dogovor med Lindströmom in kupcem, ki določa dogovorjeni obseg storitev (nadalje lahko: Pogodba).</w:t>
      </w:r>
      <w:r>
        <w:rPr>
          <w:rFonts w:cs="Calibri" w:ascii="Calibri" w:hAnsi="Calibri"/>
          <w:b/>
          <w:color w:val="000000"/>
          <w:sz w:val="10"/>
          <w:szCs w:val="10"/>
          <w:lang w:eastAsia="en-US"/>
        </w:rPr>
        <w:t xml:space="preserve"> </w:t>
      </w:r>
    </w:p>
    <w:p>
      <w:pPr>
        <w:pStyle w:val="Normal"/>
        <w:numPr>
          <w:ilvl w:val="0"/>
          <w:numId w:val="6"/>
        </w:numPr>
        <w:tabs>
          <w:tab w:val="clear" w:pos="1304"/>
          <w:tab w:val="left" w:pos="284" w:leader="none"/>
        </w:tabs>
        <w:spacing w:lineRule="atLeast" w:line="20"/>
        <w:ind w:left="567" w:hanging="283"/>
        <w:rPr>
          <w:rFonts w:ascii="Calibri" w:hAnsi="Calibri" w:cs="Calibri"/>
          <w:color w:val="000000"/>
          <w:sz w:val="10"/>
          <w:szCs w:val="10"/>
          <w:lang w:eastAsia="en-US"/>
        </w:rPr>
      </w:pPr>
      <w:r>
        <w:rPr>
          <w:rFonts w:cs="Calibri" w:ascii="Calibri" w:hAnsi="Calibri"/>
          <w:b/>
          <w:color w:val="000000"/>
          <w:sz w:val="10"/>
          <w:szCs w:val="10"/>
          <w:lang w:eastAsia="en-US"/>
        </w:rPr>
        <w:t xml:space="preserve">Kupcu prilagojeni izdelki: </w:t>
      </w:r>
      <w:r>
        <w:rPr>
          <w:rFonts w:cs="Calibri" w:ascii="Calibri" w:hAnsi="Calibri"/>
          <w:color w:val="000000"/>
          <w:sz w:val="10"/>
          <w:szCs w:val="10"/>
          <w:lang w:eastAsia="en-US"/>
        </w:rPr>
        <w:t>Izdelki izven standardne ponudbe, posebej oblikovani za kupca in so predmet te pogodbe.</w:t>
      </w:r>
    </w:p>
    <w:p>
      <w:pPr>
        <w:pStyle w:val="Normal"/>
        <w:numPr>
          <w:ilvl w:val="0"/>
          <w:numId w:val="6"/>
        </w:numPr>
        <w:tabs>
          <w:tab w:val="clear" w:pos="1304"/>
          <w:tab w:val="left" w:pos="284" w:leader="none"/>
        </w:tabs>
        <w:spacing w:lineRule="atLeast" w:line="20"/>
        <w:ind w:left="567" w:hanging="283"/>
        <w:rPr>
          <w:rFonts w:ascii="Calibri" w:hAnsi="Calibri" w:cs="Calibri"/>
          <w:b/>
          <w:b/>
          <w:color w:val="000000"/>
          <w:sz w:val="10"/>
          <w:szCs w:val="10"/>
          <w:lang w:eastAsia="en-US"/>
        </w:rPr>
      </w:pPr>
      <w:r>
        <w:rPr>
          <w:rFonts w:cs="Calibri" w:ascii="Calibri" w:hAnsi="Calibri"/>
          <w:b/>
          <w:color w:val="000000"/>
          <w:sz w:val="10"/>
          <w:szCs w:val="10"/>
          <w:lang w:eastAsia="en-US"/>
        </w:rPr>
        <w:t xml:space="preserve">Kupec: </w:t>
      </w:r>
      <w:r>
        <w:rPr>
          <w:rFonts w:cs="Calibri" w:ascii="Calibri" w:hAnsi="Calibri"/>
          <w:color w:val="000000"/>
          <w:sz w:val="10"/>
          <w:szCs w:val="10"/>
          <w:lang w:eastAsia="en-US"/>
        </w:rPr>
        <w:t xml:space="preserve">Pogodbena stranka, s katero je bila podpisana Pogodba o storitvi in katere korporativne podrobnosti so določene s Pogodbo o storitvi . </w:t>
      </w:r>
    </w:p>
    <w:p>
      <w:pPr>
        <w:pStyle w:val="Normal"/>
        <w:numPr>
          <w:ilvl w:val="0"/>
          <w:numId w:val="6"/>
        </w:numPr>
        <w:tabs>
          <w:tab w:val="clear" w:pos="1304"/>
          <w:tab w:val="left" w:pos="284" w:leader="none"/>
        </w:tabs>
        <w:spacing w:lineRule="atLeast" w:line="20"/>
        <w:ind w:left="567" w:hanging="283"/>
        <w:rPr>
          <w:rFonts w:ascii="Calibri" w:hAnsi="Calibri" w:cs="Calibri"/>
          <w:b/>
          <w:b/>
          <w:color w:val="000000"/>
          <w:sz w:val="10"/>
          <w:szCs w:val="10"/>
          <w:lang w:eastAsia="en-US"/>
        </w:rPr>
      </w:pPr>
      <w:r>
        <w:rPr>
          <w:rFonts w:cs="Calibri" w:ascii="Calibri" w:hAnsi="Calibri"/>
          <w:b/>
          <w:color w:val="000000"/>
          <w:sz w:val="10"/>
          <w:szCs w:val="10"/>
          <w:lang w:eastAsia="en-US"/>
        </w:rPr>
        <w:t xml:space="preserve">Dostava: </w:t>
      </w:r>
      <w:r>
        <w:rPr>
          <w:rFonts w:cs="Calibri" w:ascii="Calibri" w:hAnsi="Calibri"/>
          <w:bCs/>
          <w:color w:val="000000"/>
          <w:sz w:val="10"/>
          <w:szCs w:val="10"/>
          <w:lang w:eastAsia="en-US"/>
        </w:rPr>
        <w:t>Transport, izročitev in/ali prevzem izdelkov od kupca, ki so bili na voljo za njihov predvideni namen.</w:t>
      </w:r>
    </w:p>
    <w:p>
      <w:pPr>
        <w:pStyle w:val="Normal"/>
        <w:numPr>
          <w:ilvl w:val="0"/>
          <w:numId w:val="6"/>
        </w:numPr>
        <w:tabs>
          <w:tab w:val="clear" w:pos="1304"/>
          <w:tab w:val="left" w:pos="284" w:leader="none"/>
        </w:tabs>
        <w:spacing w:lineRule="atLeast" w:line="20"/>
        <w:ind w:left="567" w:hanging="283"/>
        <w:rPr>
          <w:rFonts w:ascii="Calibri" w:hAnsi="Calibri" w:cs="Calibri"/>
          <w:b/>
          <w:b/>
          <w:color w:val="000000"/>
          <w:sz w:val="10"/>
          <w:szCs w:val="10"/>
          <w:lang w:eastAsia="en-US"/>
        </w:rPr>
      </w:pPr>
      <w:r>
        <w:rPr>
          <w:rFonts w:cs="Calibri" w:ascii="Calibri" w:hAnsi="Calibri"/>
          <w:b/>
          <w:color w:val="000000"/>
          <w:sz w:val="10"/>
          <w:szCs w:val="10"/>
          <w:lang w:eastAsia="en-US"/>
        </w:rPr>
        <w:t xml:space="preserve">Lindström: </w:t>
      </w:r>
      <w:r>
        <w:rPr>
          <w:rFonts w:cs="Calibri" w:ascii="Calibri" w:hAnsi="Calibri"/>
          <w:color w:val="000000"/>
          <w:sz w:val="10"/>
          <w:szCs w:val="10"/>
          <w:lang w:eastAsia="en-US"/>
        </w:rPr>
        <w:t>subjekt Lindström iz Pogodbe (veljaven naziv tudi Lindstrom).</w:t>
      </w:r>
      <w:r>
        <w:rPr>
          <w:rFonts w:cs="Calibri" w:ascii="Calibri" w:hAnsi="Calibri"/>
          <w:b/>
          <w:color w:val="000000"/>
          <w:sz w:val="10"/>
          <w:szCs w:val="10"/>
          <w:lang w:eastAsia="en-US"/>
        </w:rPr>
        <w:t xml:space="preserve"> </w:t>
      </w:r>
    </w:p>
    <w:p>
      <w:pPr>
        <w:pStyle w:val="Normal"/>
        <w:numPr>
          <w:ilvl w:val="0"/>
          <w:numId w:val="6"/>
        </w:numPr>
        <w:tabs>
          <w:tab w:val="clear" w:pos="1304"/>
          <w:tab w:val="left" w:pos="284" w:leader="none"/>
        </w:tabs>
        <w:spacing w:lineRule="atLeast" w:line="20"/>
        <w:ind w:left="567" w:hanging="283"/>
        <w:rPr>
          <w:rFonts w:ascii="Calibri" w:hAnsi="Calibri" w:cs="Calibri"/>
          <w:b/>
          <w:b/>
          <w:color w:val="000000"/>
          <w:sz w:val="10"/>
          <w:szCs w:val="10"/>
          <w:lang w:eastAsia="en-US"/>
        </w:rPr>
      </w:pPr>
      <w:r>
        <w:rPr>
          <w:rFonts w:cs="Calibri" w:ascii="Calibri" w:hAnsi="Calibri"/>
          <w:b/>
          <w:color w:val="000000"/>
          <w:sz w:val="10"/>
          <w:szCs w:val="10"/>
          <w:lang w:eastAsia="en-US"/>
        </w:rPr>
        <w:t xml:space="preserve">Pogodbeni stranki: </w:t>
      </w:r>
      <w:r>
        <w:rPr>
          <w:rFonts w:cs="Calibri" w:ascii="Calibri" w:hAnsi="Calibri"/>
          <w:color w:val="000000"/>
          <w:sz w:val="10"/>
          <w:szCs w:val="10"/>
          <w:lang w:eastAsia="en-US"/>
        </w:rPr>
        <w:t>Lindström in / ali kupec, kot je navedeno v Pogodbi in v teh Pogojih</w:t>
      </w:r>
    </w:p>
    <w:p>
      <w:pPr>
        <w:pStyle w:val="Normal"/>
        <w:numPr>
          <w:ilvl w:val="0"/>
          <w:numId w:val="6"/>
        </w:numPr>
        <w:tabs>
          <w:tab w:val="clear" w:pos="1304"/>
          <w:tab w:val="left" w:pos="284" w:leader="none"/>
        </w:tabs>
        <w:spacing w:lineRule="atLeast" w:line="20"/>
        <w:ind w:left="567" w:hanging="283"/>
        <w:rPr>
          <w:rFonts w:ascii="Calibri" w:hAnsi="Calibri" w:cs="Calibri"/>
          <w:b/>
          <w:b/>
          <w:color w:val="000000"/>
          <w:sz w:val="10"/>
          <w:szCs w:val="10"/>
          <w:lang w:eastAsia="en-US"/>
        </w:rPr>
      </w:pPr>
      <w:r>
        <w:rPr>
          <w:rFonts w:cs="Calibri" w:ascii="Calibri" w:hAnsi="Calibri"/>
          <w:b/>
          <w:sz w:val="10"/>
          <w:szCs w:val="10"/>
        </w:rPr>
        <w:t xml:space="preserve">Cena: </w:t>
      </w:r>
      <w:r>
        <w:rPr>
          <w:rFonts w:cs="Calibri" w:ascii="Calibri" w:hAnsi="Calibri"/>
          <w:sz w:val="10"/>
          <w:szCs w:val="10"/>
        </w:rPr>
        <w:t>Cena (-e) in / ali stopnja (-e) in/ali pristojbina (-e) za storitve in izdelke po dogovoru pogodbenic</w:t>
      </w:r>
    </w:p>
    <w:p>
      <w:pPr>
        <w:pStyle w:val="Normal"/>
        <w:numPr>
          <w:ilvl w:val="0"/>
          <w:numId w:val="6"/>
        </w:numPr>
        <w:spacing w:lineRule="atLeast" w:line="20"/>
        <w:ind w:left="567" w:hanging="283"/>
        <w:rPr>
          <w:rFonts w:ascii="Calibri" w:hAnsi="Calibri" w:cs="Calibri"/>
          <w:b/>
          <w:b/>
          <w:color w:val="000000"/>
          <w:sz w:val="10"/>
          <w:szCs w:val="10"/>
          <w:lang w:eastAsia="en-US"/>
        </w:rPr>
      </w:pPr>
      <w:r>
        <w:rPr>
          <w:rFonts w:cs="Calibri" w:ascii="Calibri" w:hAnsi="Calibri"/>
          <w:b/>
          <w:color w:val="000000"/>
          <w:sz w:val="10"/>
          <w:szCs w:val="10"/>
          <w:lang w:eastAsia="en-US"/>
        </w:rPr>
        <w:t xml:space="preserve">Izdelek: </w:t>
      </w:r>
      <w:r>
        <w:rPr>
          <w:rFonts w:cs="Calibri" w:ascii="Calibri" w:hAnsi="Calibri"/>
          <w:sz w:val="10"/>
          <w:szCs w:val="10"/>
        </w:rPr>
        <w:t>Blago in predmeti, ki so del posameznega servisa, ki je opisan v Pogodbi o storitvah.</w:t>
      </w:r>
    </w:p>
    <w:p>
      <w:pPr>
        <w:pStyle w:val="Normal"/>
        <w:numPr>
          <w:ilvl w:val="0"/>
          <w:numId w:val="6"/>
        </w:numPr>
        <w:spacing w:lineRule="atLeast" w:line="20"/>
        <w:ind w:left="567" w:hanging="283"/>
        <w:rPr>
          <w:rFonts w:ascii="Calibri" w:hAnsi="Calibri" w:cs="Calibri"/>
          <w:b/>
          <w:b/>
          <w:color w:val="000000"/>
          <w:sz w:val="10"/>
          <w:szCs w:val="10"/>
          <w:lang w:eastAsia="en-US"/>
        </w:rPr>
      </w:pPr>
      <w:r>
        <w:rPr>
          <w:rFonts w:cs="Calibri" w:ascii="Calibri" w:hAnsi="Calibri"/>
          <w:b/>
          <w:color w:val="000000"/>
          <w:sz w:val="10"/>
          <w:szCs w:val="10"/>
          <w:lang w:eastAsia="en-US"/>
        </w:rPr>
        <w:t xml:space="preserve">Izdelek zunanjega ponudnika: </w:t>
      </w:r>
      <w:r>
        <w:rPr>
          <w:rFonts w:cs="Calibri" w:ascii="Calibri" w:hAnsi="Calibri"/>
          <w:bCs/>
          <w:color w:val="000000"/>
          <w:sz w:val="10"/>
          <w:szCs w:val="10"/>
          <w:lang w:eastAsia="en-US"/>
        </w:rPr>
        <w:t>pogodbeno dogovorjen in potrjen Izdelek, ki ga ne izdeluje Lindstrom temveč eden njegovih pogodbenih partnerjev</w:t>
      </w:r>
    </w:p>
    <w:p>
      <w:pPr>
        <w:pStyle w:val="Normal"/>
        <w:numPr>
          <w:ilvl w:val="0"/>
          <w:numId w:val="6"/>
        </w:numPr>
        <w:tabs>
          <w:tab w:val="clear" w:pos="1304"/>
          <w:tab w:val="left" w:pos="284" w:leader="none"/>
        </w:tabs>
        <w:spacing w:lineRule="atLeast" w:line="20"/>
        <w:ind w:left="567" w:hanging="283"/>
        <w:rPr>
          <w:rFonts w:ascii="Calibri" w:hAnsi="Calibri" w:cs="Calibri"/>
          <w:b/>
          <w:b/>
          <w:sz w:val="10"/>
          <w:szCs w:val="10"/>
        </w:rPr>
      </w:pPr>
      <w:r>
        <w:rPr>
          <w:rFonts w:cs="Calibri" w:ascii="Calibri" w:hAnsi="Calibri"/>
          <w:b/>
          <w:color w:val="000000"/>
          <w:sz w:val="10"/>
          <w:szCs w:val="10"/>
          <w:lang w:eastAsia="en-US"/>
        </w:rPr>
        <w:t xml:space="preserve">Opis storitve: </w:t>
      </w:r>
      <w:r>
        <w:rPr>
          <w:rFonts w:cs="Calibri" w:ascii="Calibri" w:hAnsi="Calibri"/>
          <w:bCs/>
          <w:color w:val="000000"/>
          <w:sz w:val="10"/>
          <w:szCs w:val="10"/>
          <w:lang w:eastAsia="en-US"/>
        </w:rPr>
        <w:t>Opredelitev in specifikacija obsega storitev in izdelkov</w:t>
      </w:r>
      <w:r>
        <w:rPr>
          <w:rFonts w:cs="Calibri" w:ascii="Calibri" w:hAnsi="Calibri"/>
          <w:b/>
          <w:sz w:val="10"/>
          <w:szCs w:val="10"/>
        </w:rPr>
        <w:t xml:space="preserve"> </w:t>
      </w:r>
    </w:p>
    <w:p>
      <w:pPr>
        <w:pStyle w:val="Normal"/>
        <w:numPr>
          <w:ilvl w:val="0"/>
          <w:numId w:val="6"/>
        </w:numPr>
        <w:tabs>
          <w:tab w:val="clear" w:pos="1304"/>
          <w:tab w:val="left" w:pos="284" w:leader="none"/>
        </w:tabs>
        <w:spacing w:lineRule="atLeast" w:line="20"/>
        <w:ind w:left="567" w:hanging="283"/>
        <w:rPr>
          <w:rFonts w:ascii="Calibri" w:hAnsi="Calibri" w:cs="Calibri"/>
          <w:color w:val="000000"/>
          <w:sz w:val="10"/>
          <w:szCs w:val="10"/>
          <w:lang w:eastAsia="en-US"/>
        </w:rPr>
      </w:pPr>
      <w:r>
        <w:rPr>
          <w:rFonts w:cs="Calibri" w:ascii="Calibri" w:hAnsi="Calibri"/>
          <w:b/>
          <w:color w:val="000000"/>
          <w:sz w:val="10"/>
          <w:szCs w:val="10"/>
          <w:lang w:eastAsia="en-US"/>
        </w:rPr>
        <w:t xml:space="preserve">Storitev: </w:t>
      </w:r>
      <w:r>
        <w:rPr>
          <w:rFonts w:cs="Calibri" w:ascii="Calibri" w:hAnsi="Calibri"/>
          <w:bCs/>
          <w:color w:val="000000"/>
          <w:sz w:val="10"/>
          <w:szCs w:val="10"/>
          <w:lang w:eastAsia="en-US"/>
        </w:rPr>
        <w:t>Storitve, opravljene v skladu s Pogodbo o storitvi, vključno z eLindström, ali kakršna koli dela, ki jih mora izvajati Lindström v skladu s Pogodbo.</w:t>
      </w:r>
      <w:r>
        <w:rPr>
          <w:rFonts w:cs="Calibri" w:ascii="Calibri" w:hAnsi="Calibri"/>
          <w:b/>
          <w:color w:val="000000"/>
          <w:sz w:val="10"/>
          <w:szCs w:val="10"/>
          <w:lang w:eastAsia="en-US"/>
        </w:rPr>
        <w:t xml:space="preserve"> </w:t>
      </w:r>
    </w:p>
    <w:p>
      <w:pPr>
        <w:pStyle w:val="Normal"/>
        <w:numPr>
          <w:ilvl w:val="0"/>
          <w:numId w:val="6"/>
        </w:numPr>
        <w:spacing w:lineRule="atLeast" w:line="20"/>
        <w:ind w:left="567" w:hanging="283"/>
        <w:rPr>
          <w:rFonts w:ascii="Calibri" w:hAnsi="Calibri" w:cs="Calibri"/>
          <w:b/>
          <w:b/>
          <w:color w:val="000000"/>
          <w:sz w:val="10"/>
          <w:szCs w:val="10"/>
          <w:lang w:eastAsia="en-US"/>
        </w:rPr>
      </w:pPr>
      <w:r>
        <w:rPr>
          <w:rFonts w:cs="Calibri" w:ascii="Calibri" w:hAnsi="Calibri"/>
          <w:b/>
          <w:color w:val="000000"/>
          <w:sz w:val="10"/>
          <w:szCs w:val="10"/>
          <w:lang w:eastAsia="en-US"/>
        </w:rPr>
        <w:t xml:space="preserve">Dostavna lokacija: </w:t>
      </w:r>
      <w:r>
        <w:rPr>
          <w:rFonts w:cs="Calibri" w:ascii="Calibri" w:hAnsi="Calibri"/>
          <w:bCs/>
          <w:color w:val="000000"/>
          <w:sz w:val="10"/>
          <w:szCs w:val="10"/>
          <w:lang w:eastAsia="en-US"/>
        </w:rPr>
        <w:t>Naslov/lokacija, omenjena v pogodbi za izvajanje storitev.</w:t>
      </w:r>
    </w:p>
    <w:p>
      <w:pPr>
        <w:pStyle w:val="Normal"/>
        <w:numPr>
          <w:ilvl w:val="0"/>
          <w:numId w:val="6"/>
        </w:numPr>
        <w:spacing w:lineRule="atLeast" w:line="20"/>
        <w:ind w:left="567" w:hanging="283"/>
        <w:rPr>
          <w:rFonts w:ascii="Calibri" w:hAnsi="Calibri" w:cs="Calibri"/>
          <w:bCs/>
          <w:color w:val="000000"/>
          <w:sz w:val="10"/>
          <w:szCs w:val="10"/>
          <w:lang w:eastAsia="en-US"/>
        </w:rPr>
      </w:pPr>
      <w:r>
        <w:rPr>
          <w:rFonts w:cs="Calibri" w:ascii="Calibri" w:hAnsi="Calibri"/>
          <w:b/>
          <w:color w:val="000000"/>
          <w:sz w:val="10"/>
          <w:szCs w:val="10"/>
          <w:lang w:eastAsia="en-US"/>
        </w:rPr>
        <w:t xml:space="preserve">Pogoji: </w:t>
      </w:r>
      <w:r>
        <w:rPr>
          <w:rFonts w:cs="Calibri" w:ascii="Calibri" w:hAnsi="Calibri"/>
          <w:bCs/>
          <w:color w:val="000000"/>
          <w:sz w:val="10"/>
          <w:szCs w:val="10"/>
          <w:lang w:eastAsia="en-US"/>
        </w:rPr>
        <w:t>Ti Splošni pogoji</w:t>
      </w:r>
    </w:p>
    <w:p>
      <w:pPr>
        <w:pStyle w:val="Normal"/>
        <w:spacing w:lineRule="atLeast" w:line="20"/>
        <w:ind w:left="567" w:hanging="0"/>
        <w:rPr>
          <w:rFonts w:ascii="Calibri" w:hAnsi="Calibri" w:cs="Calibri"/>
          <w:bCs/>
          <w:color w:val="000000"/>
          <w:sz w:val="10"/>
          <w:szCs w:val="10"/>
          <w:lang w:eastAsia="en-US"/>
        </w:rPr>
      </w:pPr>
      <w:r>
        <w:rPr>
          <w:rFonts w:cs="Calibri" w:ascii="Calibri" w:hAnsi="Calibri"/>
          <w:bCs/>
          <w:color w:val="000000"/>
          <w:sz w:val="10"/>
          <w:szCs w:val="10"/>
          <w:lang w:eastAsia="en-US"/>
        </w:rPr>
      </w:r>
    </w:p>
    <w:p>
      <w:pPr>
        <w:pStyle w:val="Normal"/>
        <w:numPr>
          <w:ilvl w:val="0"/>
          <w:numId w:val="11"/>
        </w:numPr>
        <w:tabs>
          <w:tab w:val="clear" w:pos="1304"/>
          <w:tab w:val="left" w:pos="426" w:leader="none"/>
        </w:tabs>
        <w:spacing w:lineRule="atLeast" w:line="20"/>
        <w:rPr>
          <w:rFonts w:ascii="Calibri" w:hAnsi="Calibri" w:cs="Calibri"/>
          <w:b/>
          <w:b/>
          <w:bCs/>
          <w:color w:val="003F72"/>
          <w:sz w:val="10"/>
          <w:szCs w:val="10"/>
          <w:lang w:eastAsia="en-US"/>
        </w:rPr>
      </w:pPr>
      <w:bookmarkStart w:id="13" w:name="_Hlk78964063"/>
      <w:r>
        <w:rPr>
          <w:rFonts w:cs="Calibri" w:ascii="Calibri" w:hAnsi="Calibri"/>
          <w:b/>
          <w:bCs/>
          <w:color w:val="003F72"/>
          <w:sz w:val="10"/>
          <w:szCs w:val="10"/>
          <w:lang w:eastAsia="en-US"/>
        </w:rPr>
        <w:t>Storitve in izdelki</w:t>
      </w:r>
      <w:bookmarkEnd w:id="13"/>
    </w:p>
    <w:p>
      <w:pPr>
        <w:pStyle w:val="Normal"/>
        <w:tabs>
          <w:tab w:val="clear" w:pos="1304"/>
          <w:tab w:val="left" w:pos="284" w:leader="none"/>
        </w:tabs>
        <w:spacing w:lineRule="atLeast" w:line="20"/>
        <w:ind w:left="284" w:hanging="284"/>
        <w:rPr>
          <w:rFonts w:ascii="Calibri" w:hAnsi="Calibri" w:cs="Calibri"/>
          <w:sz w:val="10"/>
          <w:szCs w:val="10"/>
        </w:rPr>
      </w:pPr>
      <w:r>
        <w:rPr>
          <w:rFonts w:cs="Calibri" w:ascii="Calibri" w:hAnsi="Calibri"/>
          <w:bCs/>
          <w:color w:val="000000"/>
          <w:sz w:val="10"/>
          <w:szCs w:val="10"/>
          <w:lang w:eastAsia="en-US"/>
        </w:rPr>
        <w:t>3.2</w:t>
        <w:tab/>
      </w:r>
      <w:r>
        <w:rPr>
          <w:rFonts w:cs="Calibri" w:ascii="Calibri" w:hAnsi="Calibri"/>
          <w:sz w:val="10"/>
          <w:szCs w:val="10"/>
        </w:rPr>
        <w:t>Pred začetkom storitve se pogodbeni stranki skupaj dogovorita o obveznostih kupca, da bo Lindström lahko opravljal storitve v skladu s Pogodbo o storitvi. Obveznosti kupca vključujejo (a niso omejene na) na primer zagotavljanje dostopa do kraja za zaposlene v Lindströmu, zagotavljanje infrastrukture (električna ali podatkovna omrežja) in odgovornost kupca pri usposabljanju končnih uporabnikov. Lindström si pridržuje pravico do izdelave popisa svojih izdelkov v prostorih kupca.</w:t>
      </w:r>
    </w:p>
    <w:p>
      <w:pPr>
        <w:pStyle w:val="Normal"/>
        <w:tabs>
          <w:tab w:val="clear" w:pos="1304"/>
          <w:tab w:val="left" w:pos="284" w:leader="none"/>
        </w:tabs>
        <w:spacing w:lineRule="atLeast" w:line="20"/>
        <w:ind w:left="284" w:hanging="284"/>
        <w:rPr>
          <w:rFonts w:ascii="Calibri" w:hAnsi="Calibri" w:cs="Calibri"/>
          <w:sz w:val="10"/>
          <w:szCs w:val="10"/>
        </w:rPr>
      </w:pPr>
      <w:r>
        <w:rPr>
          <w:rFonts w:cs="Calibri" w:ascii="Calibri" w:hAnsi="Calibri"/>
          <w:sz w:val="10"/>
          <w:szCs w:val="10"/>
        </w:rPr>
        <w:t>3.3</w:t>
        <w:tab/>
        <w:t>Vsi izdelki, ki so bili kupcu na razpolago kot del storitev, se uporabljajo samo za predvideni namen v skladu s Pogodbo o storitvi.</w:t>
        <w:tab/>
      </w:r>
    </w:p>
    <w:p>
      <w:pPr>
        <w:pStyle w:val="Normal"/>
        <w:tabs>
          <w:tab w:val="clear" w:pos="1304"/>
          <w:tab w:val="left" w:pos="284" w:leader="none"/>
        </w:tabs>
        <w:spacing w:lineRule="atLeast" w:line="20"/>
        <w:ind w:left="284" w:hanging="284"/>
        <w:rPr>
          <w:rFonts w:ascii="Calibri" w:hAnsi="Calibri" w:cs="Calibri"/>
          <w:sz w:val="10"/>
          <w:szCs w:val="10"/>
        </w:rPr>
      </w:pPr>
      <w:r>
        <w:rPr>
          <w:rFonts w:cs="Calibri" w:ascii="Calibri" w:hAnsi="Calibri"/>
          <w:sz w:val="10"/>
          <w:szCs w:val="10"/>
        </w:rPr>
      </w:r>
    </w:p>
    <w:p>
      <w:pPr>
        <w:pStyle w:val="Normal"/>
        <w:numPr>
          <w:ilvl w:val="0"/>
          <w:numId w:val="11"/>
        </w:numPr>
        <w:tabs>
          <w:tab w:val="clear" w:pos="1304"/>
          <w:tab w:val="left" w:pos="426" w:leader="none"/>
        </w:tabs>
        <w:spacing w:lineRule="atLeast" w:line="20"/>
        <w:rPr>
          <w:rFonts w:ascii="Calibri" w:hAnsi="Calibri" w:cs="Calibri"/>
          <w:b/>
          <w:b/>
          <w:bCs/>
          <w:color w:val="003F72"/>
          <w:sz w:val="10"/>
          <w:szCs w:val="10"/>
          <w:lang w:eastAsia="en-US"/>
        </w:rPr>
      </w:pPr>
      <w:r>
        <w:rPr>
          <w:rFonts w:cs="Calibri" w:ascii="Calibri" w:hAnsi="Calibri"/>
          <w:b/>
          <w:bCs/>
          <w:color w:val="003F72"/>
          <w:sz w:val="10"/>
          <w:szCs w:val="10"/>
          <w:lang w:eastAsia="en-US"/>
        </w:rPr>
        <w:t>Lastništvo izdelkov</w:t>
      </w:r>
    </w:p>
    <w:p>
      <w:pPr>
        <w:pStyle w:val="Normal"/>
        <w:tabs>
          <w:tab w:val="clear" w:pos="1304"/>
          <w:tab w:val="left" w:pos="284" w:leader="none"/>
        </w:tabs>
        <w:spacing w:lineRule="atLeast" w:line="20"/>
        <w:ind w:left="284" w:hanging="284"/>
        <w:rPr>
          <w:rFonts w:ascii="Calibri" w:hAnsi="Calibri" w:cs="Calibri"/>
          <w:sz w:val="10"/>
          <w:szCs w:val="10"/>
        </w:rPr>
      </w:pPr>
      <w:r>
        <w:rPr>
          <w:rFonts w:cs="Calibri" w:ascii="Calibri" w:hAnsi="Calibri"/>
          <w:sz w:val="10"/>
          <w:szCs w:val="10"/>
        </w:rPr>
        <w:t>4.1</w:t>
        <w:tab/>
        <w:t xml:space="preserve">Če se Pogodbeni stranki ne dogovorita drugače, bo lastništvo izdelkov, vključenih v izvajanje storitev, ostalo pri Lindströmu v času veljavnosti pogodbe in nato do plačila Lindströmu v celoti, v skladu z odkupno klavzulo.  </w:t>
      </w:r>
    </w:p>
    <w:p>
      <w:pPr>
        <w:pStyle w:val="Normal"/>
        <w:tabs>
          <w:tab w:val="clear" w:pos="1304"/>
          <w:tab w:val="left" w:pos="284" w:leader="none"/>
        </w:tabs>
        <w:spacing w:lineRule="atLeast" w:line="20"/>
        <w:ind w:left="284" w:hanging="284"/>
        <w:rPr>
          <w:rFonts w:ascii="Calibri" w:hAnsi="Calibri" w:cs="Calibri"/>
          <w:sz w:val="10"/>
          <w:szCs w:val="10"/>
        </w:rPr>
      </w:pPr>
      <w:r>
        <w:rPr>
          <w:rFonts w:cs="Calibri" w:ascii="Calibri" w:hAnsi="Calibri"/>
          <w:sz w:val="10"/>
          <w:szCs w:val="10"/>
        </w:rPr>
        <w:t>4.2</w:t>
        <w:tab/>
        <w:t>Ne glede na to, da izdelki morda niso prešli na kupca, tveganje iz tega prehaja na kupca v skladu s pogoji iz Pogodbe o storitvi, kupec pa je odgovoren za izdelke, ki jih ima v lasti in je odgovoren za izdelke in njihovo napačno uporabo. V primeru izgube ali poškodbe izdelka ali izjemno hitre obrabe, bodo uporabljena merila za povračila s cenami, kot so opredeljena v Pogodbi in njenih Prilogah.</w:t>
      </w:r>
    </w:p>
    <w:p>
      <w:pPr>
        <w:pStyle w:val="Normal"/>
        <w:tabs>
          <w:tab w:val="clear" w:pos="1304"/>
          <w:tab w:val="left" w:pos="284" w:leader="none"/>
        </w:tabs>
        <w:spacing w:lineRule="atLeast" w:line="20"/>
        <w:ind w:left="284" w:hanging="284"/>
        <w:rPr>
          <w:rFonts w:ascii="Calibri" w:hAnsi="Calibri" w:cs="Calibri"/>
          <w:sz w:val="10"/>
          <w:szCs w:val="10"/>
        </w:rPr>
      </w:pPr>
      <w:r>
        <w:rPr>
          <w:rFonts w:cs="Calibri" w:ascii="Calibri" w:hAnsi="Calibri"/>
          <w:sz w:val="10"/>
          <w:szCs w:val="10"/>
        </w:rPr>
        <w:t>4.3</w:t>
        <w:tab/>
        <w:t>Strogo prepovedano je, da izdelke v uporabi vzdržuje, pere, popravlja ali servisira druga oseba kot Lindström, če s Pogodbo o storitvi ni drugače dogovorjeno.</w:t>
      </w:r>
    </w:p>
    <w:p>
      <w:pPr>
        <w:pStyle w:val="Normal"/>
        <w:tabs>
          <w:tab w:val="clear" w:pos="1304"/>
          <w:tab w:val="left" w:pos="284" w:leader="none"/>
        </w:tabs>
        <w:spacing w:lineRule="atLeast" w:line="20"/>
        <w:ind w:left="284" w:hanging="284"/>
        <w:rPr>
          <w:rFonts w:ascii="Calibri" w:hAnsi="Calibri" w:cs="Calibri"/>
          <w:sz w:val="10"/>
          <w:szCs w:val="10"/>
        </w:rPr>
      </w:pPr>
      <w:r>
        <w:rPr>
          <w:rFonts w:cs="Calibri" w:ascii="Calibri" w:hAnsi="Calibri"/>
          <w:sz w:val="10"/>
          <w:szCs w:val="10"/>
        </w:rPr>
      </w:r>
    </w:p>
    <w:p>
      <w:pPr>
        <w:pStyle w:val="Tevilenje"/>
        <w:numPr>
          <w:ilvl w:val="0"/>
          <w:numId w:val="11"/>
        </w:numPr>
        <w:rPr/>
      </w:pPr>
      <w:r>
        <w:rPr/>
        <w:t>Cene in plačilo</w:t>
      </w:r>
    </w:p>
    <w:p>
      <w:pPr>
        <w:pStyle w:val="Normal"/>
        <w:tabs>
          <w:tab w:val="clear" w:pos="1304"/>
          <w:tab w:val="left" w:pos="284" w:leader="none"/>
        </w:tabs>
        <w:spacing w:lineRule="atLeast" w:line="20"/>
        <w:ind w:left="284" w:hanging="284"/>
        <w:rPr>
          <w:rFonts w:ascii="Calibri" w:hAnsi="Calibri" w:cs="Calibri"/>
          <w:color w:val="000000"/>
          <w:sz w:val="10"/>
          <w:szCs w:val="10"/>
          <w:lang w:eastAsia="en-US"/>
        </w:rPr>
      </w:pPr>
      <w:r>
        <w:rPr>
          <w:rFonts w:cs="Calibri" w:ascii="Calibri" w:hAnsi="Calibri"/>
          <w:color w:val="000000"/>
          <w:sz w:val="10"/>
          <w:szCs w:val="10"/>
          <w:lang w:eastAsia="en-US"/>
        </w:rPr>
        <w:t>5.1</w:t>
        <w:tab/>
        <w:t>Cena(e) je(so) določena(e) v Pogodbi in njenih Prilogah. Cene so brez DDV.</w:t>
        <w:tab/>
      </w:r>
    </w:p>
    <w:p>
      <w:pPr>
        <w:pStyle w:val="Normal"/>
        <w:tabs>
          <w:tab w:val="clear" w:pos="1304"/>
          <w:tab w:val="left" w:pos="426" w:leader="none"/>
        </w:tabs>
        <w:spacing w:lineRule="atLeast" w:line="20"/>
        <w:ind w:left="284" w:hanging="284"/>
        <w:rPr>
          <w:rFonts w:ascii="Calibri" w:hAnsi="Calibri" w:cs="Calibri"/>
          <w:color w:val="000000"/>
          <w:sz w:val="10"/>
          <w:szCs w:val="10"/>
          <w:lang w:eastAsia="en-US"/>
        </w:rPr>
      </w:pPr>
      <w:r>
        <w:rPr>
          <w:rFonts w:cs="Calibri" w:ascii="Calibri" w:hAnsi="Calibri"/>
          <w:color w:val="000000"/>
          <w:sz w:val="10"/>
          <w:szCs w:val="10"/>
          <w:lang w:eastAsia="en-US"/>
        </w:rPr>
        <w:t>5.2</w:t>
        <w:tab/>
        <w:t xml:space="preserve">Lindström si pridržuje pravico prilagoditi cene (na primer na podlagi sprememb surovin, stroškov izdelave ali embalaže ali sprememb ravni storitev) in o tem obvesti kupca vsaj 30 dni prej, preden spremembe začnejo veljati. Lindstrom si pridržuje pravico spremembe cen glede na vsakoletno stopnjo inflacije, kot jo na dan obvestila o spremembi cen, poroča SURS za preteklih 12 mesecev in o tem obvesti kupca vsaj 30 dni prej, preden spremembe začnejo veljati.  </w:t>
      </w:r>
    </w:p>
    <w:p>
      <w:pPr>
        <w:pStyle w:val="Normal"/>
        <w:tabs>
          <w:tab w:val="clear" w:pos="1304"/>
          <w:tab w:val="left" w:pos="284" w:leader="none"/>
        </w:tabs>
        <w:spacing w:lineRule="atLeast" w:line="20"/>
        <w:ind w:left="284" w:hanging="284"/>
        <w:rPr>
          <w:rFonts w:ascii="Calibri" w:hAnsi="Calibri" w:cs="Calibri"/>
          <w:sz w:val="10"/>
          <w:szCs w:val="10"/>
        </w:rPr>
      </w:pPr>
      <w:r>
        <w:rPr>
          <w:rFonts w:cs="Calibri" w:ascii="Calibri" w:hAnsi="Calibri"/>
          <w:color w:val="000000"/>
          <w:sz w:val="10"/>
          <w:szCs w:val="10"/>
          <w:lang w:eastAsia="en-US"/>
        </w:rPr>
        <w:t>5.3</w:t>
        <w:tab/>
        <w:t>Rok plačila je 14 dni neto od datuma izdaje računa, razen če je s pogodbo določeno drugače.</w:t>
      </w:r>
    </w:p>
    <w:p>
      <w:pPr>
        <w:pStyle w:val="Normal"/>
        <w:tabs>
          <w:tab w:val="clear" w:pos="1304"/>
          <w:tab w:val="left" w:pos="284" w:leader="none"/>
        </w:tabs>
        <w:spacing w:lineRule="atLeast" w:line="20"/>
        <w:ind w:left="284" w:hanging="284"/>
        <w:rPr>
          <w:rFonts w:ascii="Calibri" w:hAnsi="Calibri" w:cs="Calibri"/>
          <w:color w:val="000000"/>
          <w:sz w:val="10"/>
          <w:szCs w:val="10"/>
          <w:lang w:eastAsia="en-US"/>
        </w:rPr>
      </w:pPr>
      <w:r>
        <w:rPr>
          <w:rFonts w:cs="Calibri" w:ascii="Calibri" w:hAnsi="Calibri"/>
          <w:color w:val="000000"/>
          <w:sz w:val="10"/>
          <w:szCs w:val="10"/>
          <w:lang w:eastAsia="en-US"/>
        </w:rPr>
        <w:t>5.4</w:t>
        <w:tab/>
        <w:t>Če kupec ne izvrši plačila do zapadlosti, kupec plača obresti za zapadlo stanje po stopnji veljavnih zakonskih obresti.  Kupec bo odgovoren za vse stroške izterjave. Če kupec po prejemu treh opominov ne izvrši plačila, si Lindström pridržuje pravico prenehati opravljati storitve in/ali odstopiti od pogodbe ter prenesti izterjavo neporavnanih terjatev na tretjo osebo.</w:t>
      </w:r>
    </w:p>
    <w:p>
      <w:pPr>
        <w:pStyle w:val="Normal"/>
        <w:tabs>
          <w:tab w:val="clear" w:pos="1304"/>
          <w:tab w:val="left" w:pos="284" w:leader="none"/>
        </w:tabs>
        <w:spacing w:lineRule="atLeast" w:line="20"/>
        <w:ind w:left="284" w:hanging="284"/>
        <w:rPr>
          <w:rFonts w:ascii="Calibri" w:hAnsi="Calibri" w:cs="Calibri"/>
          <w:color w:val="000000"/>
          <w:sz w:val="10"/>
          <w:szCs w:val="10"/>
          <w:lang w:eastAsia="en-US"/>
        </w:rPr>
      </w:pPr>
      <w:r>
        <w:rPr>
          <w:rFonts w:cs="Calibri" w:ascii="Calibri" w:hAnsi="Calibri"/>
          <w:color w:val="000000"/>
          <w:sz w:val="10"/>
          <w:szCs w:val="10"/>
          <w:lang w:eastAsia="en-US"/>
        </w:rPr>
        <w:t>5.5</w:t>
        <w:tab/>
        <w:t>Vsa plačila bodo izvedena z bančnimi ali elektronskimi nakazili. Lindström ne bo sprejel nobenih denarnih plačil (ne posluje z gotovino).</w:t>
      </w:r>
    </w:p>
    <w:p>
      <w:pPr>
        <w:pStyle w:val="Normal"/>
        <w:tabs>
          <w:tab w:val="clear" w:pos="1304"/>
          <w:tab w:val="left" w:pos="284" w:leader="none"/>
        </w:tabs>
        <w:spacing w:lineRule="atLeast" w:line="20"/>
        <w:ind w:left="284" w:hanging="284"/>
        <w:rPr>
          <w:rFonts w:ascii="Calibri" w:hAnsi="Calibri" w:cs="Calibri"/>
          <w:color w:val="000000"/>
          <w:sz w:val="10"/>
          <w:szCs w:val="10"/>
          <w:lang w:eastAsia="en-US"/>
        </w:rPr>
      </w:pPr>
      <w:r>
        <w:rPr>
          <w:rFonts w:cs="Calibri" w:ascii="Calibri" w:hAnsi="Calibri"/>
          <w:color w:val="000000"/>
          <w:sz w:val="10"/>
          <w:szCs w:val="10"/>
          <w:lang w:eastAsia="en-US"/>
        </w:rPr>
      </w:r>
    </w:p>
    <w:p>
      <w:pPr>
        <w:pStyle w:val="Tevilenje"/>
        <w:numPr>
          <w:ilvl w:val="0"/>
          <w:numId w:val="11"/>
        </w:numPr>
        <w:rPr>
          <w:rFonts w:eastAsia="Times New Roman"/>
        </w:rPr>
      </w:pPr>
      <w:r>
        <w:rPr/>
        <w:t>Motnje v storitvah, napake in pravila za odškodnino</w:t>
      </w:r>
    </w:p>
    <w:p>
      <w:pPr>
        <w:pStyle w:val="Normal"/>
        <w:numPr>
          <w:ilvl w:val="1"/>
          <w:numId w:val="1"/>
        </w:numPr>
        <w:tabs>
          <w:tab w:val="clear" w:pos="1304"/>
          <w:tab w:val="left" w:pos="426" w:leader="none"/>
        </w:tabs>
        <w:spacing w:lineRule="atLeast" w:line="20"/>
        <w:rPr>
          <w:rFonts w:ascii="Calibri" w:hAnsi="Calibri" w:cs="Calibri"/>
          <w:sz w:val="10"/>
          <w:szCs w:val="10"/>
        </w:rPr>
      </w:pPr>
      <w:r>
        <w:rPr>
          <w:rFonts w:cs="Calibri" w:ascii="Calibri" w:hAnsi="Calibri"/>
          <w:sz w:val="10"/>
          <w:szCs w:val="10"/>
        </w:rPr>
        <w:t>Lindström bo kupca nemudoma obvestil, takoj ko ugotovi napako ali motnjo v storitvah.</w:t>
      </w:r>
    </w:p>
    <w:p>
      <w:pPr>
        <w:pStyle w:val="Normal"/>
        <w:numPr>
          <w:ilvl w:val="1"/>
          <w:numId w:val="1"/>
        </w:numPr>
        <w:tabs>
          <w:tab w:val="clear" w:pos="1304"/>
          <w:tab w:val="left" w:pos="284" w:leader="none"/>
        </w:tabs>
        <w:spacing w:lineRule="atLeast" w:line="20"/>
        <w:rPr>
          <w:rFonts w:ascii="Calibri" w:hAnsi="Calibri" w:cs="Calibri"/>
          <w:sz w:val="10"/>
          <w:szCs w:val="10"/>
        </w:rPr>
      </w:pPr>
      <w:r>
        <w:rPr>
          <w:rFonts w:cs="Calibri" w:ascii="Calibri" w:hAnsi="Calibri"/>
          <w:sz w:val="10"/>
          <w:szCs w:val="10"/>
        </w:rPr>
        <w:t>V tednih, ki vključujejo praznike, redna dobava lahko odstopa od normalnega časovnega razporeda dobave.</w:t>
      </w:r>
    </w:p>
    <w:p>
      <w:pPr>
        <w:pStyle w:val="Normal"/>
        <w:numPr>
          <w:ilvl w:val="1"/>
          <w:numId w:val="1"/>
        </w:numPr>
        <w:tabs>
          <w:tab w:val="clear" w:pos="1304"/>
          <w:tab w:val="left" w:pos="426" w:leader="none"/>
        </w:tabs>
        <w:spacing w:lineRule="atLeast" w:line="20"/>
        <w:rPr>
          <w:rFonts w:ascii="Calibri" w:hAnsi="Calibri" w:cs="Calibri"/>
          <w:sz w:val="10"/>
          <w:szCs w:val="10"/>
        </w:rPr>
      </w:pPr>
      <w:r>
        <w:rPr>
          <w:rFonts w:cs="Calibri" w:ascii="Calibri" w:hAnsi="Calibri"/>
          <w:b/>
          <w:bCs/>
          <w:sz w:val="10"/>
          <w:szCs w:val="10"/>
        </w:rPr>
        <w:t>Kupec bo v štirinajstih (14) dneh obvestil Lindström v primeru kakršnih koli zamud, okvar ali napak</w:t>
      </w:r>
      <w:r>
        <w:rPr>
          <w:rFonts w:cs="Calibri" w:ascii="Calibri" w:hAnsi="Calibri"/>
          <w:sz w:val="10"/>
          <w:szCs w:val="10"/>
        </w:rPr>
        <w:t xml:space="preserve"> v zagotovljenih storitvah ali izdelkih. </w:t>
      </w:r>
    </w:p>
    <w:p>
      <w:pPr>
        <w:pStyle w:val="Normal"/>
        <w:numPr>
          <w:ilvl w:val="1"/>
          <w:numId w:val="1"/>
        </w:numPr>
        <w:tabs>
          <w:tab w:val="clear" w:pos="1304"/>
          <w:tab w:val="left" w:pos="426" w:leader="none"/>
        </w:tabs>
        <w:spacing w:lineRule="atLeast" w:line="20"/>
        <w:rPr>
          <w:rFonts w:ascii="Calibri" w:hAnsi="Calibri" w:cs="Calibri"/>
          <w:sz w:val="10"/>
          <w:szCs w:val="10"/>
        </w:rPr>
      </w:pPr>
      <w:r>
        <w:rPr>
          <w:rFonts w:cs="Calibri" w:ascii="Calibri" w:hAnsi="Calibri"/>
          <w:sz w:val="10"/>
          <w:szCs w:val="10"/>
        </w:rPr>
        <w:t xml:space="preserve">Lindström popravi napako tako, da poškodovane izdelke nadomesti z naslednjo možno redno dostavo ali kupca obvesti o predvidenem datumu dostave. V primeru, da to ni mogoče, Lindström povrne neposredno škodo, povzročeno kupcu, ob upoštevanju omejitve odgovornosti, kot je opisano v teh pogojih. </w:t>
      </w:r>
    </w:p>
    <w:p>
      <w:pPr>
        <w:pStyle w:val="Normal"/>
        <w:numPr>
          <w:ilvl w:val="1"/>
          <w:numId w:val="1"/>
        </w:numPr>
        <w:tabs>
          <w:tab w:val="clear" w:pos="1304"/>
          <w:tab w:val="left" w:pos="426" w:leader="none"/>
        </w:tabs>
        <w:spacing w:lineRule="atLeast" w:line="20"/>
        <w:rPr>
          <w:rFonts w:ascii="Calibri" w:hAnsi="Calibri" w:cs="Calibri"/>
          <w:b/>
          <w:b/>
          <w:bCs/>
          <w:sz w:val="10"/>
          <w:szCs w:val="10"/>
        </w:rPr>
      </w:pPr>
      <w:r>
        <w:rPr>
          <w:rFonts w:cs="Calibri" w:ascii="Calibri" w:hAnsi="Calibri"/>
          <w:b/>
          <w:bCs/>
          <w:sz w:val="10"/>
          <w:szCs w:val="10"/>
        </w:rPr>
        <w:t xml:space="preserve">V primeru, da zamudo povzroči višja sila ali razlogi, ki jih povzroči kupec, Lindström ne odgovarja za motnje v storitvah. </w:t>
      </w:r>
    </w:p>
    <w:p>
      <w:pPr>
        <w:pStyle w:val="Normal"/>
        <w:numPr>
          <w:ilvl w:val="1"/>
          <w:numId w:val="1"/>
        </w:numPr>
        <w:tabs>
          <w:tab w:val="clear" w:pos="1304"/>
          <w:tab w:val="left" w:pos="426" w:leader="none"/>
        </w:tabs>
        <w:spacing w:lineRule="atLeast" w:line="20"/>
        <w:rPr>
          <w:rFonts w:ascii="Calibri" w:hAnsi="Calibri" w:cs="Calibri"/>
          <w:sz w:val="10"/>
          <w:szCs w:val="10"/>
        </w:rPr>
      </w:pPr>
      <w:r>
        <w:rPr>
          <w:rFonts w:cs="Calibri" w:ascii="Calibri" w:hAnsi="Calibri"/>
          <w:sz w:val="10"/>
          <w:szCs w:val="10"/>
        </w:rPr>
        <w:t>V primeru najetih izdelkov in storitev je nadomestilo za zamujene ali napačne izdelke ali storitve iz čl.6.3. omejeno največ na 4-tedensko fakturno vrednost zakasnjenih ali pokvarjenih izdelkov ali storitev v zadnjih dveh (2) obdobjih izdajanja računov (brez DDV).</w:t>
      </w:r>
    </w:p>
    <w:p>
      <w:pPr>
        <w:pStyle w:val="Normal"/>
        <w:numPr>
          <w:ilvl w:val="1"/>
          <w:numId w:val="1"/>
        </w:numPr>
        <w:tabs>
          <w:tab w:val="clear" w:pos="1304"/>
          <w:tab w:val="left" w:pos="426" w:leader="none"/>
        </w:tabs>
        <w:spacing w:lineRule="atLeast" w:line="20"/>
        <w:rPr>
          <w:rFonts w:ascii="Calibri" w:hAnsi="Calibri" w:cs="Calibri"/>
          <w:sz w:val="10"/>
          <w:szCs w:val="10"/>
        </w:rPr>
      </w:pPr>
      <w:r>
        <w:rPr>
          <w:rFonts w:cs="Calibri" w:ascii="Calibri" w:hAnsi="Calibri"/>
          <w:b/>
          <w:bCs/>
          <w:sz w:val="10"/>
          <w:szCs w:val="10"/>
        </w:rPr>
        <w:t>Lindström ne bo plačal nadomestila</w:t>
      </w:r>
      <w:r>
        <w:rPr>
          <w:rFonts w:cs="Calibri" w:ascii="Calibri" w:hAnsi="Calibri"/>
          <w:sz w:val="10"/>
          <w:szCs w:val="10"/>
        </w:rPr>
        <w:t xml:space="preserve">, če je skupni znesek nadomestila manjši od 100 EUR (brez DDV). </w:t>
      </w:r>
    </w:p>
    <w:p>
      <w:pPr>
        <w:pStyle w:val="Normal"/>
        <w:numPr>
          <w:ilvl w:val="1"/>
          <w:numId w:val="1"/>
        </w:numPr>
        <w:tabs>
          <w:tab w:val="clear" w:pos="1304"/>
          <w:tab w:val="left" w:pos="426" w:leader="none"/>
        </w:tabs>
        <w:spacing w:lineRule="atLeast" w:line="20"/>
        <w:rPr>
          <w:rFonts w:ascii="Calibri" w:hAnsi="Calibri" w:cs="Calibri"/>
          <w:b/>
          <w:b/>
          <w:bCs/>
          <w:color w:val="003F72"/>
          <w:sz w:val="10"/>
          <w:szCs w:val="10"/>
          <w:lang w:eastAsia="en-US"/>
        </w:rPr>
      </w:pPr>
      <w:r>
        <w:rPr>
          <w:rFonts w:cs="Calibri" w:ascii="Calibri" w:hAnsi="Calibri"/>
          <w:b/>
          <w:bCs/>
          <w:sz w:val="10"/>
          <w:szCs w:val="10"/>
        </w:rPr>
        <w:t xml:space="preserve">Razen zgoraj navedenih določb 6.4, 6.6 in 6.7, Lindstrom ne bo sprejel nobene druge obveznosti ali odškodninskega zahtevka. </w:t>
      </w:r>
      <w:bookmarkStart w:id="14" w:name="_Hlk33767703"/>
    </w:p>
    <w:p>
      <w:pPr>
        <w:pStyle w:val="ListParagraph"/>
        <w:numPr>
          <w:ilvl w:val="0"/>
          <w:numId w:val="1"/>
        </w:numPr>
        <w:rPr>
          <w:rFonts w:ascii="Calibri" w:hAnsi="Calibri" w:eastAsia="Times New Roman" w:cs="Calibri"/>
          <w:b/>
          <w:b/>
          <w:bCs/>
          <w:color w:val="003F72"/>
          <w:sz w:val="10"/>
          <w:szCs w:val="10"/>
          <w:lang w:eastAsia="en-US"/>
        </w:rPr>
      </w:pPr>
      <w:r>
        <w:rPr>
          <w:rFonts w:eastAsia="Times New Roman" w:cs="Calibri" w:ascii="Calibri" w:hAnsi="Calibri"/>
          <w:b/>
          <w:bCs/>
          <w:color w:val="003F72"/>
          <w:sz w:val="10"/>
          <w:szCs w:val="10"/>
          <w:lang w:eastAsia="en-US"/>
        </w:rPr>
        <w:t>Prenehanje, odpoved, odkup in odškodnina</w:t>
      </w:r>
    </w:p>
    <w:p>
      <w:pPr>
        <w:pStyle w:val="Normal"/>
        <w:numPr>
          <w:ilvl w:val="1"/>
          <w:numId w:val="1"/>
        </w:numPr>
        <w:tabs>
          <w:tab w:val="clear" w:pos="1304"/>
          <w:tab w:val="left" w:pos="426" w:leader="none"/>
        </w:tabs>
        <w:spacing w:lineRule="atLeast" w:line="20"/>
        <w:rPr>
          <w:rFonts w:ascii="Calibri" w:hAnsi="Calibri" w:cs="Calibri"/>
          <w:sz w:val="10"/>
          <w:szCs w:val="10"/>
        </w:rPr>
      </w:pPr>
      <w:r>
        <w:rPr>
          <w:rFonts w:cs="Calibri" w:ascii="Calibri" w:hAnsi="Calibri"/>
          <w:sz w:val="10"/>
          <w:szCs w:val="10"/>
        </w:rPr>
        <w:t>Ne glede na dogovorjeno obdobje veljavnosti pogodbe ima vsaka pogodbena stranka pravico do preklica te pogodbe s takojšnjim učinkom, če</w:t>
      </w:r>
    </w:p>
    <w:p>
      <w:pPr>
        <w:pStyle w:val="Normal"/>
        <w:numPr>
          <w:ilvl w:val="2"/>
          <w:numId w:val="8"/>
        </w:numPr>
        <w:tabs>
          <w:tab w:val="clear" w:pos="1304"/>
          <w:tab w:val="left" w:pos="426" w:leader="none"/>
        </w:tabs>
        <w:spacing w:lineRule="atLeast" w:line="20"/>
        <w:rPr>
          <w:rFonts w:ascii="Calibri" w:hAnsi="Calibri" w:cs="Calibri"/>
          <w:sz w:val="10"/>
          <w:szCs w:val="10"/>
        </w:rPr>
      </w:pPr>
      <w:r>
        <w:rPr>
          <w:rFonts w:cs="Calibri" w:ascii="Calibri" w:hAnsi="Calibri"/>
          <w:sz w:val="10"/>
          <w:szCs w:val="10"/>
        </w:rPr>
        <w:t>druga pogodbena stranka stori bistveno kršitev katerega koli pogoja te pogodbe in takšne kršitve ne odpravi v 30 dneh po prejemu tretjega pisnega obvestila druge pogodbene stranke o isti kršitvi, ali</w:t>
      </w:r>
    </w:p>
    <w:p>
      <w:pPr>
        <w:pStyle w:val="Normal"/>
        <w:numPr>
          <w:ilvl w:val="2"/>
          <w:numId w:val="8"/>
        </w:numPr>
        <w:tabs>
          <w:tab w:val="clear" w:pos="1304"/>
          <w:tab w:val="left" w:pos="426" w:leader="none"/>
        </w:tabs>
        <w:spacing w:lineRule="atLeast" w:line="20"/>
        <w:rPr>
          <w:rFonts w:ascii="Calibri" w:hAnsi="Calibri" w:cs="Calibri"/>
          <w:sz w:val="10"/>
          <w:szCs w:val="10"/>
        </w:rPr>
      </w:pPr>
      <w:r>
        <w:rPr>
          <w:rFonts w:cs="Calibri" w:ascii="Calibri" w:hAnsi="Calibri"/>
          <w:sz w:val="10"/>
          <w:szCs w:val="10"/>
        </w:rPr>
        <w:t xml:space="preserve">če je druga pogodbena stranka nesolventna, prijavi stečaj, se začne proti njej postopek likvidacije, proda vse svoje premoženje, konča poslovanje ali drugače preneha s svojimi plačili (tj. neplačilom zapadlih plačil za dva zaporedna računa) ali </w:t>
      </w:r>
    </w:p>
    <w:p>
      <w:pPr>
        <w:pStyle w:val="Normal"/>
        <w:numPr>
          <w:ilvl w:val="2"/>
          <w:numId w:val="8"/>
        </w:numPr>
        <w:tabs>
          <w:tab w:val="clear" w:pos="1304"/>
          <w:tab w:val="left" w:pos="426" w:leader="none"/>
        </w:tabs>
        <w:spacing w:lineRule="atLeast" w:line="20"/>
        <w:rPr>
          <w:rFonts w:ascii="Calibri" w:hAnsi="Calibri" w:cs="Calibri"/>
          <w:sz w:val="10"/>
          <w:szCs w:val="10"/>
        </w:rPr>
      </w:pPr>
      <w:r>
        <w:rPr>
          <w:rFonts w:cs="Calibri" w:ascii="Calibri" w:hAnsi="Calibri"/>
          <w:sz w:val="10"/>
          <w:szCs w:val="10"/>
        </w:rPr>
        <w:t>je pogodbeno razmerje z drugo pogodbeno stranko postalo nezakonito zaradi bistvene spremembe nadzora ali lastništva druge pogodbene stranke ali kako drugače. Pogodbeni stranki takoj, brez nepotrebnega odlašanja, obvestita drugo pogodbeno stranko o takih pomembnih spremembah lastništva ali nadzora.</w:t>
      </w:r>
    </w:p>
    <w:p>
      <w:pPr>
        <w:pStyle w:val="Normal"/>
        <w:numPr>
          <w:ilvl w:val="1"/>
          <w:numId w:val="1"/>
        </w:numPr>
        <w:tabs>
          <w:tab w:val="clear" w:pos="1304"/>
          <w:tab w:val="left" w:pos="426" w:leader="none"/>
        </w:tabs>
        <w:spacing w:lineRule="atLeast" w:line="20"/>
        <w:rPr>
          <w:rFonts w:ascii="Calibri" w:hAnsi="Calibri" w:cs="Calibri"/>
          <w:sz w:val="10"/>
          <w:szCs w:val="10"/>
        </w:rPr>
      </w:pPr>
      <w:r>
        <w:rPr>
          <w:rFonts w:cs="Calibri" w:ascii="Calibri" w:hAnsi="Calibri"/>
          <w:sz w:val="10"/>
          <w:szCs w:val="10"/>
        </w:rPr>
        <w:t>V primeru, da Lindström stori isto bistveno kršitev pogodbe, na katero ga druga pogodbena stranka trikrat (3x) pisno obvesti v 60-dnevnem obdobju, in takšne kršitve ne odpravi v 30 dneh po prejemu tretjega pisnega obvestila po prejemu, ima kupec pravico po izteku omenjenega 30-dnevnega roka odpovedati pogodbo in odgovornost za odkup ne bo veljala.</w:t>
      </w:r>
    </w:p>
    <w:p>
      <w:pPr>
        <w:pStyle w:val="Normal"/>
        <w:numPr>
          <w:ilvl w:val="1"/>
          <w:numId w:val="1"/>
        </w:numPr>
        <w:tabs>
          <w:tab w:val="clear" w:pos="1304"/>
          <w:tab w:val="left" w:pos="426" w:leader="none"/>
        </w:tabs>
        <w:spacing w:lineRule="atLeast" w:line="20"/>
        <w:rPr>
          <w:rFonts w:ascii="Calibri" w:hAnsi="Calibri" w:cs="Calibri"/>
          <w:sz w:val="10"/>
          <w:szCs w:val="10"/>
        </w:rPr>
      </w:pPr>
      <w:r>
        <w:rPr>
          <w:rFonts w:cs="Calibri" w:ascii="Calibri" w:hAnsi="Calibri"/>
          <w:sz w:val="10"/>
          <w:szCs w:val="10"/>
        </w:rPr>
        <w:t>V vseh primerih prenehanja ali odpovedi pogodbe (razen točke 7.2.) je kupec dolžan upoštevati obveznosti iz Pogodbe, vključujoč odpovedni rok in odkup, ki zajema odkup izdelkov, ki jih kupec uporablja, shranjene izdelke, polizdelke ter tkanine in zalogo v skladišču, kot je opredeljeno v pogodbi. Odkup začne veljati v enem (1) mesecu po začetku veljavnosti prenehanja ali preklica</w:t>
      </w:r>
    </w:p>
    <w:p>
      <w:pPr>
        <w:pStyle w:val="Normal"/>
        <w:numPr>
          <w:ilvl w:val="1"/>
          <w:numId w:val="1"/>
        </w:numPr>
        <w:tabs>
          <w:tab w:val="clear" w:pos="1304"/>
          <w:tab w:val="left" w:pos="426" w:leader="none"/>
        </w:tabs>
        <w:spacing w:lineRule="atLeast" w:line="20"/>
        <w:rPr>
          <w:rFonts w:ascii="Calibri" w:hAnsi="Calibri" w:cs="Calibri"/>
          <w:sz w:val="10"/>
          <w:szCs w:val="10"/>
        </w:rPr>
      </w:pPr>
      <w:r>
        <w:rPr>
          <w:rFonts w:cs="Calibri" w:ascii="Calibri" w:hAnsi="Calibri"/>
          <w:sz w:val="10"/>
          <w:szCs w:val="10"/>
        </w:rPr>
        <w:t>V primeru kršitve Pogodbe s strani kupca (poleg določb 7.1.b in 7.1.c), kupec v primeru odpovedi zaradi kršitve pogodbe poleg odkupa, kot je opredeljen v pogodbi, plača odškodnino v višini skupne pogodbene vsote za preostali čas pogodbe.</w:t>
      </w:r>
      <w:bookmarkEnd w:id="14"/>
    </w:p>
    <w:p>
      <w:pPr>
        <w:pStyle w:val="Normal"/>
        <w:tabs>
          <w:tab w:val="clear" w:pos="1304"/>
          <w:tab w:val="left" w:pos="284" w:leader="none"/>
        </w:tabs>
        <w:spacing w:lineRule="atLeast" w:line="20"/>
        <w:ind w:left="284" w:hanging="284"/>
        <w:rPr>
          <w:rFonts w:ascii="Calibri" w:hAnsi="Calibri" w:cs="Calibri"/>
          <w:sz w:val="10"/>
          <w:szCs w:val="10"/>
        </w:rPr>
      </w:pPr>
      <w:r>
        <w:rPr>
          <w:rFonts w:cs="Calibri" w:ascii="Calibri" w:hAnsi="Calibri"/>
          <w:sz w:val="10"/>
          <w:szCs w:val="10"/>
        </w:rPr>
      </w:r>
    </w:p>
    <w:p>
      <w:pPr>
        <w:pStyle w:val="Otsikko1"/>
        <w:numPr>
          <w:ilvl w:val="0"/>
          <w:numId w:val="9"/>
        </w:numPr>
        <w:suppressAutoHyphens w:val="false"/>
        <w:spacing w:lineRule="auto" w:line="240" w:before="0" w:after="0"/>
        <w:rPr>
          <w:rFonts w:ascii="Calibri" w:hAnsi="Calibri" w:cs="Calibri" w:asciiTheme="minorHAnsi" w:cstheme="minorHAnsi" w:hAnsiTheme="minorHAnsi"/>
          <w:color w:val="003F72"/>
          <w:sz w:val="10"/>
          <w:szCs w:val="10"/>
        </w:rPr>
      </w:pPr>
      <w:r>
        <w:rPr>
          <w:rFonts w:cs="Calibri" w:ascii="Calibri" w:hAnsi="Calibri" w:asciiTheme="minorHAnsi" w:cstheme="minorHAnsi" w:hAnsiTheme="minorHAnsi"/>
          <w:color w:val="003F72"/>
          <w:sz w:val="10"/>
          <w:szCs w:val="10"/>
        </w:rPr>
        <w:t xml:space="preserve">Spremembe izdelkov in storitev </w:t>
      </w:r>
    </w:p>
    <w:p>
      <w:pPr>
        <w:pStyle w:val="Yleisetsopehdot"/>
        <w:numPr>
          <w:ilvl w:val="1"/>
          <w:numId w:val="2"/>
        </w:numPr>
        <w:tabs>
          <w:tab w:val="clear" w:pos="1304"/>
          <w:tab w:val="left" w:pos="426" w:leader="none"/>
        </w:tabs>
        <w:spacing w:lineRule="atLeast" w:line="20"/>
        <w:rPr>
          <w:rFonts w:ascii="Calibri" w:hAnsi="Calibri" w:cs="Calibri"/>
          <w:sz w:val="10"/>
          <w:szCs w:val="10"/>
        </w:rPr>
      </w:pPr>
      <w:r>
        <w:rPr>
          <w:rFonts w:cs="Calibri" w:ascii="Calibri" w:hAnsi="Calibri"/>
          <w:sz w:val="10"/>
          <w:szCs w:val="10"/>
        </w:rPr>
        <w:t xml:space="preserve">Lindström si pridržuje pravico do sprememb obsega in specifikacij svojih Izdelkov in storitev, da bi zagotovil dogovorjene ravni kakovosti. </w:t>
      </w:r>
    </w:p>
    <w:p>
      <w:pPr>
        <w:pStyle w:val="Yleisetsopehdot"/>
        <w:numPr>
          <w:ilvl w:val="1"/>
          <w:numId w:val="2"/>
        </w:numPr>
        <w:tabs>
          <w:tab w:val="clear" w:pos="1304"/>
          <w:tab w:val="left" w:pos="426" w:leader="none"/>
        </w:tabs>
        <w:spacing w:lineRule="atLeast" w:line="20"/>
        <w:rPr>
          <w:rFonts w:ascii="Calibri" w:hAnsi="Calibri" w:cs="Calibri"/>
          <w:sz w:val="10"/>
          <w:szCs w:val="10"/>
        </w:rPr>
      </w:pPr>
      <w:r>
        <w:rPr>
          <w:rFonts w:cs="Calibri" w:ascii="Calibri" w:hAnsi="Calibri"/>
          <w:sz w:val="10"/>
          <w:szCs w:val="10"/>
        </w:rPr>
        <w:t>Pogodbeni stranki se predhodno dogovorita o vseh spremembah obsega in specifikacij izdelkov in storitev, ki lahko vplivajo na cene.</w:t>
      </w:r>
    </w:p>
    <w:p>
      <w:pPr>
        <w:pStyle w:val="Yleisetsopehdot"/>
        <w:numPr>
          <w:ilvl w:val="1"/>
          <w:numId w:val="2"/>
        </w:numPr>
        <w:tabs>
          <w:tab w:val="clear" w:pos="1304"/>
          <w:tab w:val="left" w:pos="426" w:leader="none"/>
        </w:tabs>
        <w:spacing w:lineRule="atLeast" w:line="20"/>
        <w:rPr>
          <w:rFonts w:ascii="Calibri" w:hAnsi="Calibri" w:cs="Calibri"/>
          <w:sz w:val="10"/>
          <w:szCs w:val="10"/>
        </w:rPr>
      </w:pPr>
      <w:r>
        <w:rPr>
          <w:rFonts w:cs="Calibri" w:ascii="Calibri" w:hAnsi="Calibri"/>
          <w:sz w:val="10"/>
          <w:szCs w:val="10"/>
        </w:rPr>
        <w:t xml:space="preserve">V primeru spremembe kolekcije delovnih oblačil je kupec dolžan odkupiti izdelke, ki jih uporablja, shranjene izdelke, polizdelke, tkanine v skladišču, kot je opredeljeno v pogodbi.  </w:t>
      </w:r>
    </w:p>
    <w:p>
      <w:pPr>
        <w:pStyle w:val="ListParagraph"/>
        <w:numPr>
          <w:ilvl w:val="0"/>
          <w:numId w:val="14"/>
        </w:numPr>
        <w:rPr>
          <w:rFonts w:ascii="Calibri" w:hAnsi="Calibri" w:cs="Calibri"/>
          <w:b/>
          <w:b/>
          <w:bCs/>
          <w:color w:val="003F72"/>
          <w:sz w:val="10"/>
          <w:szCs w:val="10"/>
          <w:lang w:eastAsia="en-US"/>
        </w:rPr>
      </w:pPr>
      <w:r>
        <w:rPr>
          <w:rFonts w:cs="Calibri" w:ascii="Calibri" w:hAnsi="Calibri"/>
          <w:b/>
          <w:bCs/>
          <w:color w:val="003F72"/>
          <w:sz w:val="10"/>
          <w:szCs w:val="10"/>
          <w:lang w:eastAsia="en-US"/>
        </w:rPr>
        <w:t>Oddaja naročil podizvajalcem</w:t>
      </w:r>
    </w:p>
    <w:p>
      <w:pPr>
        <w:pStyle w:val="ListParagraph"/>
        <w:numPr>
          <w:ilvl w:val="1"/>
          <w:numId w:val="3"/>
        </w:numPr>
        <w:spacing w:lineRule="atLeast" w:line="20"/>
        <w:rPr>
          <w:rFonts w:ascii="Calibri" w:hAnsi="Calibri" w:eastAsia="Times New Roman" w:cs="Calibri"/>
          <w:sz w:val="10"/>
          <w:szCs w:val="10"/>
        </w:rPr>
      </w:pPr>
      <w:r>
        <w:rPr>
          <w:rFonts w:eastAsia="Times New Roman" w:cs="Calibri" w:ascii="Calibri" w:hAnsi="Calibri"/>
          <w:sz w:val="10"/>
          <w:szCs w:val="10"/>
        </w:rPr>
        <w:t>Lindström si pridržuje pravico, da za izvajanje pogodbenih obveznosti uporablja podizvajalce.</w:t>
      </w:r>
    </w:p>
    <w:p>
      <w:pPr>
        <w:pStyle w:val="ListParagraph"/>
        <w:numPr>
          <w:ilvl w:val="1"/>
          <w:numId w:val="3"/>
        </w:numPr>
        <w:spacing w:lineRule="atLeast" w:line="20"/>
        <w:rPr>
          <w:rFonts w:ascii="Calibri" w:hAnsi="Calibri" w:eastAsia="Times New Roman" w:cs="Calibri"/>
          <w:sz w:val="10"/>
          <w:szCs w:val="10"/>
        </w:rPr>
      </w:pPr>
      <w:r>
        <w:rPr>
          <w:rFonts w:eastAsia="Times New Roman" w:cs="Calibri" w:ascii="Calibri" w:hAnsi="Calibri"/>
          <w:sz w:val="10"/>
          <w:szCs w:val="10"/>
        </w:rPr>
        <w:t>Uporaba kakršnih koli podizvajalcev ne vpliva na pravice in obveznosti pogodbenih strank iz te pogodbe.</w:t>
      </w:r>
    </w:p>
    <w:p>
      <w:pPr>
        <w:pStyle w:val="Normal"/>
        <w:tabs>
          <w:tab w:val="clear" w:pos="1304"/>
          <w:tab w:val="left" w:pos="284" w:leader="none"/>
        </w:tabs>
        <w:spacing w:lineRule="atLeast" w:line="20"/>
        <w:ind w:left="284" w:hanging="284"/>
        <w:rPr>
          <w:rFonts w:ascii="Calibri" w:hAnsi="Calibri" w:cs="Calibri"/>
          <w:color w:val="003F72"/>
          <w:sz w:val="10"/>
          <w:szCs w:val="10"/>
        </w:rPr>
      </w:pPr>
      <w:r>
        <w:rPr>
          <w:rFonts w:cs="Calibri" w:ascii="Calibri" w:hAnsi="Calibri"/>
          <w:color w:val="003F72"/>
          <w:sz w:val="10"/>
          <w:szCs w:val="10"/>
        </w:rPr>
      </w:r>
    </w:p>
    <w:p>
      <w:pPr>
        <w:pStyle w:val="Otsikko1"/>
        <w:numPr>
          <w:ilvl w:val="0"/>
          <w:numId w:val="3"/>
        </w:numPr>
        <w:suppressAutoHyphens w:val="false"/>
        <w:spacing w:lineRule="auto" w:line="240" w:before="0" w:after="0"/>
        <w:rPr>
          <w:rFonts w:ascii="Calibri" w:hAnsi="Calibri" w:cs="Calibri" w:asciiTheme="minorHAnsi" w:cstheme="minorHAnsi" w:hAnsiTheme="minorHAnsi"/>
          <w:color w:val="003F72"/>
          <w:sz w:val="10"/>
          <w:szCs w:val="10"/>
        </w:rPr>
      </w:pPr>
      <w:r>
        <w:rPr>
          <w:rFonts w:cs="Calibri" w:ascii="Calibri" w:hAnsi="Calibri" w:asciiTheme="minorHAnsi" w:cstheme="minorHAnsi" w:hAnsiTheme="minorHAnsi"/>
          <w:color w:val="003F72"/>
          <w:sz w:val="10"/>
          <w:szCs w:val="10"/>
        </w:rPr>
        <w:t>Obdelava osebnih podatkov</w:t>
      </w:r>
    </w:p>
    <w:p>
      <w:pPr>
        <w:pStyle w:val="Normal"/>
        <w:numPr>
          <w:ilvl w:val="1"/>
          <w:numId w:val="4"/>
        </w:numPr>
        <w:tabs>
          <w:tab w:val="clear" w:pos="1304"/>
          <w:tab w:val="left" w:pos="426" w:leader="none"/>
        </w:tabs>
        <w:spacing w:lineRule="atLeast" w:line="20"/>
        <w:rPr>
          <w:rFonts w:ascii="Calibri" w:hAnsi="Calibri" w:cs="Calibri"/>
          <w:sz w:val="10"/>
          <w:szCs w:val="10"/>
        </w:rPr>
      </w:pPr>
      <w:r>
        <w:rPr>
          <w:rFonts w:cs="Calibri" w:ascii="Calibri" w:hAnsi="Calibri"/>
          <w:sz w:val="10"/>
          <w:szCs w:val="10"/>
        </w:rPr>
        <w:t>Vsaka pogodbena stranka se zavezuje, da bo pri obdelavi osebnih podatkov spoštovala veljavno zakonodajo o varstvu podatkov, vključno s Splošno uredbo o varstvu podatkov (EU 2016/679).  Če pogodbena stranka osebne podatke prenese na drugo pogodbeno stranko, je odgovorna za zagotovitev, da ima pravico do prenosa takšnih podatkov. Če obe pogodbeni stranki delujeta kot upravljavca podatkov, je vsaka pogodbena stranka odgovorna za obveznosti upravljavca podatkov, vključno z obstojem zakonite podlage za obdelavo v skladu s Splošno uredbo o varstvu podatkov.</w:t>
      </w:r>
    </w:p>
    <w:p>
      <w:pPr>
        <w:pStyle w:val="Normal"/>
        <w:numPr>
          <w:ilvl w:val="1"/>
          <w:numId w:val="4"/>
        </w:numPr>
        <w:tabs>
          <w:tab w:val="clear" w:pos="1304"/>
          <w:tab w:val="left" w:pos="426" w:leader="none"/>
        </w:tabs>
        <w:spacing w:lineRule="atLeast" w:line="20"/>
        <w:rPr>
          <w:rFonts w:ascii="Calibri" w:hAnsi="Calibri" w:cs="Calibri"/>
          <w:sz w:val="10"/>
          <w:szCs w:val="10"/>
        </w:rPr>
      </w:pPr>
      <w:r>
        <w:rPr>
          <w:rFonts w:cs="Calibri" w:ascii="Calibri" w:hAnsi="Calibri"/>
          <w:sz w:val="10"/>
          <w:szCs w:val="10"/>
        </w:rPr>
        <w:t>Če je pogodbena stranka izključno obdelovalec podatkov, druga pogodbena stranka pa upravljavec podatkov v zvezi z nekaterimi osebnimi podatki, se pogodbeni stranki zavezujeta, da bosta v skladu s Splošnimi predpisi o varstvu podatkov sklenili pogodbo o obdelavi podatkov.</w:t>
      </w:r>
    </w:p>
    <w:p>
      <w:pPr>
        <w:pStyle w:val="Normal"/>
        <w:numPr>
          <w:ilvl w:val="1"/>
          <w:numId w:val="4"/>
        </w:numPr>
        <w:tabs>
          <w:tab w:val="clear" w:pos="1304"/>
          <w:tab w:val="left" w:pos="426" w:leader="none"/>
        </w:tabs>
        <w:spacing w:lineRule="atLeast" w:line="20"/>
        <w:rPr>
          <w:rFonts w:ascii="Calibri" w:hAnsi="Calibri" w:cs="Calibri"/>
          <w:sz w:val="10"/>
          <w:szCs w:val="10"/>
        </w:rPr>
      </w:pPr>
      <w:r>
        <w:rPr>
          <w:rFonts w:cs="Calibri" w:ascii="Calibri" w:hAnsi="Calibri"/>
          <w:sz w:val="10"/>
          <w:szCs w:val="10"/>
        </w:rPr>
        <w:t>V storitvah, ki vključujejo kupca za prenos osebnih podatkov svojih zaposlenih in uporabnikov storitev v Lindström, Lindström dopolnjuje podatke z dodajanjem potrebnih podrobnosti za zagotavljanje storitve. Zaradi tega je Lindström upravljavec osebnih podatkov, saj vzdržuje evidenco uporabnikov storitev, vključno z osebnimi podatki, na podlagi katerih je mogoče prepoznati posameznike.</w:t>
      </w:r>
    </w:p>
    <w:p>
      <w:pPr>
        <w:pStyle w:val="Normal"/>
        <w:numPr>
          <w:ilvl w:val="1"/>
          <w:numId w:val="4"/>
        </w:numPr>
        <w:tabs>
          <w:tab w:val="clear" w:pos="1304"/>
          <w:tab w:val="left" w:pos="426" w:leader="none"/>
        </w:tabs>
        <w:spacing w:lineRule="atLeast" w:line="20"/>
        <w:rPr>
          <w:rFonts w:ascii="Calibri" w:hAnsi="Calibri" w:cs="Calibri"/>
          <w:sz w:val="10"/>
          <w:szCs w:val="10"/>
        </w:rPr>
      </w:pPr>
      <w:r>
        <w:rPr>
          <w:rFonts w:cs="Calibri" w:ascii="Calibri" w:hAnsi="Calibri"/>
          <w:sz w:val="10"/>
          <w:szCs w:val="10"/>
        </w:rPr>
        <w:t>Lindstrom zbira in obdeluje samo osebne podatke, ki so potrebni v smislu storitve, ki jo zagotavlja. Ko podatki niso več potrebni, jih Lindström bodisi izbriše iz registra ali pa jih obdela tako, da identifikacija oseb ni mogoča. Po izteku pogodbe Lindström nima razlogov za nadaljevanje shranjevanja ali obdelave osebnih podatkov.</w:t>
      </w:r>
    </w:p>
    <w:p>
      <w:pPr>
        <w:pStyle w:val="Normal"/>
        <w:numPr>
          <w:ilvl w:val="1"/>
          <w:numId w:val="4"/>
        </w:numPr>
        <w:tabs>
          <w:tab w:val="clear" w:pos="1304"/>
          <w:tab w:val="left" w:pos="426" w:leader="none"/>
        </w:tabs>
        <w:spacing w:lineRule="atLeast" w:line="20"/>
        <w:rPr>
          <w:rFonts w:ascii="Calibri" w:hAnsi="Calibri" w:cs="Calibri"/>
          <w:sz w:val="10"/>
          <w:szCs w:val="10"/>
        </w:rPr>
      </w:pPr>
      <w:r>
        <w:rPr>
          <w:rFonts w:cs="Calibri" w:ascii="Calibri" w:hAnsi="Calibri"/>
          <w:sz w:val="10"/>
          <w:szCs w:val="10"/>
        </w:rPr>
        <w:t xml:space="preserve">Politika zasebnosti podjetja Lindström je na voljo na Lindströmovi spletni strani, </w:t>
      </w:r>
      <w:hyperlink r:id="rId4">
        <w:r>
          <w:rPr>
            <w:rStyle w:val="InternetLink"/>
            <w:rFonts w:cs="Calibri" w:ascii="Calibri" w:hAnsi="Calibri"/>
            <w:sz w:val="10"/>
            <w:szCs w:val="10"/>
          </w:rPr>
          <w:t>www.lindstromgroup.com</w:t>
        </w:r>
      </w:hyperlink>
    </w:p>
    <w:p>
      <w:pPr>
        <w:pStyle w:val="Normal"/>
        <w:tabs>
          <w:tab w:val="clear" w:pos="1304"/>
          <w:tab w:val="left" w:pos="426" w:leader="none"/>
        </w:tabs>
        <w:spacing w:lineRule="atLeast" w:line="20"/>
        <w:ind w:left="284" w:hanging="0"/>
        <w:rPr>
          <w:rFonts w:ascii="Calibri" w:hAnsi="Calibri" w:cs="Calibri"/>
          <w:sz w:val="10"/>
          <w:szCs w:val="10"/>
        </w:rPr>
      </w:pPr>
      <w:r>
        <w:rPr>
          <w:rFonts w:cs="Calibri" w:ascii="Calibri" w:hAnsi="Calibri"/>
          <w:sz w:val="10"/>
          <w:szCs w:val="10"/>
        </w:rPr>
      </w:r>
    </w:p>
    <w:p>
      <w:pPr>
        <w:pStyle w:val="ListParagraph"/>
        <w:numPr>
          <w:ilvl w:val="0"/>
          <w:numId w:val="15"/>
        </w:numPr>
        <w:tabs>
          <w:tab w:val="clear" w:pos="1304"/>
          <w:tab w:val="left" w:pos="426" w:leader="none"/>
        </w:tabs>
        <w:spacing w:lineRule="atLeast" w:line="20"/>
        <w:rPr>
          <w:rFonts w:ascii="Calibri" w:hAnsi="Calibri" w:cs="Calibri"/>
          <w:b/>
          <w:b/>
          <w:bCs/>
          <w:color w:val="003F72"/>
          <w:sz w:val="10"/>
          <w:szCs w:val="10"/>
        </w:rPr>
      </w:pPr>
      <w:r>
        <w:rPr>
          <w:rFonts w:cs="Calibri" w:ascii="Calibri" w:hAnsi="Calibri"/>
          <w:b/>
          <w:bCs/>
          <w:color w:val="003F72"/>
          <w:sz w:val="10"/>
          <w:szCs w:val="10"/>
        </w:rPr>
        <w:t>Lastništvo in uporaba podatkov</w:t>
      </w:r>
    </w:p>
    <w:p>
      <w:pPr>
        <w:pStyle w:val="Normal"/>
        <w:numPr>
          <w:ilvl w:val="1"/>
          <w:numId w:val="4"/>
        </w:numPr>
        <w:tabs>
          <w:tab w:val="clear" w:pos="1304"/>
          <w:tab w:val="left" w:pos="426" w:leader="none"/>
        </w:tabs>
        <w:spacing w:lineRule="atLeast" w:line="20"/>
        <w:rPr>
          <w:rFonts w:ascii="Calibri" w:hAnsi="Calibri" w:cs="Calibri"/>
          <w:sz w:val="10"/>
          <w:szCs w:val="10"/>
          <w:lang w:bidi="en-GB"/>
        </w:rPr>
      </w:pPr>
      <w:r>
        <w:rPr>
          <w:rFonts w:cs="Calibri" w:ascii="Calibri" w:hAnsi="Calibri"/>
          <w:sz w:val="10"/>
          <w:szCs w:val="10"/>
          <w:lang w:bidi="en-GB"/>
        </w:rPr>
        <w:t>Lindström zbira podatke o uporabi in dejavnostih z različnimi metodami v zvezi s prodajo, dostavo, uporabo in porabo izdelkov in storitev Lindström ter drugače pomembnimi podatki, ki se nanašajo na poslovanje Lindströma, »Podatki«.</w:t>
      </w:r>
    </w:p>
    <w:p>
      <w:pPr>
        <w:pStyle w:val="Normal"/>
        <w:numPr>
          <w:ilvl w:val="1"/>
          <w:numId w:val="4"/>
        </w:numPr>
        <w:tabs>
          <w:tab w:val="clear" w:pos="1304"/>
          <w:tab w:val="left" w:pos="426" w:leader="none"/>
        </w:tabs>
        <w:spacing w:lineRule="atLeast" w:line="20"/>
        <w:rPr>
          <w:rFonts w:ascii="Calibri" w:hAnsi="Calibri" w:cs="Calibri"/>
          <w:sz w:val="10"/>
          <w:szCs w:val="10"/>
          <w:lang w:bidi="en-GB"/>
        </w:rPr>
      </w:pPr>
      <w:r>
        <w:rPr>
          <w:rFonts w:cs="Calibri" w:ascii="Calibri" w:hAnsi="Calibri"/>
          <w:sz w:val="10"/>
          <w:szCs w:val="10"/>
          <w:lang w:bidi="en-GB"/>
        </w:rPr>
        <w:t>Lindström si lasti podatke v celoti in so njegova last. Lindström ima pravico, da se po svoji prosti presoji in kadar koli odloči o zbiranju podatkov, opustitvi zbiranja podatkov in uporabi podatkov v skladu z veljavno zakonodajo.</w:t>
      </w:r>
    </w:p>
    <w:p>
      <w:pPr>
        <w:pStyle w:val="Normal"/>
        <w:numPr>
          <w:ilvl w:val="1"/>
          <w:numId w:val="4"/>
        </w:numPr>
        <w:tabs>
          <w:tab w:val="clear" w:pos="1304"/>
          <w:tab w:val="left" w:pos="426" w:leader="none"/>
        </w:tabs>
        <w:spacing w:lineRule="atLeast" w:line="20"/>
        <w:rPr>
          <w:rFonts w:ascii="Calibri" w:hAnsi="Calibri" w:cs="Calibri"/>
          <w:sz w:val="10"/>
          <w:szCs w:val="10"/>
          <w:lang w:bidi="en-GB"/>
        </w:rPr>
      </w:pPr>
      <w:r>
        <w:rPr>
          <w:rFonts w:cs="Calibri" w:ascii="Calibri" w:hAnsi="Calibri"/>
          <w:sz w:val="10"/>
          <w:szCs w:val="10"/>
          <w:lang w:bidi="en-GB"/>
        </w:rPr>
        <w:t>Kupec ima pravico, da za ločeno dogovorjeno uporabo in plačilo zahteva dostop do podatkov, zbranih v prostorih kupca. Če kupec zahteva zbrane podatke in Lindström te podatke razkrije, je kupec dolžan obdelovati in shraniti podatke v skladu z veljavno zakonodajo.</w:t>
      </w:r>
    </w:p>
    <w:p>
      <w:pPr>
        <w:pStyle w:val="Normal"/>
        <w:numPr>
          <w:ilvl w:val="1"/>
          <w:numId w:val="4"/>
        </w:numPr>
        <w:tabs>
          <w:tab w:val="clear" w:pos="1304"/>
          <w:tab w:val="left" w:pos="426" w:leader="none"/>
        </w:tabs>
        <w:spacing w:lineRule="atLeast" w:line="20"/>
        <w:rPr>
          <w:rFonts w:ascii="Calibri" w:hAnsi="Calibri" w:cs="Calibri"/>
          <w:sz w:val="10"/>
          <w:szCs w:val="10"/>
          <w:lang w:bidi="en-GB"/>
        </w:rPr>
      </w:pPr>
      <w:r>
        <w:rPr>
          <w:rFonts w:cs="Calibri" w:ascii="Calibri" w:hAnsi="Calibri"/>
          <w:sz w:val="10"/>
          <w:szCs w:val="10"/>
          <w:lang w:bidi="en-GB"/>
        </w:rPr>
        <w:t xml:space="preserve">Če Lindström kupcu razkrije podatke, se podatki kupcu razkrijejo »takšni, kot so« in »kot so na voljo«, Lindström pa ne daje nobenih zagotovil ali garancij glede podatkov ali njihove pravilnosti (vključno z garancijami oz. jamstvi za kršitev kakršnih koli pravic intelektualne lastnine tretjih oseb v zvezi s podatki) in kupec je izključno odgovoren za uporabo takšnih podatkov. </w:t>
      </w:r>
    </w:p>
    <w:p>
      <w:pPr>
        <w:pStyle w:val="ListParagraph"/>
        <w:numPr>
          <w:ilvl w:val="0"/>
          <w:numId w:val="4"/>
        </w:numPr>
        <w:rPr>
          <w:rFonts w:ascii="Calibri" w:hAnsi="Calibri" w:cs="Calibri"/>
          <w:b/>
          <w:b/>
          <w:bCs/>
          <w:color w:val="003F72"/>
          <w:sz w:val="10"/>
          <w:szCs w:val="10"/>
          <w:lang w:eastAsia="en-US"/>
        </w:rPr>
      </w:pPr>
      <w:bookmarkStart w:id="15" w:name="_Hlk78965853"/>
      <w:r>
        <w:rPr>
          <w:rFonts w:cs="Calibri" w:ascii="Calibri" w:hAnsi="Calibri"/>
          <w:b/>
          <w:bCs/>
          <w:color w:val="003F72"/>
          <w:sz w:val="10"/>
          <w:szCs w:val="10"/>
          <w:lang w:eastAsia="en-US"/>
        </w:rPr>
        <w:t>Zaupni podatki kupca</w:t>
      </w:r>
    </w:p>
    <w:p>
      <w:pPr>
        <w:pStyle w:val="Normal"/>
        <w:numPr>
          <w:ilvl w:val="1"/>
          <w:numId w:val="5"/>
        </w:numPr>
        <w:tabs>
          <w:tab w:val="clear" w:pos="1304"/>
          <w:tab w:val="left" w:pos="426" w:leader="none"/>
        </w:tabs>
        <w:spacing w:lineRule="atLeast" w:line="20"/>
        <w:rPr>
          <w:rFonts w:ascii="Calibri" w:hAnsi="Calibri" w:cs="Calibri"/>
          <w:color w:val="000000"/>
          <w:sz w:val="10"/>
          <w:szCs w:val="10"/>
        </w:rPr>
      </w:pPr>
      <w:r>
        <w:rPr>
          <w:rFonts w:cs="Calibri" w:ascii="Calibri" w:hAnsi="Calibri"/>
          <w:color w:val="000000"/>
          <w:sz w:val="10"/>
          <w:szCs w:val="10"/>
        </w:rPr>
        <w:t>Podatke, ki jih je Lindström razkril kupcu, lahko označimo kot zaupne podatke o strankah in so zaupna last Lindströma. Kupec ni upravičen do posredovanja zaupnih podatkov o strankah brez predhodnega pisnega soglasja Lindströma.</w:t>
      </w:r>
    </w:p>
    <w:p>
      <w:pPr>
        <w:pStyle w:val="Normal"/>
        <w:numPr>
          <w:ilvl w:val="1"/>
          <w:numId w:val="5"/>
        </w:numPr>
        <w:tabs>
          <w:tab w:val="clear" w:pos="1304"/>
          <w:tab w:val="left" w:pos="426" w:leader="none"/>
        </w:tabs>
        <w:spacing w:lineRule="atLeast" w:line="20"/>
        <w:rPr>
          <w:rFonts w:ascii="Calibri" w:hAnsi="Calibri" w:cs="Calibri"/>
          <w:color w:val="000000"/>
          <w:sz w:val="10"/>
          <w:szCs w:val="10"/>
        </w:rPr>
      </w:pPr>
      <w:r>
        <w:rPr>
          <w:rFonts w:cs="Calibri" w:ascii="Calibri" w:hAnsi="Calibri"/>
          <w:color w:val="000000"/>
          <w:sz w:val="10"/>
          <w:szCs w:val="10"/>
        </w:rPr>
        <w:t>Kupec potrjuje, da ima in nenehno izpolnjuje posodobljene pisne smernice in pravila delovanja za operativno, upravljavsko, fizično in tehnično varovanje zaupnih podatkov o strankah ter za zagotovitev, da se zaupni podatki o strankah ne izgubijo, uničijo, spremenijo, kdor koli jih je brez dovoljenja ali po naključju odkril, razkril ali do njih dostopal. Kupec takoj obvesti Lindström, če sumi, da je zaupne podatke o strankah zasegla tretja oseba ali so bili nezakonito razkriti tretji osebi, izgubljeni, uničeni ali spremenjeni.</w:t>
      </w:r>
    </w:p>
    <w:p>
      <w:pPr>
        <w:pStyle w:val="Normal"/>
        <w:numPr>
          <w:ilvl w:val="1"/>
          <w:numId w:val="5"/>
        </w:numPr>
        <w:tabs>
          <w:tab w:val="clear" w:pos="1304"/>
          <w:tab w:val="left" w:pos="426" w:leader="none"/>
        </w:tabs>
        <w:spacing w:lineRule="atLeast" w:line="20"/>
        <w:rPr>
          <w:rFonts w:ascii="Calibri" w:hAnsi="Calibri" w:cs="Calibri"/>
          <w:color w:val="000000"/>
          <w:sz w:val="10"/>
          <w:szCs w:val="10"/>
        </w:rPr>
      </w:pPr>
      <w:r>
        <w:rPr>
          <w:rFonts w:cs="Calibri" w:ascii="Calibri" w:hAnsi="Calibri"/>
          <w:color w:val="000000"/>
          <w:sz w:val="10"/>
          <w:szCs w:val="10"/>
        </w:rPr>
        <w:t>Kupec je odgovoren za škodo ali stroške, ki nastanejo zaradi uporabe in shranjevanja razkritih zaupnih podatkov o strankah. Kupec se zavezuje, da bo nosil vse stroške, ki jih Lindström lahko povzroči zaradi nezakonite uporabe ali shranjevanja zaupnih podatkov o strankah, razkritih kupcu ali zaradi kakršne koli druge zlorabe in se na lastne stroške zaveže, da bo branil interese Lindströma na način in v obsegu, ki ga zahteva Lindström.</w:t>
      </w:r>
    </w:p>
    <w:p>
      <w:pPr>
        <w:pStyle w:val="Normal"/>
        <w:numPr>
          <w:ilvl w:val="1"/>
          <w:numId w:val="5"/>
        </w:numPr>
        <w:tabs>
          <w:tab w:val="clear" w:pos="1304"/>
          <w:tab w:val="left" w:pos="426" w:leader="none"/>
        </w:tabs>
        <w:spacing w:lineRule="atLeast" w:line="20"/>
        <w:rPr>
          <w:rFonts w:ascii="Calibri" w:hAnsi="Calibri" w:cs="Calibri"/>
          <w:color w:val="000000"/>
          <w:sz w:val="10"/>
          <w:szCs w:val="10"/>
        </w:rPr>
      </w:pPr>
      <w:bookmarkStart w:id="16" w:name="_Hlk78965853"/>
      <w:r>
        <w:rPr>
          <w:rFonts w:cs="Calibri" w:ascii="Calibri" w:hAnsi="Calibri"/>
          <w:color w:val="000000"/>
          <w:sz w:val="10"/>
          <w:szCs w:val="10"/>
        </w:rPr>
        <w:t>Na zahtevo Lindströma kupec bodisi (i) vrne Lindströmu vse zaupne podatke o strankah bodisi (ii) uniči zaupne podatke o strankah v skladu z navodili Lindströma in Lindströmu pisno potrdi, da je z zaupnimi podatki o strankah ravnal v skladu z Lindströmovo prošnjo. Kupec pa lahko obdrži kopijo zaupnih podatkov o strankah, potrebnih za izpolnitev njegovih zakonskih obveznosti.</w:t>
      </w:r>
      <w:bookmarkEnd w:id="16"/>
    </w:p>
    <w:p>
      <w:pPr>
        <w:pStyle w:val="Normal"/>
        <w:spacing w:lineRule="atLeast" w:line="20"/>
        <w:rPr>
          <w:rFonts w:ascii="Calibri" w:hAnsi="Calibri" w:cs="Calibri"/>
          <w:color w:val="000000"/>
          <w:sz w:val="10"/>
          <w:szCs w:val="10"/>
        </w:rPr>
      </w:pPr>
      <w:r>
        <w:rPr>
          <w:rFonts w:cs="Calibri" w:ascii="Calibri" w:hAnsi="Calibri"/>
          <w:color w:val="000000"/>
          <w:sz w:val="10"/>
          <w:szCs w:val="10"/>
        </w:rPr>
      </w:r>
    </w:p>
    <w:p>
      <w:pPr>
        <w:pStyle w:val="ListParagraph"/>
        <w:numPr>
          <w:ilvl w:val="0"/>
          <w:numId w:val="4"/>
        </w:numPr>
        <w:spacing w:lineRule="atLeast" w:line="20"/>
        <w:rPr>
          <w:rFonts w:ascii="Calibri" w:hAnsi="Calibri" w:cs="Calibri"/>
          <w:b/>
          <w:b/>
          <w:bCs/>
          <w:color w:val="003F72"/>
          <w:sz w:val="10"/>
          <w:szCs w:val="10"/>
          <w:lang w:eastAsia="en-US"/>
        </w:rPr>
      </w:pPr>
      <w:bookmarkStart w:id="17" w:name="_Hlk78966195"/>
      <w:bookmarkEnd w:id="17"/>
      <w:r>
        <w:rPr>
          <w:rFonts w:cs="Calibri" w:ascii="Calibri" w:hAnsi="Calibri"/>
          <w:b/>
          <w:bCs/>
          <w:color w:val="003F72"/>
          <w:sz w:val="10"/>
          <w:szCs w:val="10"/>
          <w:lang w:eastAsia="en-US"/>
        </w:rPr>
        <w:t>Pravice intelektualne lastnine</w:t>
      </w:r>
    </w:p>
    <w:p>
      <w:pPr>
        <w:pStyle w:val="ListParagraph"/>
        <w:numPr>
          <w:ilvl w:val="1"/>
          <w:numId w:val="4"/>
        </w:numPr>
        <w:tabs>
          <w:tab w:val="clear" w:pos="1304"/>
          <w:tab w:val="left" w:pos="284" w:leader="none"/>
        </w:tabs>
        <w:spacing w:lineRule="atLeast" w:line="20"/>
        <w:rPr>
          <w:rFonts w:ascii="Calibri" w:hAnsi="Calibri" w:cs="Calibri"/>
          <w:color w:val="000000"/>
          <w:sz w:val="10"/>
          <w:szCs w:val="10"/>
        </w:rPr>
      </w:pPr>
      <w:r>
        <w:rPr>
          <w:rFonts w:cs="Calibri" w:ascii="Calibri" w:hAnsi="Calibri"/>
          <w:color w:val="000000"/>
          <w:sz w:val="10"/>
          <w:szCs w:val="10"/>
        </w:rPr>
        <w:t>Vse pravice intelektualne lastnine v zvezi s storitvami in izdelki, vključno z avtorskimi pravicami in pravicami oblikovanja, so last Lindströma. Zaradi jasnosti je navedeno, da pravice intelektualne lastnine ne bodo prenesene na kupca na podlagi te pogodbe ali njenih prilog.</w:t>
      </w:r>
    </w:p>
    <w:p>
      <w:pPr>
        <w:pStyle w:val="ListParagraph"/>
        <w:numPr>
          <w:ilvl w:val="1"/>
          <w:numId w:val="4"/>
        </w:numPr>
        <w:tabs>
          <w:tab w:val="clear" w:pos="1304"/>
          <w:tab w:val="left" w:pos="284" w:leader="none"/>
        </w:tabs>
        <w:spacing w:lineRule="atLeast" w:line="20"/>
        <w:rPr>
          <w:rFonts w:ascii="Calibri" w:hAnsi="Calibri" w:cs="Calibri"/>
          <w:color w:val="000000"/>
          <w:sz w:val="10"/>
          <w:szCs w:val="10"/>
        </w:rPr>
      </w:pPr>
      <w:r>
        <w:rPr>
          <w:rFonts w:cs="Calibri" w:ascii="Calibri" w:hAnsi="Calibri"/>
          <w:color w:val="000000"/>
          <w:sz w:val="10"/>
          <w:szCs w:val="10"/>
        </w:rPr>
        <w:t>Kupec se strinja, da ima Lindström, kjer to zahteva kupec, pravico do tihe koristi v uporabi korporativnih logotipov ali drugih modelov, ki so v lasti kupca.</w:t>
      </w:r>
    </w:p>
    <w:p>
      <w:pPr>
        <w:pStyle w:val="ListParagraph"/>
        <w:numPr>
          <w:ilvl w:val="1"/>
          <w:numId w:val="4"/>
        </w:numPr>
        <w:tabs>
          <w:tab w:val="clear" w:pos="1304"/>
          <w:tab w:val="left" w:pos="284" w:leader="none"/>
        </w:tabs>
        <w:spacing w:lineRule="atLeast" w:line="20"/>
        <w:rPr>
          <w:rFonts w:ascii="Calibri" w:hAnsi="Calibri" w:cs="Calibri"/>
          <w:color w:val="000000"/>
          <w:sz w:val="10"/>
          <w:szCs w:val="10"/>
        </w:rPr>
      </w:pPr>
      <w:r>
        <w:rPr>
          <w:rFonts w:cs="Calibri" w:ascii="Calibri" w:hAnsi="Calibri"/>
          <w:color w:val="000000"/>
          <w:sz w:val="10"/>
          <w:szCs w:val="10"/>
        </w:rPr>
        <w:t>Kupec Lindströmu povrne stroške ali škodo, ki so posledica kršitve tega razdelka.</w:t>
      </w:r>
    </w:p>
    <w:p>
      <w:pPr>
        <w:pStyle w:val="ListParagraph"/>
        <w:spacing w:lineRule="atLeast" w:line="20"/>
        <w:ind w:left="284" w:hanging="0"/>
        <w:rPr>
          <w:rFonts w:ascii="Calibri" w:hAnsi="Calibri" w:cs="Calibri"/>
          <w:b/>
          <w:b/>
          <w:bCs/>
          <w:color w:val="003F72"/>
          <w:sz w:val="10"/>
          <w:szCs w:val="10"/>
          <w:lang w:eastAsia="en-US"/>
        </w:rPr>
      </w:pPr>
      <w:r>
        <w:rPr>
          <w:rFonts w:cs="Calibri" w:ascii="Calibri" w:hAnsi="Calibri"/>
          <w:b/>
          <w:bCs/>
          <w:color w:val="003F72"/>
          <w:sz w:val="10"/>
          <w:szCs w:val="10"/>
          <w:lang w:eastAsia="en-US"/>
        </w:rPr>
      </w:r>
      <w:bookmarkStart w:id="18" w:name="_Hlk78966195"/>
      <w:bookmarkStart w:id="19" w:name="_Hlk78966195"/>
      <w:bookmarkEnd w:id="19"/>
    </w:p>
    <w:p>
      <w:pPr>
        <w:pStyle w:val="Normal"/>
        <w:spacing w:lineRule="atLeast" w:line="20"/>
        <w:rPr>
          <w:rFonts w:ascii="Calibri" w:hAnsi="Calibri" w:cs="Calibri"/>
          <w:b/>
          <w:b/>
          <w:bCs/>
          <w:color w:val="003F72"/>
          <w:sz w:val="10"/>
          <w:szCs w:val="10"/>
          <w:lang w:eastAsia="en-US"/>
        </w:rPr>
      </w:pPr>
      <w:r>
        <w:rPr>
          <w:rFonts w:cs="Calibri" w:ascii="Calibri" w:hAnsi="Calibri"/>
          <w:b/>
          <w:bCs/>
          <w:color w:val="003F72"/>
          <w:sz w:val="10"/>
          <w:szCs w:val="10"/>
          <w:lang w:eastAsia="en-US"/>
        </w:rPr>
      </w:r>
    </w:p>
    <w:p>
      <w:pPr>
        <w:pStyle w:val="ListParagraph"/>
        <w:numPr>
          <w:ilvl w:val="0"/>
          <w:numId w:val="4"/>
        </w:numPr>
        <w:spacing w:lineRule="atLeast" w:line="20"/>
        <w:rPr>
          <w:rFonts w:ascii="Calibri" w:hAnsi="Calibri" w:cs="Calibri"/>
          <w:b/>
          <w:b/>
          <w:bCs/>
          <w:color w:val="003F72"/>
          <w:sz w:val="10"/>
          <w:szCs w:val="10"/>
          <w:lang w:eastAsia="en-US"/>
        </w:rPr>
      </w:pPr>
      <w:bookmarkStart w:id="20" w:name="_Hlk78966325"/>
      <w:r>
        <w:rPr>
          <w:rFonts w:cs="Calibri" w:ascii="Calibri" w:hAnsi="Calibri"/>
          <w:b/>
          <w:bCs/>
          <w:color w:val="003F72"/>
          <w:sz w:val="10"/>
          <w:szCs w:val="10"/>
          <w:lang w:eastAsia="en-US"/>
        </w:rPr>
        <w:t>Višja sila</w:t>
      </w:r>
    </w:p>
    <w:p>
      <w:pPr>
        <w:pStyle w:val="ListParagraph"/>
        <w:numPr>
          <w:ilvl w:val="1"/>
          <w:numId w:val="4"/>
        </w:numPr>
        <w:tabs>
          <w:tab w:val="clear" w:pos="1304"/>
          <w:tab w:val="left" w:pos="284" w:leader="none"/>
        </w:tabs>
        <w:spacing w:lineRule="atLeast" w:line="20"/>
        <w:rPr>
          <w:rFonts w:ascii="Calibri" w:hAnsi="Calibri" w:cs="Calibri"/>
          <w:color w:val="000000"/>
          <w:sz w:val="10"/>
          <w:szCs w:val="10"/>
        </w:rPr>
      </w:pPr>
      <w:r>
        <w:rPr>
          <w:rFonts w:cs="Calibri" w:ascii="Calibri" w:hAnsi="Calibri"/>
          <w:color w:val="000000"/>
          <w:sz w:val="10"/>
          <w:szCs w:val="10"/>
        </w:rPr>
        <w:t>Nobena pogodbena stranka ni odgovorna drugi pogodbeni stranki za kakršno koli zamudo ali neizpolnitev svojih obveznosti iz pogodbe, kadar takšno zamudo ali neuspeh povzroči nepredvidljiv ali neizogiben dogodek ali okoliščina, ki je zunaj razumnega nadzora te pogodbene stranke, pod pogojem, da pogodben stranki uporabita vsa razumna prizadevanja za ublažitev učinkov takih okoliščin.</w:t>
      </w:r>
    </w:p>
    <w:p>
      <w:pPr>
        <w:pStyle w:val="ListParagraph"/>
        <w:numPr>
          <w:ilvl w:val="1"/>
          <w:numId w:val="4"/>
        </w:numPr>
        <w:tabs>
          <w:tab w:val="clear" w:pos="1304"/>
          <w:tab w:val="left" w:pos="284" w:leader="none"/>
        </w:tabs>
        <w:spacing w:lineRule="atLeast" w:line="20"/>
        <w:rPr>
          <w:rFonts w:ascii="Calibri" w:hAnsi="Calibri" w:cs="Calibri"/>
          <w:color w:val="000000"/>
          <w:sz w:val="10"/>
          <w:szCs w:val="10"/>
        </w:rPr>
      </w:pPr>
      <w:r>
        <w:rPr>
          <w:rFonts w:cs="Calibri" w:ascii="Calibri" w:hAnsi="Calibri"/>
          <w:color w:val="000000"/>
          <w:sz w:val="10"/>
          <w:szCs w:val="10"/>
        </w:rPr>
        <w:t xml:space="preserve">Višja sila med drugim pomeni (a ni omejena na) industrijsko ukrepanje, teroristična dejanja, blokado, embargo, sankcije, nezmožnost Lindströma, da pridobi ali obnovi kakršno koli soglasje, pod pogoji, ki so ugodni v vseh pomembnih pogledih, kot tisti, ki jih vsebuje prvotno soglasje, ki se nanaša na Lindströmov posel; škodo, ki jo povzročajo vremenske in druge naravne okoliščine, omejevanje oskrbe z energijo ali vodo, požar, nesrečo in vojno ali druge enakovredne okoliščine, kibernetske napade ali podobne poskuse pridobitve nezakonitega dostopa do računalniških omrežij ali sistemov Lindström, na katere prizadeta pogodbena stranka nima možnosti vplivanja. </w:t>
      </w:r>
    </w:p>
    <w:p>
      <w:pPr>
        <w:pStyle w:val="ListParagraph"/>
        <w:numPr>
          <w:ilvl w:val="1"/>
          <w:numId w:val="4"/>
        </w:numPr>
        <w:tabs>
          <w:tab w:val="clear" w:pos="1304"/>
          <w:tab w:val="left" w:pos="284" w:leader="none"/>
        </w:tabs>
        <w:spacing w:lineRule="atLeast" w:line="20"/>
        <w:rPr>
          <w:rFonts w:ascii="Calibri" w:hAnsi="Calibri" w:cs="Calibri"/>
          <w:color w:val="000000"/>
          <w:sz w:val="10"/>
          <w:szCs w:val="10"/>
        </w:rPr>
      </w:pPr>
      <w:bookmarkStart w:id="21" w:name="_Hlk78966325"/>
      <w:r>
        <w:rPr>
          <w:rFonts w:cs="Calibri" w:ascii="Calibri" w:hAnsi="Calibri"/>
          <w:color w:val="000000"/>
          <w:sz w:val="10"/>
          <w:szCs w:val="10"/>
        </w:rPr>
        <w:t>V primeru višje sile prizadeta pogodbena stranka nemudoma obvesti drugo pogodbeno stranko o možnih posledicah v zvezi s storitvami.</w:t>
      </w:r>
      <w:bookmarkEnd w:id="21"/>
    </w:p>
    <w:p>
      <w:pPr>
        <w:pStyle w:val="ListParagraph"/>
        <w:spacing w:lineRule="atLeast" w:line="20"/>
        <w:ind w:left="284" w:hanging="0"/>
        <w:rPr>
          <w:rFonts w:ascii="Calibri" w:hAnsi="Calibri" w:cs="Calibri"/>
          <w:b/>
          <w:b/>
          <w:bCs/>
          <w:color w:val="003F72"/>
          <w:sz w:val="10"/>
          <w:szCs w:val="10"/>
          <w:lang w:eastAsia="en-US"/>
        </w:rPr>
      </w:pPr>
      <w:r>
        <w:rPr>
          <w:rFonts w:cs="Calibri" w:ascii="Calibri" w:hAnsi="Calibri"/>
          <w:b/>
          <w:bCs/>
          <w:color w:val="003F72"/>
          <w:sz w:val="10"/>
          <w:szCs w:val="10"/>
          <w:lang w:eastAsia="en-US"/>
        </w:rPr>
      </w:r>
    </w:p>
    <w:p>
      <w:pPr>
        <w:pStyle w:val="ListParagraph"/>
        <w:numPr>
          <w:ilvl w:val="0"/>
          <w:numId w:val="4"/>
        </w:numPr>
        <w:spacing w:lineRule="atLeast" w:line="20"/>
        <w:rPr>
          <w:rFonts w:ascii="Calibri" w:hAnsi="Calibri" w:cs="Calibri"/>
          <w:b/>
          <w:b/>
          <w:bCs/>
          <w:color w:val="003F72"/>
          <w:sz w:val="10"/>
          <w:szCs w:val="10"/>
          <w:lang w:eastAsia="en-US"/>
        </w:rPr>
      </w:pPr>
      <w:r>
        <w:rPr>
          <w:rFonts w:cs="Calibri" w:ascii="Calibri" w:hAnsi="Calibri"/>
          <w:b/>
          <w:bCs/>
          <w:color w:val="003F72"/>
          <w:sz w:val="10"/>
          <w:szCs w:val="10"/>
          <w:lang w:eastAsia="en-US"/>
        </w:rPr>
        <w:t>Omejitev odgovornosti</w:t>
      </w:r>
    </w:p>
    <w:p>
      <w:pPr>
        <w:pStyle w:val="ListParagraph"/>
        <w:numPr>
          <w:ilvl w:val="1"/>
          <w:numId w:val="4"/>
        </w:numPr>
        <w:tabs>
          <w:tab w:val="clear" w:pos="1304"/>
          <w:tab w:val="left" w:pos="284" w:leader="none"/>
        </w:tabs>
        <w:spacing w:lineRule="atLeast" w:line="20"/>
        <w:rPr>
          <w:rFonts w:ascii="Calibri" w:hAnsi="Calibri" w:cs="Calibri"/>
          <w:color w:val="000000"/>
          <w:sz w:val="10"/>
          <w:szCs w:val="10"/>
        </w:rPr>
      </w:pPr>
      <w:r>
        <w:rPr>
          <w:rFonts w:cs="Calibri" w:ascii="Calibri" w:hAnsi="Calibri"/>
          <w:color w:val="000000"/>
          <w:sz w:val="10"/>
          <w:szCs w:val="10"/>
        </w:rPr>
        <w:t>Lindström ne odgovarja za kakršne koli posredne ali posledične izgube, vključno z nadomestili, ki jih je treba plačati tretji osebi, izgubo dobička ali škodo, ki je posledica izgube ali prekinitve proizvodnje ali prihodkov.</w:t>
      </w:r>
    </w:p>
    <w:p>
      <w:pPr>
        <w:pStyle w:val="ListParagraph"/>
        <w:numPr>
          <w:ilvl w:val="1"/>
          <w:numId w:val="4"/>
        </w:numPr>
        <w:tabs>
          <w:tab w:val="clear" w:pos="1304"/>
          <w:tab w:val="left" w:pos="284" w:leader="none"/>
        </w:tabs>
        <w:spacing w:lineRule="atLeast" w:line="20"/>
        <w:rPr>
          <w:rFonts w:ascii="Calibri" w:hAnsi="Calibri" w:cs="Calibri"/>
          <w:color w:val="000000"/>
          <w:sz w:val="10"/>
          <w:szCs w:val="10"/>
        </w:rPr>
      </w:pPr>
      <w:r>
        <w:rPr>
          <w:rFonts w:cs="Calibri" w:ascii="Calibri" w:hAnsi="Calibri"/>
          <w:color w:val="000000"/>
          <w:sz w:val="10"/>
          <w:szCs w:val="10"/>
        </w:rPr>
        <w:t>Odgovornost Lindströma v zvezi s to pogodbo je v vseh primerih omejena na znesek nadomestila, ki jih je treba plačati za zadevne izdelke, ki so predmet Pogodbe o storitvi, v višini največ 4-tedenske fakturne vrednosti zadevnih najetih izdelkov v zadnjih dveh (2) obdobjih izdajanja računov (brez DDV), dodatno upoštevajoč člen 6.7.</w:t>
      </w:r>
    </w:p>
    <w:p>
      <w:pPr>
        <w:pStyle w:val="ListParagraph"/>
        <w:numPr>
          <w:ilvl w:val="1"/>
          <w:numId w:val="4"/>
        </w:numPr>
        <w:tabs>
          <w:tab w:val="clear" w:pos="1304"/>
          <w:tab w:val="left" w:pos="284" w:leader="none"/>
        </w:tabs>
        <w:spacing w:lineRule="atLeast" w:line="20"/>
        <w:rPr>
          <w:rFonts w:ascii="Calibri" w:hAnsi="Calibri" w:cs="Calibri"/>
          <w:color w:val="000000"/>
          <w:sz w:val="10"/>
          <w:szCs w:val="10"/>
        </w:rPr>
      </w:pPr>
      <w:r>
        <w:rPr>
          <w:rFonts w:cs="Calibri" w:ascii="Calibri" w:hAnsi="Calibri"/>
          <w:color w:val="000000"/>
          <w:sz w:val="10"/>
          <w:szCs w:val="10"/>
        </w:rPr>
        <w:t>Omejitve obveznosti v tem dokumentu se ne uporabljajo v primeru hude malomarnosti ali namerne kršitve.</w:t>
      </w:r>
    </w:p>
    <w:p>
      <w:pPr>
        <w:pStyle w:val="Normal"/>
        <w:tabs>
          <w:tab w:val="clear" w:pos="1304"/>
          <w:tab w:val="left" w:pos="284" w:leader="none"/>
        </w:tabs>
        <w:spacing w:lineRule="atLeast" w:line="20"/>
        <w:rPr>
          <w:rFonts w:ascii="Calibri" w:hAnsi="Calibri" w:cs="Calibri"/>
          <w:color w:val="000000"/>
          <w:sz w:val="10"/>
          <w:szCs w:val="10"/>
        </w:rPr>
      </w:pPr>
      <w:r>
        <w:rPr>
          <w:rFonts w:cs="Calibri" w:ascii="Calibri" w:hAnsi="Calibri"/>
          <w:color w:val="000000"/>
          <w:sz w:val="10"/>
          <w:szCs w:val="10"/>
        </w:rPr>
      </w:r>
    </w:p>
    <w:p>
      <w:pPr>
        <w:pStyle w:val="ListParagraph"/>
        <w:numPr>
          <w:ilvl w:val="0"/>
          <w:numId w:val="4"/>
        </w:numPr>
        <w:spacing w:lineRule="atLeast" w:line="20"/>
        <w:rPr>
          <w:rFonts w:ascii="Calibri" w:hAnsi="Calibri" w:cs="Calibri"/>
          <w:b/>
          <w:b/>
          <w:bCs/>
          <w:color w:val="003F72"/>
          <w:sz w:val="10"/>
          <w:szCs w:val="10"/>
          <w:lang w:eastAsia="en-US"/>
        </w:rPr>
      </w:pPr>
      <w:r>
        <w:rPr>
          <w:rFonts w:cs="Calibri" w:ascii="Calibri" w:hAnsi="Calibri"/>
          <w:b/>
          <w:bCs/>
          <w:color w:val="003F72"/>
          <w:sz w:val="10"/>
          <w:szCs w:val="10"/>
          <w:lang w:eastAsia="en-US"/>
        </w:rPr>
        <w:t>Zaupnost in dodelitev pogodbe</w:t>
      </w:r>
    </w:p>
    <w:p>
      <w:pPr>
        <w:pStyle w:val="ListParagraph"/>
        <w:spacing w:lineRule="atLeast" w:line="20"/>
        <w:ind w:left="284" w:hanging="0"/>
        <w:rPr>
          <w:rFonts w:ascii="Calibri" w:hAnsi="Calibri" w:cs="Calibri"/>
          <w:b/>
          <w:b/>
          <w:bCs/>
          <w:color w:val="003F72"/>
          <w:sz w:val="10"/>
          <w:szCs w:val="10"/>
          <w:lang w:eastAsia="en-US"/>
        </w:rPr>
      </w:pPr>
      <w:r>
        <w:rPr>
          <w:rFonts w:cs="Calibri" w:ascii="Calibri" w:hAnsi="Calibri"/>
          <w:b/>
          <w:bCs/>
          <w:color w:val="003F72"/>
          <w:sz w:val="10"/>
          <w:szCs w:val="10"/>
          <w:lang w:eastAsia="en-US"/>
        </w:rPr>
      </w:r>
    </w:p>
    <w:p>
      <w:pPr>
        <w:pStyle w:val="ListParagraph"/>
        <w:numPr>
          <w:ilvl w:val="1"/>
          <w:numId w:val="4"/>
        </w:numPr>
        <w:tabs>
          <w:tab w:val="clear" w:pos="1304"/>
          <w:tab w:val="left" w:pos="284" w:leader="none"/>
        </w:tabs>
        <w:spacing w:lineRule="atLeast" w:line="20"/>
        <w:rPr>
          <w:rFonts w:ascii="Calibri" w:hAnsi="Calibri" w:cs="Calibri"/>
          <w:color w:val="000000"/>
          <w:sz w:val="10"/>
          <w:szCs w:val="10"/>
        </w:rPr>
      </w:pPr>
      <w:r>
        <w:rPr>
          <w:rFonts w:cs="Calibri" w:ascii="Calibri" w:hAnsi="Calibri"/>
          <w:color w:val="000000"/>
          <w:sz w:val="10"/>
          <w:szCs w:val="10"/>
        </w:rPr>
        <w:t xml:space="preserve">Pogodbeni stranki se strinjata, da ne bosta razkrili tretjim osebam informacij o izdelkih, opisa storitev, informacij o cenah ali kakršnih koli drugih informacij, ki se lahko štejejo za komercialno občutljive.  </w:t>
      </w:r>
    </w:p>
    <w:p>
      <w:pPr>
        <w:pStyle w:val="ListParagraph"/>
        <w:numPr>
          <w:ilvl w:val="1"/>
          <w:numId w:val="4"/>
        </w:numPr>
        <w:tabs>
          <w:tab w:val="clear" w:pos="1304"/>
          <w:tab w:val="left" w:pos="284" w:leader="none"/>
        </w:tabs>
        <w:spacing w:lineRule="atLeast" w:line="20"/>
        <w:rPr>
          <w:rFonts w:ascii="Calibri" w:hAnsi="Calibri" w:cs="Calibri"/>
          <w:color w:val="000000"/>
          <w:sz w:val="10"/>
          <w:szCs w:val="10"/>
        </w:rPr>
      </w:pPr>
      <w:r>
        <w:rPr>
          <w:rFonts w:cs="Calibri" w:ascii="Calibri" w:hAnsi="Calibri"/>
          <w:color w:val="000000"/>
          <w:sz w:val="10"/>
          <w:szCs w:val="10"/>
        </w:rPr>
        <w:t xml:space="preserve">Nobena pogodbena stranka ne sme brez predhodnega pisnega soglasja druge pogodbene stranke zaupati nobene informacije, povezane s pogodbo, tretji osebi med trajanjem pogodbe ali po njeni odpovedi. </w:t>
      </w:r>
    </w:p>
    <w:p>
      <w:pPr>
        <w:pStyle w:val="ListParagraph"/>
        <w:numPr>
          <w:ilvl w:val="1"/>
          <w:numId w:val="4"/>
        </w:numPr>
        <w:tabs>
          <w:tab w:val="clear" w:pos="1304"/>
          <w:tab w:val="left" w:pos="284" w:leader="none"/>
        </w:tabs>
        <w:spacing w:lineRule="atLeast" w:line="20"/>
        <w:rPr>
          <w:rFonts w:ascii="Calibri" w:hAnsi="Calibri" w:cs="Calibri"/>
          <w:color w:val="000000"/>
          <w:sz w:val="10"/>
          <w:szCs w:val="10"/>
        </w:rPr>
      </w:pPr>
      <w:r>
        <w:rPr>
          <w:rFonts w:cs="Calibri" w:ascii="Calibri" w:hAnsi="Calibri"/>
          <w:color w:val="000000"/>
          <w:sz w:val="10"/>
          <w:szCs w:val="10"/>
        </w:rPr>
        <w:t>Pogodbe ni mogoče dodeliti tretji osebi brez soglasja druge pogodbene stranke. Vendar si Lindström pridržuje pravico, da pogodbo dodeli drugemu subjektu, ki pripada isti skupini družb.</w:t>
      </w:r>
    </w:p>
    <w:p>
      <w:pPr>
        <w:pStyle w:val="ListParagraph"/>
        <w:tabs>
          <w:tab w:val="clear" w:pos="1304"/>
          <w:tab w:val="left" w:pos="284" w:leader="none"/>
        </w:tabs>
        <w:spacing w:lineRule="atLeast" w:line="20"/>
        <w:ind w:left="284" w:hanging="0"/>
        <w:rPr>
          <w:rFonts w:ascii="Calibri" w:hAnsi="Calibri" w:cs="Calibri"/>
          <w:color w:val="000000"/>
          <w:sz w:val="10"/>
          <w:szCs w:val="10"/>
        </w:rPr>
      </w:pPr>
      <w:r>
        <w:rPr>
          <w:rFonts w:cs="Calibri" w:ascii="Calibri" w:hAnsi="Calibri"/>
          <w:color w:val="000000"/>
          <w:sz w:val="10"/>
          <w:szCs w:val="10"/>
        </w:rPr>
      </w:r>
    </w:p>
    <w:p>
      <w:pPr>
        <w:pStyle w:val="ListParagraph"/>
        <w:numPr>
          <w:ilvl w:val="0"/>
          <w:numId w:val="4"/>
        </w:numPr>
        <w:spacing w:lineRule="atLeast" w:line="20"/>
        <w:rPr>
          <w:rFonts w:ascii="Calibri" w:hAnsi="Calibri" w:cs="Calibri"/>
          <w:b/>
          <w:b/>
          <w:bCs/>
          <w:color w:val="003F72"/>
          <w:sz w:val="10"/>
          <w:szCs w:val="10"/>
          <w:lang w:eastAsia="en-US"/>
        </w:rPr>
      </w:pPr>
      <w:bookmarkStart w:id="22" w:name="_Hlk78966893"/>
      <w:r>
        <w:rPr>
          <w:rFonts w:cs="Calibri" w:ascii="Calibri" w:hAnsi="Calibri"/>
          <w:b/>
          <w:bCs/>
          <w:color w:val="003F72"/>
          <w:sz w:val="10"/>
          <w:szCs w:val="10"/>
          <w:lang w:eastAsia="en-US"/>
        </w:rPr>
        <w:t>Reševanje sporov</w:t>
      </w:r>
    </w:p>
    <w:p>
      <w:pPr>
        <w:pStyle w:val="ListParagraph"/>
        <w:numPr>
          <w:ilvl w:val="1"/>
          <w:numId w:val="4"/>
        </w:numPr>
        <w:tabs>
          <w:tab w:val="clear" w:pos="1304"/>
          <w:tab w:val="left" w:pos="284" w:leader="none"/>
        </w:tabs>
        <w:spacing w:lineRule="atLeast" w:line="20"/>
        <w:rPr>
          <w:rFonts w:ascii="Calibri" w:hAnsi="Calibri" w:cs="Calibri"/>
          <w:color w:val="000000"/>
          <w:sz w:val="10"/>
          <w:szCs w:val="10"/>
        </w:rPr>
      </w:pPr>
      <w:r>
        <w:rPr>
          <w:rFonts w:cs="Calibri" w:ascii="Calibri" w:hAnsi="Calibri"/>
          <w:color w:val="000000"/>
          <w:sz w:val="10"/>
          <w:szCs w:val="10"/>
        </w:rPr>
        <w:t>Vsi spori v zvezi s pogodbo naj bi se reševali v pogajanjih med pogodbenima strankama. Obveznost pogajanja ne preprečuje Lindströmu, da začne arbitražni postopek.</w:t>
      </w:r>
    </w:p>
    <w:p>
      <w:pPr>
        <w:pStyle w:val="ListParagraph"/>
        <w:numPr>
          <w:ilvl w:val="1"/>
          <w:numId w:val="4"/>
        </w:numPr>
        <w:tabs>
          <w:tab w:val="clear" w:pos="1304"/>
          <w:tab w:val="left" w:pos="284" w:leader="none"/>
        </w:tabs>
        <w:spacing w:lineRule="atLeast" w:line="20"/>
        <w:rPr>
          <w:rFonts w:ascii="Calibri" w:hAnsi="Calibri" w:cs="Calibri"/>
          <w:color w:val="000000"/>
          <w:sz w:val="10"/>
          <w:szCs w:val="10"/>
        </w:rPr>
      </w:pPr>
      <w:bookmarkStart w:id="23" w:name="_Hlk78966893"/>
      <w:r>
        <w:rPr>
          <w:rFonts w:cs="Calibri" w:ascii="Calibri" w:hAnsi="Calibri"/>
          <w:color w:val="000000"/>
          <w:sz w:val="10"/>
          <w:szCs w:val="10"/>
        </w:rPr>
        <w:t>Če rešitve ni mogoče doseči, se spori rešijo v Ljubljani z arbitražnim postopkom v skladu z arbitražnimi pravil Slovenske gospodarske zbornice. Število arbitrov je eden.</w:t>
      </w:r>
      <w:bookmarkEnd w:id="23"/>
    </w:p>
    <w:p>
      <w:pPr>
        <w:pStyle w:val="ListParagraph"/>
        <w:tabs>
          <w:tab w:val="clear" w:pos="1304"/>
          <w:tab w:val="left" w:pos="284" w:leader="none"/>
        </w:tabs>
        <w:spacing w:lineRule="atLeast" w:line="20"/>
        <w:ind w:left="284" w:hanging="0"/>
        <w:rPr>
          <w:rFonts w:ascii="Calibri" w:hAnsi="Calibri" w:cs="Calibri"/>
          <w:color w:val="000000"/>
          <w:sz w:val="10"/>
          <w:szCs w:val="10"/>
        </w:rPr>
      </w:pPr>
      <w:r>
        <w:rPr>
          <w:rFonts w:cs="Calibri" w:ascii="Calibri" w:hAnsi="Calibri"/>
          <w:color w:val="000000"/>
          <w:sz w:val="10"/>
          <w:szCs w:val="10"/>
        </w:rPr>
      </w:r>
    </w:p>
    <w:p>
      <w:pPr>
        <w:pStyle w:val="ListParagraph"/>
        <w:numPr>
          <w:ilvl w:val="0"/>
          <w:numId w:val="4"/>
        </w:numPr>
        <w:spacing w:lineRule="atLeast" w:line="20"/>
        <w:rPr>
          <w:rFonts w:ascii="Calibri" w:hAnsi="Calibri" w:cs="Calibri"/>
          <w:b/>
          <w:b/>
          <w:bCs/>
          <w:color w:val="003F72"/>
          <w:sz w:val="10"/>
          <w:szCs w:val="10"/>
          <w:lang w:eastAsia="en-US"/>
        </w:rPr>
      </w:pPr>
      <w:r>
        <w:rPr>
          <w:rFonts w:cs="Calibri" w:ascii="Calibri" w:hAnsi="Calibri"/>
          <w:b/>
          <w:bCs/>
          <w:color w:val="003F72"/>
          <w:sz w:val="10"/>
          <w:szCs w:val="10"/>
          <w:lang w:eastAsia="en-US"/>
        </w:rPr>
        <w:t>Veljavna zakonodaja in jurisdikcija</w:t>
      </w:r>
    </w:p>
    <w:p>
      <w:pPr>
        <w:pStyle w:val="ListParagraph"/>
        <w:spacing w:lineRule="atLeast" w:line="20"/>
        <w:ind w:left="284" w:hanging="0"/>
        <w:rPr>
          <w:rFonts w:ascii="Calibri" w:hAnsi="Calibri" w:cs="Calibri"/>
          <w:color w:val="000000" w:themeColor="text1"/>
          <w:sz w:val="10"/>
          <w:szCs w:val="10"/>
          <w:lang w:eastAsia="en-US"/>
        </w:rPr>
      </w:pPr>
      <w:r>
        <w:rPr>
          <w:rFonts w:cs="Calibri" w:ascii="Calibri" w:hAnsi="Calibri"/>
          <w:color w:val="000000" w:themeColor="text1"/>
          <w:sz w:val="10"/>
          <w:szCs w:val="10"/>
          <w:lang w:eastAsia="en-US"/>
        </w:rPr>
        <w:t>Te pogoje in morebitne spore ali zahtevke, ki izhajajo iz ali so v povezavi z njim ali njegovo vsebino ali oblikovanjem, urejajo zakoni Republike Slovenije.</w:t>
      </w:r>
    </w:p>
    <w:p>
      <w:pPr>
        <w:pStyle w:val="Normal"/>
        <w:spacing w:lineRule="atLeast" w:line="20"/>
        <w:ind w:left="284" w:hanging="284"/>
        <w:rPr>
          <w:rFonts w:ascii="Calibri" w:hAnsi="Calibri" w:cs="Calibri"/>
          <w:color w:val="000000"/>
          <w:sz w:val="10"/>
          <w:szCs w:val="10"/>
          <w:lang w:eastAsia="en-US"/>
        </w:rPr>
      </w:pPr>
      <w:r>
        <w:rPr>
          <w:rFonts w:cs="Calibri" w:ascii="Calibri" w:hAnsi="Calibri"/>
          <w:color w:val="000000"/>
          <w:sz w:val="10"/>
          <w:szCs w:val="10"/>
          <w:lang w:eastAsia="en-US"/>
        </w:rPr>
      </w:r>
    </w:p>
    <w:p>
      <w:pPr>
        <w:pStyle w:val="ListParagraph"/>
        <w:numPr>
          <w:ilvl w:val="0"/>
          <w:numId w:val="4"/>
        </w:numPr>
        <w:spacing w:lineRule="atLeast" w:line="20"/>
        <w:rPr>
          <w:rFonts w:ascii="Calibri" w:hAnsi="Calibri" w:cs="Calibri"/>
          <w:b/>
          <w:b/>
          <w:bCs/>
          <w:color w:val="003F72"/>
          <w:sz w:val="10"/>
          <w:szCs w:val="10"/>
          <w:lang w:eastAsia="en-US"/>
        </w:rPr>
      </w:pPr>
      <w:r>
        <w:rPr>
          <w:rFonts w:cs="Calibri" w:ascii="Calibri" w:hAnsi="Calibri"/>
          <w:b/>
          <w:bCs/>
          <w:color w:val="003F72"/>
          <w:sz w:val="10"/>
          <w:szCs w:val="10"/>
          <w:lang w:eastAsia="en-US"/>
        </w:rPr>
        <w:t>Reference</w:t>
      </w:r>
    </w:p>
    <w:p>
      <w:pPr>
        <w:pStyle w:val="Normal"/>
        <w:spacing w:lineRule="atLeast" w:line="20"/>
        <w:ind w:left="284" w:hanging="0"/>
        <w:rPr>
          <w:rFonts w:ascii="Calibri" w:hAnsi="Calibri" w:cs="Calibri"/>
          <w:sz w:val="10"/>
          <w:szCs w:val="10"/>
        </w:rPr>
      </w:pPr>
      <w:r>
        <w:rPr>
          <w:rFonts w:cs="Calibri" w:ascii="Calibri" w:hAnsi="Calibri"/>
          <w:sz w:val="10"/>
          <w:szCs w:val="10"/>
        </w:rPr>
        <w:t xml:space="preserve">Pogodben stranki se lahko sklicujeta med seboj in na svoje sodelovanje brez ločenega dovoljenja. Kadar se v marketinškem materialu uporablja referenca, se o tem dogovorita ločeno. </w:t>
      </w:r>
    </w:p>
    <w:p>
      <w:pPr>
        <w:pStyle w:val="Normal"/>
        <w:spacing w:lineRule="atLeast" w:line="20"/>
        <w:ind w:left="284" w:hanging="0"/>
        <w:rPr>
          <w:rFonts w:ascii="Calibri" w:hAnsi="Calibri" w:cs="Calibri"/>
          <w:sz w:val="10"/>
          <w:szCs w:val="10"/>
        </w:rPr>
      </w:pPr>
      <w:r>
        <w:rPr/>
      </w:r>
    </w:p>
    <w:sectPr>
      <w:headerReference w:type="default" r:id="rId5"/>
      <w:footerReference w:type="default" r:id="rId6"/>
      <w:type w:val="nextPage"/>
      <w:pgSz w:w="11906" w:h="16838"/>
      <w:pgMar w:left="567" w:right="425" w:gutter="0" w:header="567" w:top="1701" w:footer="567" w:bottom="851"/>
      <w:pgBorders w:display="allPages" w:offsetFrom="text">
        <w:right w:val="single" w:sz="8" w:space="0" w:color="FFFFFF"/>
      </w:pgBorders>
      <w:pgNumType w:fmt="decimal"/>
      <w:cols w:num="2" w:space="284" w:equalWidth="true" w:sep="false"/>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Palatino">
    <w:charset w:val="01"/>
    <w:family w:val="roman"/>
    <w:pitch w:val="variable"/>
  </w:font>
  <w:font w:name="Verdana">
    <w:charset w:val="01"/>
    <w:family w:val="roman"/>
    <w:pitch w:val="variable"/>
  </w:font>
  <w:font w:name="Segoe UI">
    <w:charset w:val="01"/>
    <w:family w:val="roman"/>
    <w:pitch w:val="variable"/>
  </w:font>
  <w:font w:name="Arial">
    <w:charset w:val="01"/>
    <w:family w:val="roman"/>
    <w:pitch w:val="variable"/>
  </w:font>
  <w:font w:name="Calibri">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Arial" w:hAnsi="Arial" w:cs="Arial"/>
        <w:iCs/>
        <w:sz w:val="10"/>
        <w:szCs w:val="16"/>
        <w:lang w:val="en-GB"/>
      </w:rPr>
    </w:pPr>
    <w:r>
      <w:rPr>
        <w:rFonts w:cs="Arial" w:ascii="Arial" w:hAnsi="Arial"/>
        <w:iCs/>
        <w:sz w:val="10"/>
        <w:szCs w:val="16"/>
        <w:lang w:val="en-GB"/>
      </w:rPr>
      <w:t xml:space="preserve">Lindström d.o.o., Obrtna cona Logatec 29, 1370 Logatec, tel. 08/20 57 381, </w:t>
    </w:r>
    <w:hyperlink r:id="rId1">
      <w:r>
        <w:rPr>
          <w:rStyle w:val="InternetLink"/>
          <w:rFonts w:cs="Arial" w:ascii="Arial" w:hAnsi="Arial"/>
          <w:iCs/>
          <w:sz w:val="10"/>
          <w:szCs w:val="16"/>
          <w:lang w:val="en-GB"/>
        </w:rPr>
        <w:t>pisarna.slovenia@lindstromgroup.com</w:t>
      </w:r>
    </w:hyperlink>
  </w:p>
  <w:p>
    <w:pPr>
      <w:pStyle w:val="Footer"/>
      <w:jc w:val="center"/>
      <w:rPr>
        <w:rFonts w:ascii="Arial" w:hAnsi="Arial" w:cs="Arial"/>
        <w:iCs/>
        <w:sz w:val="14"/>
        <w:lang w:val="en-GB"/>
      </w:rPr>
    </w:pPr>
    <w:r>
      <w:rPr>
        <w:rFonts w:cs="Arial" w:ascii="Arial" w:hAnsi="Arial"/>
        <w:iCs/>
        <w:sz w:val="10"/>
        <w:szCs w:val="16"/>
        <w:lang w:val="en-GB"/>
      </w:rPr>
      <w:t xml:space="preserve">Davčna št.:SI42606322 </w:t>
    </w:r>
  </w:p>
  <w:p>
    <w:pPr>
      <w:pStyle w:val="Footer"/>
      <w:rPr>
        <w:rFonts w:ascii="Arial" w:hAnsi="Arial" w:cs="Arial"/>
      </w:rPr>
    </w:pPr>
    <w:r>
      <w:rPr>
        <w:rFonts w:cs="Arial" w:ascii="Arial" w:hAnsi="Arial"/>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Arial" w:hAnsi="Arial" w:cs="Arial"/>
        <w:iCs/>
        <w:sz w:val="10"/>
        <w:szCs w:val="16"/>
        <w:lang w:val="en-GB"/>
      </w:rPr>
    </w:pPr>
    <w:r>
      <w:rPr>
        <w:rFonts w:cs="Arial" w:ascii="Arial" w:hAnsi="Arial"/>
        <w:iCs/>
        <w:sz w:val="10"/>
        <w:szCs w:val="16"/>
        <w:lang w:val="en-GB"/>
      </w:rPr>
      <w:t xml:space="preserve">Lindström d.o.o., Obrtna cona Logatec 29, 1370 Logatec, tel. 08/20 57 381, </w:t>
    </w:r>
    <w:hyperlink r:id="rId1">
      <w:r>
        <w:rPr>
          <w:rStyle w:val="InternetLink"/>
          <w:rFonts w:cs="Arial" w:ascii="Arial" w:hAnsi="Arial"/>
          <w:iCs/>
          <w:sz w:val="10"/>
          <w:szCs w:val="16"/>
          <w:lang w:val="en-GB"/>
        </w:rPr>
        <w:t>pisarna.slovenia@lindstromgroup.com</w:t>
      </w:r>
    </w:hyperlink>
  </w:p>
  <w:p>
    <w:pPr>
      <w:pStyle w:val="Footer"/>
      <w:jc w:val="center"/>
      <w:rPr>
        <w:rFonts w:ascii="Arial" w:hAnsi="Arial" w:cs="Arial"/>
        <w:iCs/>
        <w:sz w:val="14"/>
        <w:lang w:val="en-GB"/>
      </w:rPr>
    </w:pPr>
    <w:r>
      <w:rPr>
        <w:rFonts w:cs="Arial" w:ascii="Arial" w:hAnsi="Arial"/>
        <w:iCs/>
        <w:sz w:val="10"/>
        <w:szCs w:val="16"/>
        <w:lang w:val="en-GB"/>
      </w:rPr>
      <w:t xml:space="preserve">Davčna št.:SI42606322 </w:t>
    </w:r>
  </w:p>
  <w:p>
    <w:pPr>
      <w:pStyle w:val="Footer"/>
      <w:rPr>
        <w:rFonts w:ascii="Arial" w:hAnsi="Arial" w:cs="Arial"/>
      </w:rPr>
    </w:pPr>
    <w:r>
      <w:rPr>
        <w:rFonts w:cs="Arial" w:ascii="Arial" w:hAnsi="Arial"/>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0" allowOverlap="1" relativeHeight="4">
          <wp:simplePos x="0" y="0"/>
          <wp:positionH relativeFrom="margin">
            <wp:posOffset>-144780</wp:posOffset>
          </wp:positionH>
          <wp:positionV relativeFrom="paragraph">
            <wp:posOffset>-247650</wp:posOffset>
          </wp:positionV>
          <wp:extent cx="1637665" cy="520700"/>
          <wp:effectExtent l="0" t="0" r="0" b="0"/>
          <wp:wrapNone/>
          <wp:docPr id="1" name="Picture 26" descr="A picture containing clipart  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6" descr="A picture containing clipart  Description generated with very high confidence"/>
                  <pic:cNvPicPr>
                    <a:picLocks noChangeAspect="1" noChangeArrowheads="1"/>
                  </pic:cNvPicPr>
                </pic:nvPicPr>
                <pic:blipFill>
                  <a:blip r:embed="rId1"/>
                  <a:stretch>
                    <a:fillRect/>
                  </a:stretch>
                </pic:blipFill>
                <pic:spPr bwMode="auto">
                  <a:xfrm>
                    <a:off x="0" y="0"/>
                    <a:ext cx="1637665" cy="520700"/>
                  </a:xfrm>
                  <a:prstGeom prst="rect">
                    <a:avLst/>
                  </a:prstGeom>
                </pic:spPr>
              </pic:pic>
            </a:graphicData>
          </a:graphic>
        </wp:anchor>
      </w:drawing>
    </w:r>
  </w:p>
  <w:p>
    <w:pPr>
      <w:pStyle w:val="Header"/>
      <w:rPr/>
    </w:pPr>
    <w:r>
      <w:rPr/>
    </w:r>
  </w:p>
  <w:p>
    <w:pPr>
      <w:pStyle w:val="Header"/>
      <w:rPr/>
    </w:pPr>
    <w:r>
      <w:rPr/>
      <mc:AlternateContent>
        <mc:Choice Requires="wps">
          <w:drawing>
            <wp:anchor behindDoc="1" distT="0" distB="6985" distL="114300" distR="114300" simplePos="0" locked="0" layoutInCell="0" allowOverlap="1" relativeHeight="9" wp14:anchorId="34B203C4">
              <wp:simplePos x="0" y="0"/>
              <wp:positionH relativeFrom="margin">
                <wp:posOffset>103505</wp:posOffset>
              </wp:positionH>
              <wp:positionV relativeFrom="paragraph">
                <wp:posOffset>-73025</wp:posOffset>
              </wp:positionV>
              <wp:extent cx="1828800" cy="208280"/>
              <wp:effectExtent l="0" t="0" r="0" b="6985"/>
              <wp:wrapSquare wrapText="bothSides"/>
              <wp:docPr id="2" name="Polje z besedilom 4"/>
              <a:graphic xmlns:a="http://schemas.openxmlformats.org/drawingml/2006/main">
                <a:graphicData uri="http://schemas.microsoft.com/office/word/2010/wordprocessingShape">
                  <wps:wsp>
                    <wps:cNvSpPr/>
                    <wps:spPr>
                      <a:xfrm>
                        <a:off x="0" y="0"/>
                        <a:ext cx="1828800" cy="208440"/>
                      </a:xfrm>
                      <a:prstGeom prst="rect">
                        <a:avLst/>
                      </a:prstGeom>
                      <a:noFill/>
                      <a:ln w="6350">
                        <a:noFill/>
                      </a:ln>
                    </wps:spPr>
                    <wps:style>
                      <a:lnRef idx="0"/>
                      <a:fillRef idx="0"/>
                      <a:effectRef idx="0"/>
                      <a:fontRef idx="minor"/>
                    </wps:style>
                    <wps:txbx>
                      <w:txbxContent>
                        <w:p>
                          <w:pPr>
                            <w:pStyle w:val="FrameContents"/>
                            <w:rPr>
                              <w:rFonts w:ascii="Calibri" w:hAnsi="Calibri" w:cs="Calibri" w:asciiTheme="minorHAnsi" w:cstheme="minorHAnsi" w:hAnsiTheme="minorHAnsi"/>
                            </w:rPr>
                          </w:pPr>
                          <w:r>
                            <w:rPr>
                              <w:rFonts w:cs="Calibri" w:ascii="Calibri" w:hAnsi="Calibri" w:asciiTheme="minorHAnsi" w:cstheme="minorHAnsi" w:hAnsiTheme="minorHAnsi"/>
                              <w:sz w:val="16"/>
                              <w:szCs w:val="16"/>
                            </w:rPr>
                            <w:t>Št. dokumenta: 64000</w:t>
                          </w:r>
                        </w:p>
                      </w:txbxContent>
                    </wps:txbx>
                    <wps:bodyPr tIns="91440" bIns="91440" anchor="t">
                      <a:prstTxWarp prst="textNoShape"/>
                      <a:spAutoFit/>
                    </wps:bodyPr>
                  </wps:wsp>
                </a:graphicData>
              </a:graphic>
            </wp:anchor>
          </w:drawing>
        </mc:Choice>
        <mc:Fallback>
          <w:pict>
            <v:rect id="shape_0" ID="Polje z besedilom 4" path="m0,0l-2147483645,0l-2147483645,-2147483646l0,-2147483646xe" stroked="f" o:allowincell="f" style="position:absolute;margin-left:8.15pt;margin-top:-5.75pt;width:143.95pt;height:16.35pt;mso-wrap-style:none;v-text-anchor:top;mso-position-horizontal-relative:margin" wp14:anchorId="34B203C4">
              <v:fill o:detectmouseclick="t" on="false"/>
              <v:stroke color="#3465a4" weight="6480" joinstyle="round" endcap="flat"/>
              <v:textbox>
                <w:txbxContent>
                  <w:p>
                    <w:pPr>
                      <w:pStyle w:val="FrameContents"/>
                      <w:rPr>
                        <w:rFonts w:ascii="Calibri" w:hAnsi="Calibri" w:cs="Calibri" w:asciiTheme="minorHAnsi" w:cstheme="minorHAnsi" w:hAnsiTheme="minorHAnsi"/>
                      </w:rPr>
                    </w:pPr>
                    <w:r>
                      <w:rPr>
                        <w:rFonts w:cs="Calibri" w:ascii="Calibri" w:hAnsi="Calibri" w:asciiTheme="minorHAnsi" w:cstheme="minorHAnsi" w:hAnsiTheme="minorHAnsi"/>
                        <w:sz w:val="16"/>
                        <w:szCs w:val="16"/>
                      </w:rPr>
                      <w:t>Št. dokumenta: 64000</w:t>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0" allowOverlap="1" relativeHeight="8">
          <wp:simplePos x="0" y="0"/>
          <wp:positionH relativeFrom="margin">
            <wp:posOffset>-144780</wp:posOffset>
          </wp:positionH>
          <wp:positionV relativeFrom="paragraph">
            <wp:posOffset>-247650</wp:posOffset>
          </wp:positionV>
          <wp:extent cx="1637665" cy="520700"/>
          <wp:effectExtent l="0" t="0" r="0" b="0"/>
          <wp:wrapNone/>
          <wp:docPr id="4" name="" descr="A picture containing clipart  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A picture containing clipart  Description generated with very high confidence"/>
                  <pic:cNvPicPr>
                    <a:picLocks noChangeAspect="1" noChangeArrowheads="1"/>
                  </pic:cNvPicPr>
                </pic:nvPicPr>
                <pic:blipFill>
                  <a:blip r:embed="rId1"/>
                  <a:stretch>
                    <a:fillRect/>
                  </a:stretch>
                </pic:blipFill>
                <pic:spPr bwMode="auto">
                  <a:xfrm>
                    <a:off x="0" y="0"/>
                    <a:ext cx="1637665" cy="520700"/>
                  </a:xfrm>
                  <a:prstGeom prst="rect">
                    <a:avLst/>
                  </a:prstGeom>
                </pic:spPr>
              </pic:pic>
            </a:graphicData>
          </a:graphic>
        </wp:anchor>
      </w:drawing>
    </w:r>
  </w:p>
  <w:p>
    <w:pPr>
      <w:pStyle w:val="Header"/>
      <w:rPr/>
    </w:pPr>
    <w:r>
      <w:rPr/>
    </w:r>
  </w:p>
  <w:p>
    <w:pPr>
      <w:pStyle w:val="Header"/>
      <w:rPr/>
    </w:pPr>
    <w:r>
      <w:rPr/>
      <mc:AlternateContent>
        <mc:Choice Requires="wps">
          <w:drawing>
            <wp:anchor behindDoc="1" distT="0" distB="6985" distL="114300" distR="114300" simplePos="0" locked="0" layoutInCell="0" allowOverlap="1" relativeHeight="14" wp14:anchorId="34B203C4">
              <wp:simplePos x="0" y="0"/>
              <wp:positionH relativeFrom="margin">
                <wp:posOffset>103505</wp:posOffset>
              </wp:positionH>
              <wp:positionV relativeFrom="paragraph">
                <wp:posOffset>-73025</wp:posOffset>
              </wp:positionV>
              <wp:extent cx="1828800" cy="208280"/>
              <wp:effectExtent l="0" t="0" r="0" b="6985"/>
              <wp:wrapSquare wrapText="bothSides"/>
              <wp:docPr id="5" name="Polje z besedilom 3"/>
              <a:graphic xmlns:a="http://schemas.openxmlformats.org/drawingml/2006/main">
                <a:graphicData uri="http://schemas.microsoft.com/office/word/2010/wordprocessingShape">
                  <wps:wsp>
                    <wps:cNvSpPr/>
                    <wps:spPr>
                      <a:xfrm>
                        <a:off x="0" y="0"/>
                        <a:ext cx="1828800" cy="208440"/>
                      </a:xfrm>
                      <a:prstGeom prst="rect">
                        <a:avLst/>
                      </a:prstGeom>
                      <a:noFill/>
                      <a:ln w="6350">
                        <a:noFill/>
                      </a:ln>
                    </wps:spPr>
                    <wps:style>
                      <a:lnRef idx="0"/>
                      <a:fillRef idx="0"/>
                      <a:effectRef idx="0"/>
                      <a:fontRef idx="minor"/>
                    </wps:style>
                    <wps:txbx>
                      <w:txbxContent>
                        <w:p>
                          <w:pPr>
                            <w:pStyle w:val="FrameContents"/>
                            <w:rPr>
                              <w:rFonts w:ascii="Calibri" w:hAnsi="Calibri" w:cs="Calibri" w:asciiTheme="minorHAnsi" w:cstheme="minorHAnsi" w:hAnsiTheme="minorHAnsi"/>
                            </w:rPr>
                          </w:pPr>
                          <w:r>
                            <w:rPr>
                              <w:rFonts w:cs="Calibri" w:ascii="Calibri" w:hAnsi="Calibri" w:asciiTheme="minorHAnsi" w:cstheme="minorHAnsi" w:hAnsiTheme="minorHAnsi"/>
                              <w:sz w:val="16"/>
                              <w:szCs w:val="16"/>
                            </w:rPr>
                            <w:t>Št. dokumenta: 64000</w:t>
                          </w:r>
                        </w:p>
                      </w:txbxContent>
                    </wps:txbx>
                    <wps:bodyPr tIns="91440" bIns="91440" anchor="t">
                      <a:prstTxWarp prst="textNoShape"/>
                      <a:spAutoFit/>
                    </wps:bodyPr>
                  </wps:wsp>
                </a:graphicData>
              </a:graphic>
            </wp:anchor>
          </w:drawing>
        </mc:Choice>
        <mc:Fallback>
          <w:pict>
            <v:rect id="shape_0" ID="Polje z besedilom 3" path="m0,0l-2147483645,0l-2147483645,-2147483646l0,-2147483646xe" stroked="f" o:allowincell="f" style="position:absolute;margin-left:8.15pt;margin-top:-5.75pt;width:143.95pt;height:16.35pt;mso-wrap-style:none;v-text-anchor:top;mso-position-horizontal-relative:margin" wp14:anchorId="34B203C4">
              <v:fill o:detectmouseclick="t" on="false"/>
              <v:stroke color="#3465a4" weight="6480" joinstyle="round" endcap="flat"/>
              <v:textbox>
                <w:txbxContent>
                  <w:p>
                    <w:pPr>
                      <w:pStyle w:val="FrameContents"/>
                      <w:rPr>
                        <w:rFonts w:ascii="Calibri" w:hAnsi="Calibri" w:cs="Calibri" w:asciiTheme="minorHAnsi" w:cstheme="minorHAnsi" w:hAnsiTheme="minorHAnsi"/>
                      </w:rPr>
                    </w:pPr>
                    <w:r>
                      <w:rPr>
                        <w:rFonts w:cs="Calibri" w:ascii="Calibri" w:hAnsi="Calibri" w:asciiTheme="minorHAnsi" w:cstheme="minorHAnsi" w:hAnsiTheme="minorHAnsi"/>
                        <w:sz w:val="16"/>
                        <w:szCs w:val="16"/>
                      </w:rPr>
                      <w:t>Št. dokumenta: 64000</w:t>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6"/>
      <w:numFmt w:val="decimal"/>
      <w:lvlText w:val="%1."/>
      <w:lvlJc w:val="left"/>
      <w:pPr>
        <w:tabs>
          <w:tab w:val="num" w:pos="0"/>
        </w:tabs>
        <w:ind w:left="284" w:hanging="284"/>
      </w:pPr>
      <w:rPr>
        <w:b/>
      </w:rPr>
    </w:lvl>
    <w:lvl w:ilvl="1">
      <w:start w:val="1"/>
      <w:numFmt w:val="decimal"/>
      <w:lvlText w:val="%1.%2"/>
      <w:lvlJc w:val="left"/>
      <w:pPr>
        <w:tabs>
          <w:tab w:val="num" w:pos="0"/>
        </w:tabs>
        <w:ind w:left="284" w:hanging="284"/>
      </w:pPr>
      <w:rPr>
        <w:sz w:val="10"/>
        <w:b w:val="false"/>
        <w:szCs w:val="10"/>
        <w:color w:val="auto"/>
      </w:rPr>
    </w:lvl>
    <w:lvl w:ilvl="2">
      <w:start w:val="1"/>
      <w:numFmt w:val="decimal"/>
      <w:lvlText w:val="%1.%2.%3"/>
      <w:lvlJc w:val="left"/>
      <w:pPr>
        <w:tabs>
          <w:tab w:val="num" w:pos="0"/>
        </w:tabs>
        <w:ind w:left="284" w:hanging="284"/>
      </w:pPr>
      <w:rPr/>
    </w:lvl>
    <w:lvl w:ilvl="3">
      <w:start w:val="1"/>
      <w:numFmt w:val="decimal"/>
      <w:lvlText w:val="%1.%2.%3.%4"/>
      <w:lvlJc w:val="left"/>
      <w:pPr>
        <w:tabs>
          <w:tab w:val="num" w:pos="0"/>
        </w:tabs>
        <w:ind w:left="284" w:hanging="284"/>
      </w:pPr>
      <w:rPr/>
    </w:lvl>
    <w:lvl w:ilvl="4">
      <w:start w:val="1"/>
      <w:numFmt w:val="decimal"/>
      <w:lvlText w:val="%1.%2.%3.%4.%5"/>
      <w:lvlJc w:val="left"/>
      <w:pPr>
        <w:tabs>
          <w:tab w:val="num" w:pos="0"/>
        </w:tabs>
        <w:ind w:left="284" w:hanging="284"/>
      </w:pPr>
      <w:rPr/>
    </w:lvl>
    <w:lvl w:ilvl="5">
      <w:start w:val="1"/>
      <w:numFmt w:val="decimal"/>
      <w:lvlText w:val="%1.%2.%3.%4.%5.%6"/>
      <w:lvlJc w:val="left"/>
      <w:pPr>
        <w:tabs>
          <w:tab w:val="num" w:pos="0"/>
        </w:tabs>
        <w:ind w:left="284" w:hanging="284"/>
      </w:pPr>
      <w:rPr/>
    </w:lvl>
    <w:lvl w:ilvl="6">
      <w:start w:val="1"/>
      <w:numFmt w:val="decimal"/>
      <w:lvlText w:val="%1.%2.%3.%4.%5.%6.%7"/>
      <w:lvlJc w:val="left"/>
      <w:pPr>
        <w:tabs>
          <w:tab w:val="num" w:pos="0"/>
        </w:tabs>
        <w:ind w:left="284" w:hanging="284"/>
      </w:pPr>
      <w:rPr/>
    </w:lvl>
    <w:lvl w:ilvl="7">
      <w:start w:val="1"/>
      <w:numFmt w:val="decimal"/>
      <w:lvlText w:val="%1.%2.%3.%4.%5.%6.%7.%8"/>
      <w:lvlJc w:val="left"/>
      <w:pPr>
        <w:tabs>
          <w:tab w:val="num" w:pos="0"/>
        </w:tabs>
        <w:ind w:left="284" w:hanging="284"/>
      </w:pPr>
      <w:rPr/>
    </w:lvl>
    <w:lvl w:ilvl="8">
      <w:start w:val="1"/>
      <w:numFmt w:val="decimal"/>
      <w:lvlText w:val="%1.%2.%3.%4.%5.%6.%7.%8.%9"/>
      <w:lvlJc w:val="left"/>
      <w:pPr>
        <w:tabs>
          <w:tab w:val="num" w:pos="0"/>
        </w:tabs>
        <w:ind w:left="284" w:hanging="284"/>
      </w:pPr>
      <w:rPr/>
    </w:lvl>
  </w:abstractNum>
  <w:abstractNum w:abstractNumId="2">
    <w:lvl w:ilvl="0">
      <w:start w:val="8"/>
      <w:numFmt w:val="decimal"/>
      <w:lvlText w:val="%1."/>
      <w:lvlJc w:val="left"/>
      <w:pPr>
        <w:tabs>
          <w:tab w:val="num" w:pos="0"/>
        </w:tabs>
        <w:ind w:left="1304" w:hanging="1304"/>
      </w:pPr>
      <w:rPr/>
    </w:lvl>
    <w:lvl w:ilvl="1">
      <w:start w:val="1"/>
      <w:numFmt w:val="decimal"/>
      <w:lvlText w:val="%1.%2."/>
      <w:lvlJc w:val="left"/>
      <w:pPr>
        <w:tabs>
          <w:tab w:val="num" w:pos="0"/>
        </w:tabs>
        <w:ind w:left="284" w:hanging="284"/>
      </w:pPr>
      <w:rPr>
        <w:sz w:val="10"/>
        <w:szCs w:val="10"/>
      </w:rPr>
    </w:lvl>
    <w:lvl w:ilvl="2">
      <w:start w:val="1"/>
      <w:numFmt w:val="decimal"/>
      <w:lvlText w:val="%1.%2.%3."/>
      <w:lvlJc w:val="left"/>
      <w:pPr>
        <w:tabs>
          <w:tab w:val="num" w:pos="0"/>
        </w:tabs>
        <w:ind w:left="1304" w:hanging="0"/>
      </w:pPr>
      <w:rPr/>
    </w:lvl>
    <w:lvl w:ilvl="3">
      <w:start w:val="1"/>
      <w:numFmt w:val="decimal"/>
      <w:lvlText w:val="%1.%2.%3.%4."/>
      <w:lvlJc w:val="left"/>
      <w:pPr>
        <w:tabs>
          <w:tab w:val="num" w:pos="0"/>
        </w:tabs>
        <w:ind w:left="1304" w:hanging="0"/>
      </w:pPr>
      <w:rPr/>
    </w:lvl>
    <w:lvl w:ilvl="4">
      <w:start w:val="1"/>
      <w:numFmt w:val="decimal"/>
      <w:lvlText w:val="%1.%2.%3.%4.%5."/>
      <w:lvlJc w:val="left"/>
      <w:pPr>
        <w:tabs>
          <w:tab w:val="num" w:pos="0"/>
        </w:tabs>
        <w:ind w:left="1304" w:hanging="0"/>
      </w:pPr>
      <w:rPr/>
    </w:lvl>
    <w:lvl w:ilvl="5">
      <w:start w:val="1"/>
      <w:numFmt w:val="decimal"/>
      <w:suff w:val="space"/>
      <w:lvlText w:val="%1.%2.%3.%4.%5.%6."/>
      <w:lvlJc w:val="left"/>
      <w:pPr>
        <w:tabs>
          <w:tab w:val="num" w:pos="0"/>
        </w:tabs>
        <w:ind w:left="1304" w:hanging="0"/>
      </w:pPr>
      <w:rPr/>
    </w:lvl>
    <w:lvl w:ilvl="6">
      <w:start w:val="1"/>
      <w:numFmt w:val="decimal"/>
      <w:suff w:val="space"/>
      <w:lvlText w:val="%1.%2.%3.%4.%5.%6.%7."/>
      <w:lvlJc w:val="left"/>
      <w:pPr>
        <w:tabs>
          <w:tab w:val="num" w:pos="0"/>
        </w:tabs>
        <w:ind w:left="1304" w:hanging="0"/>
      </w:pPr>
      <w:rPr/>
    </w:lvl>
    <w:lvl w:ilvl="7">
      <w:start w:val="1"/>
      <w:numFmt w:val="decimal"/>
      <w:suff w:val="space"/>
      <w:lvlText w:val="%1.%2.%3.%4.%5.%6.%7.%8."/>
      <w:lvlJc w:val="left"/>
      <w:pPr>
        <w:tabs>
          <w:tab w:val="num" w:pos="0"/>
        </w:tabs>
        <w:ind w:left="1304" w:hanging="0"/>
      </w:pPr>
      <w:rPr/>
    </w:lvl>
    <w:lvl w:ilvl="8">
      <w:start w:val="1"/>
      <w:numFmt w:val="decimal"/>
      <w:suff w:val="space"/>
      <w:lvlText w:val="%1.%2.%3.%4.%5.%6.%7.%8.%9."/>
      <w:lvlJc w:val="left"/>
      <w:pPr>
        <w:tabs>
          <w:tab w:val="num" w:pos="0"/>
        </w:tabs>
        <w:ind w:left="1304" w:hanging="0"/>
      </w:pPr>
      <w:rPr/>
    </w:lvl>
  </w:abstractNum>
  <w:abstractNum w:abstractNumId="3">
    <w:lvl w:ilvl="0">
      <w:start w:val="9"/>
      <w:numFmt w:val="decimal"/>
      <w:lvlText w:val="%1."/>
      <w:lvlJc w:val="left"/>
      <w:pPr>
        <w:tabs>
          <w:tab w:val="num" w:pos="0"/>
        </w:tabs>
        <w:ind w:left="284" w:hanging="284"/>
      </w:pPr>
      <w:rPr/>
    </w:lvl>
    <w:lvl w:ilvl="1">
      <w:start w:val="1"/>
      <w:numFmt w:val="decimal"/>
      <w:lvlText w:val="%1.%2."/>
      <w:lvlJc w:val="left"/>
      <w:pPr>
        <w:tabs>
          <w:tab w:val="num" w:pos="0"/>
        </w:tabs>
        <w:ind w:left="284" w:hanging="284"/>
      </w:pPr>
      <w:rPr>
        <w:sz w:val="10"/>
        <w:szCs w:val="10"/>
      </w:rPr>
    </w:lvl>
    <w:lvl w:ilvl="2">
      <w:start w:val="1"/>
      <w:numFmt w:val="decimal"/>
      <w:lvlText w:val="%1.%2.%3."/>
      <w:lvlJc w:val="left"/>
      <w:pPr>
        <w:tabs>
          <w:tab w:val="num" w:pos="0"/>
        </w:tabs>
        <w:ind w:left="284" w:hanging="284"/>
      </w:pPr>
      <w:rPr/>
    </w:lvl>
    <w:lvl w:ilvl="3">
      <w:start w:val="1"/>
      <w:numFmt w:val="decimal"/>
      <w:lvlText w:val="%1.%2.%3.%4."/>
      <w:lvlJc w:val="left"/>
      <w:pPr>
        <w:tabs>
          <w:tab w:val="num" w:pos="0"/>
        </w:tabs>
        <w:ind w:left="284" w:hanging="284"/>
      </w:pPr>
      <w:rPr/>
    </w:lvl>
    <w:lvl w:ilvl="4">
      <w:start w:val="1"/>
      <w:numFmt w:val="decimal"/>
      <w:lvlText w:val="%1.%2.%3.%4.%5."/>
      <w:lvlJc w:val="left"/>
      <w:pPr>
        <w:tabs>
          <w:tab w:val="num" w:pos="0"/>
        </w:tabs>
        <w:ind w:left="284" w:hanging="284"/>
      </w:pPr>
      <w:rPr/>
    </w:lvl>
    <w:lvl w:ilvl="5">
      <w:start w:val="1"/>
      <w:numFmt w:val="decimal"/>
      <w:suff w:val="space"/>
      <w:lvlText w:val="%1.%2.%3.%4.%5.%6."/>
      <w:lvlJc w:val="left"/>
      <w:pPr>
        <w:tabs>
          <w:tab w:val="num" w:pos="0"/>
        </w:tabs>
        <w:ind w:left="284" w:hanging="284"/>
      </w:pPr>
      <w:rPr/>
    </w:lvl>
    <w:lvl w:ilvl="6">
      <w:start w:val="1"/>
      <w:numFmt w:val="decimal"/>
      <w:suff w:val="space"/>
      <w:lvlText w:val="%1.%2.%3.%4.%5.%6.%7."/>
      <w:lvlJc w:val="left"/>
      <w:pPr>
        <w:tabs>
          <w:tab w:val="num" w:pos="0"/>
        </w:tabs>
        <w:ind w:left="284" w:hanging="284"/>
      </w:pPr>
      <w:rPr/>
    </w:lvl>
    <w:lvl w:ilvl="7">
      <w:start w:val="1"/>
      <w:numFmt w:val="decimal"/>
      <w:suff w:val="space"/>
      <w:lvlText w:val="%1.%2.%3.%4.%5.%6.%7.%8."/>
      <w:lvlJc w:val="left"/>
      <w:pPr>
        <w:tabs>
          <w:tab w:val="num" w:pos="0"/>
        </w:tabs>
        <w:ind w:left="284" w:hanging="284"/>
      </w:pPr>
      <w:rPr/>
    </w:lvl>
    <w:lvl w:ilvl="8">
      <w:start w:val="1"/>
      <w:numFmt w:val="decimal"/>
      <w:suff w:val="space"/>
      <w:lvlText w:val="%1.%2.%3.%4.%5.%6.%7.%8.%9."/>
      <w:lvlJc w:val="left"/>
      <w:pPr>
        <w:tabs>
          <w:tab w:val="num" w:pos="0"/>
        </w:tabs>
        <w:ind w:left="284" w:hanging="284"/>
      </w:pPr>
      <w:rPr/>
    </w:lvl>
  </w:abstractNum>
  <w:abstractNum w:abstractNumId="4">
    <w:lvl w:ilvl="0">
      <w:start w:val="10"/>
      <w:numFmt w:val="decimal"/>
      <w:lvlText w:val="%1."/>
      <w:lvlJc w:val="left"/>
      <w:pPr>
        <w:tabs>
          <w:tab w:val="num" w:pos="0"/>
        </w:tabs>
        <w:ind w:left="284" w:hanging="284"/>
      </w:pPr>
      <w:rPr>
        <w:sz w:val="10"/>
        <w:szCs w:val="10"/>
      </w:rPr>
    </w:lvl>
    <w:lvl w:ilvl="1">
      <w:start w:val="1"/>
      <w:numFmt w:val="decimal"/>
      <w:lvlText w:val="%1.%2."/>
      <w:lvlJc w:val="left"/>
      <w:pPr>
        <w:tabs>
          <w:tab w:val="num" w:pos="0"/>
        </w:tabs>
        <w:ind w:left="284" w:hanging="284"/>
      </w:pPr>
      <w:rPr>
        <w:sz w:val="10"/>
        <w:b w:val="false"/>
        <w:szCs w:val="10"/>
        <w:lang w:val="en-US"/>
      </w:rPr>
    </w:lvl>
    <w:lvl w:ilvl="2">
      <w:start w:val="1"/>
      <w:numFmt w:val="decimal"/>
      <w:lvlText w:val="%1.%2.%3."/>
      <w:lvlJc w:val="left"/>
      <w:pPr>
        <w:tabs>
          <w:tab w:val="num" w:pos="0"/>
        </w:tabs>
        <w:ind w:left="1162" w:hanging="0"/>
      </w:pPr>
      <w:rPr/>
    </w:lvl>
    <w:lvl w:ilvl="3">
      <w:start w:val="1"/>
      <w:numFmt w:val="decimal"/>
      <w:lvlText w:val="%1.%2.%3.%4."/>
      <w:lvlJc w:val="left"/>
      <w:pPr>
        <w:tabs>
          <w:tab w:val="num" w:pos="0"/>
        </w:tabs>
        <w:ind w:left="1162" w:hanging="0"/>
      </w:pPr>
      <w:rPr/>
    </w:lvl>
    <w:lvl w:ilvl="4">
      <w:start w:val="1"/>
      <w:numFmt w:val="decimal"/>
      <w:lvlText w:val="%1.%2.%3.%4.%5."/>
      <w:lvlJc w:val="left"/>
      <w:pPr>
        <w:tabs>
          <w:tab w:val="num" w:pos="0"/>
        </w:tabs>
        <w:ind w:left="1162" w:hanging="0"/>
      </w:pPr>
      <w:rPr/>
    </w:lvl>
    <w:lvl w:ilvl="5">
      <w:start w:val="1"/>
      <w:numFmt w:val="decimal"/>
      <w:suff w:val="space"/>
      <w:lvlText w:val="%1.%2.%3.%4.%5.%6."/>
      <w:lvlJc w:val="left"/>
      <w:pPr>
        <w:tabs>
          <w:tab w:val="num" w:pos="0"/>
        </w:tabs>
        <w:ind w:left="1162" w:hanging="0"/>
      </w:pPr>
      <w:rPr/>
    </w:lvl>
    <w:lvl w:ilvl="6">
      <w:start w:val="1"/>
      <w:numFmt w:val="decimal"/>
      <w:suff w:val="space"/>
      <w:lvlText w:val="%1.%2.%3.%4.%5.%6.%7."/>
      <w:lvlJc w:val="left"/>
      <w:pPr>
        <w:tabs>
          <w:tab w:val="num" w:pos="0"/>
        </w:tabs>
        <w:ind w:left="1162" w:hanging="0"/>
      </w:pPr>
      <w:rPr/>
    </w:lvl>
    <w:lvl w:ilvl="7">
      <w:start w:val="1"/>
      <w:numFmt w:val="decimal"/>
      <w:suff w:val="space"/>
      <w:lvlText w:val="%1.%2.%3.%4.%5.%6.%7.%8."/>
      <w:lvlJc w:val="left"/>
      <w:pPr>
        <w:tabs>
          <w:tab w:val="num" w:pos="0"/>
        </w:tabs>
        <w:ind w:left="1162" w:hanging="0"/>
      </w:pPr>
      <w:rPr/>
    </w:lvl>
    <w:lvl w:ilvl="8">
      <w:start w:val="1"/>
      <w:numFmt w:val="decimal"/>
      <w:suff w:val="space"/>
      <w:lvlText w:val="%1.%2.%3.%4.%5.%6.%7.%8.%9."/>
      <w:lvlJc w:val="left"/>
      <w:pPr>
        <w:tabs>
          <w:tab w:val="num" w:pos="0"/>
        </w:tabs>
        <w:ind w:left="1162" w:hanging="0"/>
      </w:pPr>
      <w:rPr/>
    </w:lvl>
  </w:abstractNum>
  <w:abstractNum w:abstractNumId="5">
    <w:lvl w:ilvl="0">
      <w:start w:val="12"/>
      <w:numFmt w:val="decimal"/>
      <w:lvlText w:val="%1"/>
      <w:lvlJc w:val="left"/>
      <w:pPr>
        <w:tabs>
          <w:tab w:val="num" w:pos="0"/>
        </w:tabs>
        <w:ind w:left="284" w:hanging="284"/>
      </w:pPr>
      <w:rPr>
        <w:sz w:val="10"/>
        <w:szCs w:val="10"/>
        <w:rFonts w:cs="Arial"/>
        <w:color w:val="002060"/>
      </w:rPr>
    </w:lvl>
    <w:lvl w:ilvl="1">
      <w:start w:val="1"/>
      <w:numFmt w:val="decimal"/>
      <w:lvlText w:val="%1.%2"/>
      <w:lvlJc w:val="left"/>
      <w:pPr>
        <w:tabs>
          <w:tab w:val="num" w:pos="0"/>
        </w:tabs>
        <w:ind w:left="284" w:hanging="284"/>
      </w:pPr>
      <w:rPr>
        <w:sz w:val="10"/>
        <w:szCs w:val="10"/>
        <w:rFonts w:cs="Arial"/>
        <w:color w:val="000000"/>
      </w:rPr>
    </w:lvl>
    <w:lvl w:ilvl="2">
      <w:start w:val="1"/>
      <w:numFmt w:val="decimal"/>
      <w:lvlText w:val="%1.%2.%3"/>
      <w:lvlJc w:val="left"/>
      <w:pPr>
        <w:tabs>
          <w:tab w:val="num" w:pos="0"/>
        </w:tabs>
        <w:ind w:left="1572" w:hanging="720"/>
      </w:pPr>
      <w:rPr>
        <w:sz w:val="20"/>
        <w:rFonts w:cs="Arial"/>
        <w:color w:val="000000"/>
      </w:rPr>
    </w:lvl>
    <w:lvl w:ilvl="3">
      <w:start w:val="1"/>
      <w:numFmt w:val="decimal"/>
      <w:lvlText w:val="%1.%2.%3.%4"/>
      <w:lvlJc w:val="left"/>
      <w:pPr>
        <w:tabs>
          <w:tab w:val="num" w:pos="0"/>
        </w:tabs>
        <w:ind w:left="1572" w:hanging="720"/>
      </w:pPr>
      <w:rPr>
        <w:sz w:val="20"/>
        <w:rFonts w:cs="Arial"/>
        <w:color w:val="000000"/>
      </w:rPr>
    </w:lvl>
    <w:lvl w:ilvl="4">
      <w:start w:val="1"/>
      <w:numFmt w:val="decimal"/>
      <w:lvlText w:val="%1.%2.%3.%4.%5"/>
      <w:lvlJc w:val="left"/>
      <w:pPr>
        <w:tabs>
          <w:tab w:val="num" w:pos="0"/>
        </w:tabs>
        <w:ind w:left="1932" w:hanging="1080"/>
      </w:pPr>
      <w:rPr>
        <w:sz w:val="20"/>
        <w:rFonts w:cs="Arial"/>
        <w:color w:val="000000"/>
      </w:rPr>
    </w:lvl>
    <w:lvl w:ilvl="5">
      <w:start w:val="1"/>
      <w:numFmt w:val="decimal"/>
      <w:lvlText w:val="%1.%2.%3.%4.%5.%6"/>
      <w:lvlJc w:val="left"/>
      <w:pPr>
        <w:tabs>
          <w:tab w:val="num" w:pos="0"/>
        </w:tabs>
        <w:ind w:left="1932" w:hanging="1080"/>
      </w:pPr>
      <w:rPr>
        <w:sz w:val="20"/>
        <w:rFonts w:cs="Arial"/>
        <w:color w:val="000000"/>
      </w:rPr>
    </w:lvl>
    <w:lvl w:ilvl="6">
      <w:start w:val="1"/>
      <w:numFmt w:val="decimal"/>
      <w:lvlText w:val="%1.%2.%3.%4.%5.%6.%7"/>
      <w:lvlJc w:val="left"/>
      <w:pPr>
        <w:tabs>
          <w:tab w:val="num" w:pos="0"/>
        </w:tabs>
        <w:ind w:left="2292" w:hanging="1440"/>
      </w:pPr>
      <w:rPr>
        <w:sz w:val="20"/>
        <w:rFonts w:cs="Arial"/>
        <w:color w:val="000000"/>
      </w:rPr>
    </w:lvl>
    <w:lvl w:ilvl="7">
      <w:start w:val="1"/>
      <w:numFmt w:val="decimal"/>
      <w:lvlText w:val="%1.%2.%3.%4.%5.%6.%7.%8"/>
      <w:lvlJc w:val="left"/>
      <w:pPr>
        <w:tabs>
          <w:tab w:val="num" w:pos="0"/>
        </w:tabs>
        <w:ind w:left="2292" w:hanging="1440"/>
      </w:pPr>
      <w:rPr>
        <w:sz w:val="20"/>
        <w:rFonts w:cs="Arial"/>
        <w:color w:val="000000"/>
      </w:rPr>
    </w:lvl>
    <w:lvl w:ilvl="8">
      <w:start w:val="1"/>
      <w:numFmt w:val="decimal"/>
      <w:lvlText w:val="%1.%2.%3.%4.%5.%6.%7.%8.%9"/>
      <w:lvlJc w:val="left"/>
      <w:pPr>
        <w:tabs>
          <w:tab w:val="num" w:pos="0"/>
        </w:tabs>
        <w:ind w:left="2652" w:hanging="1800"/>
      </w:pPr>
      <w:rPr>
        <w:sz w:val="20"/>
        <w:rFonts w:cs="Arial"/>
        <w:color w:val="000000"/>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5"/>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6"/>
      <w:numFmt w:val="decimal"/>
      <w:lvlText w:val="%1."/>
      <w:lvlJc w:val="left"/>
      <w:pPr>
        <w:tabs>
          <w:tab w:val="num" w:pos="0"/>
        </w:tabs>
        <w:ind w:left="284" w:hanging="284"/>
      </w:pPr>
      <w:rPr>
        <w:b/>
      </w:rPr>
    </w:lvl>
    <w:lvl w:ilvl="1">
      <w:start w:val="1"/>
      <w:numFmt w:val="decimal"/>
      <w:lvlText w:val="%1.%2"/>
      <w:lvlJc w:val="left"/>
      <w:pPr>
        <w:tabs>
          <w:tab w:val="num" w:pos="0"/>
        </w:tabs>
        <w:ind w:left="284" w:hanging="284"/>
      </w:pPr>
      <w:rPr>
        <w:sz w:val="10"/>
        <w:b w:val="false"/>
        <w:szCs w:val="10"/>
      </w:rPr>
    </w:lvl>
    <w:lvl w:ilvl="2">
      <w:start w:val="1"/>
      <w:numFmt w:val="lowerLetter"/>
      <w:lvlText w:val="%3)"/>
      <w:lvlJc w:val="left"/>
      <w:pPr>
        <w:tabs>
          <w:tab w:val="num" w:pos="0"/>
        </w:tabs>
        <w:ind w:left="284" w:hanging="284"/>
      </w:pPr>
      <w:rPr/>
    </w:lvl>
    <w:lvl w:ilvl="3">
      <w:start w:val="1"/>
      <w:numFmt w:val="decimal"/>
      <w:lvlText w:val="%1.%2.%3.%4"/>
      <w:lvlJc w:val="left"/>
      <w:pPr>
        <w:tabs>
          <w:tab w:val="num" w:pos="0"/>
        </w:tabs>
        <w:ind w:left="284" w:hanging="284"/>
      </w:pPr>
      <w:rPr/>
    </w:lvl>
    <w:lvl w:ilvl="4">
      <w:start w:val="1"/>
      <w:numFmt w:val="decimal"/>
      <w:lvlText w:val="%1.%2.%3.%4.%5"/>
      <w:lvlJc w:val="left"/>
      <w:pPr>
        <w:tabs>
          <w:tab w:val="num" w:pos="0"/>
        </w:tabs>
        <w:ind w:left="284" w:hanging="284"/>
      </w:pPr>
      <w:rPr/>
    </w:lvl>
    <w:lvl w:ilvl="5">
      <w:start w:val="1"/>
      <w:numFmt w:val="decimal"/>
      <w:lvlText w:val="%1.%2.%3.%4.%5.%6"/>
      <w:lvlJc w:val="left"/>
      <w:pPr>
        <w:tabs>
          <w:tab w:val="num" w:pos="0"/>
        </w:tabs>
        <w:ind w:left="284" w:hanging="284"/>
      </w:pPr>
      <w:rPr/>
    </w:lvl>
    <w:lvl w:ilvl="6">
      <w:start w:val="1"/>
      <w:numFmt w:val="decimal"/>
      <w:lvlText w:val="%1.%2.%3.%4.%5.%6.%7"/>
      <w:lvlJc w:val="left"/>
      <w:pPr>
        <w:tabs>
          <w:tab w:val="num" w:pos="0"/>
        </w:tabs>
        <w:ind w:left="284" w:hanging="284"/>
      </w:pPr>
      <w:rPr/>
    </w:lvl>
    <w:lvl w:ilvl="7">
      <w:start w:val="1"/>
      <w:numFmt w:val="decimal"/>
      <w:lvlText w:val="%1.%2.%3.%4.%5.%6.%7.%8"/>
      <w:lvlJc w:val="left"/>
      <w:pPr>
        <w:tabs>
          <w:tab w:val="num" w:pos="0"/>
        </w:tabs>
        <w:ind w:left="284" w:hanging="284"/>
      </w:pPr>
      <w:rPr/>
    </w:lvl>
    <w:lvl w:ilvl="8">
      <w:start w:val="1"/>
      <w:numFmt w:val="decimal"/>
      <w:lvlText w:val="%1.%2.%3.%4.%5.%6.%7.%8.%9"/>
      <w:lvlJc w:val="left"/>
      <w:pPr>
        <w:tabs>
          <w:tab w:val="num" w:pos="0"/>
        </w:tabs>
        <w:ind w:left="284" w:hanging="284"/>
      </w:pPr>
      <w:rPr/>
    </w:lvl>
  </w:abstractNum>
  <w:abstractNum w:abstractNumId="9">
    <w:lvl w:ilvl="0">
      <w:start w:val="8"/>
      <w:numFmt w:val="decimal"/>
      <w:lvlText w:val="%1."/>
      <w:lvlJc w:val="left"/>
      <w:pPr>
        <w:tabs>
          <w:tab w:val="num" w:pos="0"/>
        </w:tabs>
        <w:ind w:left="284" w:hanging="284"/>
      </w:pPr>
      <w:rPr/>
    </w:lvl>
    <w:lvl w:ilvl="1">
      <w:start w:val="1"/>
      <w:numFmt w:val="decimal"/>
      <w:lvlText w:val="%1.%2."/>
      <w:lvlJc w:val="left"/>
      <w:pPr>
        <w:tabs>
          <w:tab w:val="num" w:pos="0"/>
        </w:tabs>
        <w:ind w:left="1304" w:hanging="1304"/>
      </w:pPr>
      <w:rPr>
        <w:sz w:val="13"/>
        <w:szCs w:val="13"/>
      </w:rPr>
    </w:lvl>
    <w:lvl w:ilvl="2">
      <w:start w:val="1"/>
      <w:numFmt w:val="decimal"/>
      <w:lvlText w:val="%1.%2.%3."/>
      <w:lvlJc w:val="left"/>
      <w:pPr>
        <w:tabs>
          <w:tab w:val="num" w:pos="0"/>
        </w:tabs>
        <w:ind w:left="1304" w:hanging="0"/>
      </w:pPr>
      <w:rPr/>
    </w:lvl>
    <w:lvl w:ilvl="3">
      <w:start w:val="1"/>
      <w:numFmt w:val="decimal"/>
      <w:lvlText w:val="%1.%2.%3.%4."/>
      <w:lvlJc w:val="left"/>
      <w:pPr>
        <w:tabs>
          <w:tab w:val="num" w:pos="0"/>
        </w:tabs>
        <w:ind w:left="1304" w:hanging="0"/>
      </w:pPr>
      <w:rPr/>
    </w:lvl>
    <w:lvl w:ilvl="4">
      <w:start w:val="1"/>
      <w:numFmt w:val="decimal"/>
      <w:lvlText w:val="%1.%2.%3.%4.%5."/>
      <w:lvlJc w:val="left"/>
      <w:pPr>
        <w:tabs>
          <w:tab w:val="num" w:pos="0"/>
        </w:tabs>
        <w:ind w:left="1304" w:hanging="0"/>
      </w:pPr>
      <w:rPr/>
    </w:lvl>
    <w:lvl w:ilvl="5">
      <w:start w:val="1"/>
      <w:numFmt w:val="decimal"/>
      <w:suff w:val="space"/>
      <w:lvlText w:val="%1.%2.%3.%4.%5.%6."/>
      <w:lvlJc w:val="left"/>
      <w:pPr>
        <w:tabs>
          <w:tab w:val="num" w:pos="0"/>
        </w:tabs>
        <w:ind w:left="1304" w:hanging="0"/>
      </w:pPr>
      <w:rPr/>
    </w:lvl>
    <w:lvl w:ilvl="6">
      <w:start w:val="1"/>
      <w:numFmt w:val="decimal"/>
      <w:suff w:val="space"/>
      <w:lvlText w:val="%1.%2.%3.%4.%5.%6.%7."/>
      <w:lvlJc w:val="left"/>
      <w:pPr>
        <w:tabs>
          <w:tab w:val="num" w:pos="0"/>
        </w:tabs>
        <w:ind w:left="1304" w:hanging="0"/>
      </w:pPr>
      <w:rPr/>
    </w:lvl>
    <w:lvl w:ilvl="7">
      <w:start w:val="1"/>
      <w:numFmt w:val="decimal"/>
      <w:suff w:val="space"/>
      <w:lvlText w:val="%1.%2.%3.%4.%5.%6.%7.%8."/>
      <w:lvlJc w:val="left"/>
      <w:pPr>
        <w:tabs>
          <w:tab w:val="num" w:pos="0"/>
        </w:tabs>
        <w:ind w:left="1304" w:hanging="0"/>
      </w:pPr>
      <w:rPr/>
    </w:lvl>
    <w:lvl w:ilvl="8">
      <w:start w:val="1"/>
      <w:numFmt w:val="decimal"/>
      <w:suff w:val="space"/>
      <w:lvlText w:val="%1.%2.%3.%4.%5.%6.%7.%8.%9."/>
      <w:lvlJc w:val="left"/>
      <w:pPr>
        <w:tabs>
          <w:tab w:val="num" w:pos="0"/>
        </w:tabs>
        <w:ind w:left="1304" w:hanging="0"/>
      </w:pPr>
      <w:rPr/>
    </w:lvl>
  </w:abstractNum>
  <w:abstractNum w:abstractNumId="10">
    <w:lvl w:ilvl="0">
      <w:start w:val="8"/>
      <w:numFmt w:val="decimal"/>
      <w:lvlText w:val="%1."/>
      <w:lvlJc w:val="left"/>
      <w:pPr>
        <w:tabs>
          <w:tab w:val="num" w:pos="0"/>
        </w:tabs>
        <w:ind w:left="284" w:hanging="284"/>
      </w:pPr>
      <w:rPr/>
    </w:lvl>
    <w:lvl w:ilvl="1">
      <w:start w:val="1"/>
      <w:numFmt w:val="decimal"/>
      <w:lvlText w:val="%1.%2."/>
      <w:lvlJc w:val="left"/>
      <w:pPr>
        <w:tabs>
          <w:tab w:val="num" w:pos="0"/>
        </w:tabs>
        <w:ind w:left="284" w:hanging="284"/>
      </w:pPr>
      <w:rPr>
        <w:sz w:val="10"/>
        <w:szCs w:val="10"/>
      </w:rPr>
    </w:lvl>
    <w:lvl w:ilvl="2">
      <w:start w:val="1"/>
      <w:numFmt w:val="decimal"/>
      <w:lvlText w:val="%1.%2.%3."/>
      <w:lvlJc w:val="left"/>
      <w:pPr>
        <w:tabs>
          <w:tab w:val="num" w:pos="0"/>
        </w:tabs>
        <w:ind w:left="284" w:hanging="284"/>
      </w:pPr>
      <w:rPr/>
    </w:lvl>
    <w:lvl w:ilvl="3">
      <w:start w:val="1"/>
      <w:numFmt w:val="decimal"/>
      <w:lvlText w:val="%1.%2.%3.%4."/>
      <w:lvlJc w:val="left"/>
      <w:pPr>
        <w:tabs>
          <w:tab w:val="num" w:pos="0"/>
        </w:tabs>
        <w:ind w:left="284" w:hanging="284"/>
      </w:pPr>
      <w:rPr/>
    </w:lvl>
    <w:lvl w:ilvl="4">
      <w:start w:val="1"/>
      <w:numFmt w:val="decimal"/>
      <w:lvlText w:val="%1.%2.%3.%4.%5."/>
      <w:lvlJc w:val="left"/>
      <w:pPr>
        <w:tabs>
          <w:tab w:val="num" w:pos="0"/>
        </w:tabs>
        <w:ind w:left="284" w:hanging="284"/>
      </w:pPr>
      <w:rPr/>
    </w:lvl>
    <w:lvl w:ilvl="5">
      <w:start w:val="1"/>
      <w:numFmt w:val="decimal"/>
      <w:suff w:val="space"/>
      <w:lvlText w:val="%1.%2.%3.%4.%5.%6."/>
      <w:lvlJc w:val="left"/>
      <w:pPr>
        <w:tabs>
          <w:tab w:val="num" w:pos="0"/>
        </w:tabs>
        <w:ind w:left="284" w:hanging="284"/>
      </w:pPr>
      <w:rPr/>
    </w:lvl>
    <w:lvl w:ilvl="6">
      <w:start w:val="1"/>
      <w:numFmt w:val="decimal"/>
      <w:suff w:val="space"/>
      <w:lvlText w:val="%1.%2.%3.%4.%5.%6.%7."/>
      <w:lvlJc w:val="left"/>
      <w:pPr>
        <w:tabs>
          <w:tab w:val="num" w:pos="0"/>
        </w:tabs>
        <w:ind w:left="284" w:hanging="284"/>
      </w:pPr>
      <w:rPr/>
    </w:lvl>
    <w:lvl w:ilvl="7">
      <w:start w:val="1"/>
      <w:numFmt w:val="decimal"/>
      <w:suff w:val="space"/>
      <w:lvlText w:val="%1.%2.%3.%4.%5.%6.%7.%8."/>
      <w:lvlJc w:val="left"/>
      <w:pPr>
        <w:tabs>
          <w:tab w:val="num" w:pos="0"/>
        </w:tabs>
        <w:ind w:left="284" w:hanging="284"/>
      </w:pPr>
      <w:rPr/>
    </w:lvl>
    <w:lvl w:ilvl="8">
      <w:start w:val="1"/>
      <w:numFmt w:val="decimal"/>
      <w:suff w:val="space"/>
      <w:lvlText w:val="%1.%2.%3.%4.%5.%6.%7.%8.%9."/>
      <w:lvlJc w:val="left"/>
      <w:pPr>
        <w:tabs>
          <w:tab w:val="num" w:pos="0"/>
        </w:tabs>
        <w:ind w:left="284" w:hanging="284"/>
      </w:pPr>
      <w:rPr/>
    </w:lvl>
  </w:abstractNum>
  <w:abstractNum w:abstractNumId="11">
    <w:lvl w:ilvl="0">
      <w:start w:val="1"/>
      <w:numFmt w:val="decimal"/>
      <w:lvlText w:val="%1."/>
      <w:lvlJc w:val="left"/>
      <w:pPr>
        <w:tabs>
          <w:tab w:val="num" w:pos="0"/>
        </w:tabs>
        <w:ind w:left="284" w:hanging="284"/>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
    <w:lvl w:ilvl="0">
      <w:start w:val="10"/>
      <w:numFmt w:val="decimal"/>
      <w:lvlText w:val="%1."/>
      <w:lvlJc w:val="left"/>
      <w:pPr>
        <w:tabs>
          <w:tab w:val="num" w:pos="0"/>
        </w:tabs>
        <w:ind w:left="284" w:hanging="284"/>
      </w:pPr>
      <w:rPr>
        <w:sz w:val="10"/>
        <w:szCs w:val="10"/>
      </w:rPr>
    </w:lvl>
    <w:lvl w:ilvl="1">
      <w:start w:val="1"/>
      <w:numFmt w:val="decimal"/>
      <w:lvlText w:val="%1.%2."/>
      <w:lvlJc w:val="left"/>
      <w:pPr>
        <w:tabs>
          <w:tab w:val="num" w:pos="0"/>
        </w:tabs>
        <w:ind w:left="284" w:hanging="284"/>
      </w:pPr>
      <w:rPr>
        <w:sz w:val="10"/>
        <w:b w:val="false"/>
        <w:szCs w:val="10"/>
        <w:lang w:val="en-US"/>
      </w:rPr>
    </w:lvl>
    <w:lvl w:ilvl="2">
      <w:start w:val="1"/>
      <w:numFmt w:val="decimal"/>
      <w:lvlText w:val="%1.%2.%3."/>
      <w:lvlJc w:val="left"/>
      <w:pPr>
        <w:tabs>
          <w:tab w:val="num" w:pos="0"/>
        </w:tabs>
        <w:ind w:left="284" w:hanging="284"/>
      </w:pPr>
      <w:rPr/>
    </w:lvl>
    <w:lvl w:ilvl="3">
      <w:start w:val="1"/>
      <w:numFmt w:val="decimal"/>
      <w:lvlText w:val="%1.%2.%3.%4."/>
      <w:lvlJc w:val="left"/>
      <w:pPr>
        <w:tabs>
          <w:tab w:val="num" w:pos="0"/>
        </w:tabs>
        <w:ind w:left="284" w:hanging="284"/>
      </w:pPr>
      <w:rPr/>
    </w:lvl>
    <w:lvl w:ilvl="4">
      <w:start w:val="1"/>
      <w:numFmt w:val="decimal"/>
      <w:lvlText w:val="%1.%2.%3.%4.%5."/>
      <w:lvlJc w:val="left"/>
      <w:pPr>
        <w:tabs>
          <w:tab w:val="num" w:pos="0"/>
        </w:tabs>
        <w:ind w:left="284" w:hanging="284"/>
      </w:pPr>
      <w:rPr/>
    </w:lvl>
    <w:lvl w:ilvl="5">
      <w:start w:val="1"/>
      <w:numFmt w:val="decimal"/>
      <w:suff w:val="space"/>
      <w:lvlText w:val="%1.%2.%3.%4.%5.%6."/>
      <w:lvlJc w:val="left"/>
      <w:pPr>
        <w:tabs>
          <w:tab w:val="num" w:pos="0"/>
        </w:tabs>
        <w:ind w:left="284" w:hanging="284"/>
      </w:pPr>
      <w:rPr/>
    </w:lvl>
    <w:lvl w:ilvl="6">
      <w:start w:val="1"/>
      <w:numFmt w:val="decimal"/>
      <w:suff w:val="space"/>
      <w:lvlText w:val="%1.%2.%3.%4.%5.%6.%7."/>
      <w:lvlJc w:val="left"/>
      <w:pPr>
        <w:tabs>
          <w:tab w:val="num" w:pos="0"/>
        </w:tabs>
        <w:ind w:left="284" w:hanging="284"/>
      </w:pPr>
      <w:rPr/>
    </w:lvl>
    <w:lvl w:ilvl="7">
      <w:start w:val="1"/>
      <w:numFmt w:val="decimal"/>
      <w:suff w:val="space"/>
      <w:lvlText w:val="%1.%2.%3.%4.%5.%6.%7.%8."/>
      <w:lvlJc w:val="left"/>
      <w:pPr>
        <w:tabs>
          <w:tab w:val="num" w:pos="0"/>
        </w:tabs>
        <w:ind w:left="284" w:hanging="284"/>
      </w:pPr>
      <w:rPr/>
    </w:lvl>
    <w:lvl w:ilvl="8">
      <w:start w:val="1"/>
      <w:numFmt w:val="decimal"/>
      <w:suff w:val="space"/>
      <w:lvlText w:val="%1.%2.%3.%4.%5.%6.%7.%8.%9."/>
      <w:lvlJc w:val="left"/>
      <w:pPr>
        <w:tabs>
          <w:tab w:val="num" w:pos="0"/>
        </w:tabs>
        <w:ind w:left="284" w:hanging="284"/>
      </w:pPr>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2"/>
    <w:lvlOverride w:ilvl="0">
      <w:lvl w:ilvl="0">
        <w:start w:val="8"/>
        <w:numFmt w:val="decimal"/>
        <w:lvlText w:val="%1."/>
        <w:lvlJc w:val="left"/>
        <w:pPr>
          <w:tabs>
            <w:tab w:val="num" w:pos="0"/>
          </w:tabs>
          <w:ind w:left="284" w:hanging="284"/>
        </w:pPr>
        <w:rPr/>
      </w:lvl>
    </w:lvlOverride>
    <w:lvlOverride w:ilvl="0"/>
    <w:lvlOverride w:ilvl="1"/>
    <w:lvlOverride w:ilvl="2">
      <w:lvl w:ilvl="2">
        <w:start w:val="1"/>
        <w:numFmt w:val="decimal"/>
        <w:lvlText w:val="%1.%2.%3."/>
        <w:lvlJc w:val="left"/>
        <w:pPr>
          <w:tabs>
            <w:tab w:val="num" w:pos="0"/>
          </w:tabs>
          <w:ind w:left="284" w:hanging="284"/>
        </w:pPr>
        <w:rPr/>
      </w:lvl>
    </w:lvlOverride>
    <w:lvlOverride w:ilvl="2"/>
    <w:lvlOverride w:ilvl="3">
      <w:lvl w:ilvl="3">
        <w:start w:val="1"/>
        <w:numFmt w:val="decimal"/>
        <w:lvlText w:val="%1.%2.%3.%4."/>
        <w:lvlJc w:val="left"/>
        <w:pPr>
          <w:tabs>
            <w:tab w:val="num" w:pos="0"/>
          </w:tabs>
          <w:ind w:left="284" w:hanging="284"/>
        </w:pPr>
        <w:rPr/>
      </w:lvl>
    </w:lvlOverride>
    <w:lvlOverride w:ilvl="3"/>
    <w:lvlOverride w:ilvl="4">
      <w:lvl w:ilvl="4">
        <w:start w:val="1"/>
        <w:numFmt w:val="decimal"/>
        <w:lvlText w:val="%1.%2.%3.%4.%5."/>
        <w:lvlJc w:val="left"/>
        <w:pPr>
          <w:tabs>
            <w:tab w:val="num" w:pos="0"/>
          </w:tabs>
          <w:ind w:left="284" w:hanging="284"/>
        </w:pPr>
        <w:rPr/>
      </w:lvl>
    </w:lvlOverride>
    <w:lvlOverride w:ilvl="4"/>
    <w:lvlOverride w:ilvl="5">
      <w:lvl w:ilvl="5">
        <w:start w:val="1"/>
        <w:numFmt w:val="decimal"/>
        <w:suff w:val="space"/>
        <w:lvlText w:val="%1.%2.%3.%4.%5.%6."/>
        <w:lvlJc w:val="left"/>
        <w:pPr>
          <w:tabs>
            <w:tab w:val="num" w:pos="0"/>
          </w:tabs>
          <w:ind w:left="284" w:hanging="284"/>
        </w:pPr>
        <w:rPr/>
      </w:lvl>
    </w:lvlOverride>
    <w:lvlOverride w:ilvl="5"/>
    <w:lvlOverride w:ilvl="6">
      <w:lvl w:ilvl="6">
        <w:start w:val="1"/>
        <w:numFmt w:val="decimal"/>
        <w:suff w:val="space"/>
        <w:lvlText w:val="%1.%2.%3.%4.%5.%6.%7."/>
        <w:lvlJc w:val="left"/>
        <w:pPr>
          <w:tabs>
            <w:tab w:val="num" w:pos="0"/>
          </w:tabs>
          <w:ind w:left="284" w:hanging="284"/>
        </w:pPr>
        <w:rPr/>
      </w:lvl>
    </w:lvlOverride>
    <w:lvlOverride w:ilvl="6"/>
    <w:lvlOverride w:ilvl="7">
      <w:lvl w:ilvl="7">
        <w:start w:val="1"/>
        <w:numFmt w:val="decimal"/>
        <w:suff w:val="space"/>
        <w:lvlText w:val="%1.%2.%3.%4.%5.%6.%7.%8."/>
        <w:lvlJc w:val="left"/>
        <w:pPr>
          <w:tabs>
            <w:tab w:val="num" w:pos="0"/>
          </w:tabs>
          <w:ind w:left="284" w:hanging="284"/>
        </w:pPr>
        <w:rPr/>
      </w:lvl>
    </w:lvlOverride>
    <w:lvlOverride w:ilvl="7"/>
    <w:lvlOverride w:ilvl="8">
      <w:lvl w:ilvl="8">
        <w:start w:val="1"/>
        <w:numFmt w:val="decimal"/>
        <w:suff w:val="space"/>
        <w:lvlText w:val="%1.%2.%3.%4.%5.%6.%7.%8.%9."/>
        <w:lvlJc w:val="left"/>
        <w:pPr>
          <w:tabs>
            <w:tab w:val="num" w:pos="0"/>
          </w:tabs>
          <w:ind w:left="284" w:hanging="284"/>
        </w:pPr>
        <w:rPr/>
      </w:lvl>
    </w:lvlOverride>
  </w:num>
  <w:num w:numId="15">
    <w:abstractNumId w:val="4"/>
    <w:lvlOverride w:ilvl="0"/>
    <w:lvlOverride w:ilvl="1"/>
    <w:lvlOverride w:ilvl="2">
      <w:lvl w:ilvl="2">
        <w:start w:val="1"/>
        <w:numFmt w:val="decimal"/>
        <w:lvlText w:val="%1.%2.%3."/>
        <w:lvlJc w:val="left"/>
        <w:pPr>
          <w:tabs>
            <w:tab w:val="num" w:pos="0"/>
          </w:tabs>
          <w:ind w:left="284" w:hanging="284"/>
        </w:pPr>
        <w:rPr/>
      </w:lvl>
    </w:lvlOverride>
    <w:lvlOverride w:ilvl="2"/>
    <w:lvlOverride w:ilvl="3">
      <w:lvl w:ilvl="3">
        <w:start w:val="1"/>
        <w:numFmt w:val="decimal"/>
        <w:lvlText w:val="%1.%2.%3.%4."/>
        <w:lvlJc w:val="left"/>
        <w:pPr>
          <w:tabs>
            <w:tab w:val="num" w:pos="0"/>
          </w:tabs>
          <w:ind w:left="284" w:hanging="284"/>
        </w:pPr>
        <w:rPr/>
      </w:lvl>
    </w:lvlOverride>
    <w:lvlOverride w:ilvl="3"/>
    <w:lvlOverride w:ilvl="4">
      <w:lvl w:ilvl="4">
        <w:start w:val="1"/>
        <w:numFmt w:val="decimal"/>
        <w:lvlText w:val="%1.%2.%3.%4.%5."/>
        <w:lvlJc w:val="left"/>
        <w:pPr>
          <w:tabs>
            <w:tab w:val="num" w:pos="0"/>
          </w:tabs>
          <w:ind w:left="284" w:hanging="284"/>
        </w:pPr>
        <w:rPr/>
      </w:lvl>
    </w:lvlOverride>
    <w:lvlOverride w:ilvl="4"/>
    <w:lvlOverride w:ilvl="5">
      <w:lvl w:ilvl="5">
        <w:start w:val="1"/>
        <w:numFmt w:val="decimal"/>
        <w:suff w:val="space"/>
        <w:lvlText w:val="%1.%2.%3.%4.%5.%6."/>
        <w:lvlJc w:val="left"/>
        <w:pPr>
          <w:tabs>
            <w:tab w:val="num" w:pos="0"/>
          </w:tabs>
          <w:ind w:left="284" w:hanging="284"/>
        </w:pPr>
        <w:rPr/>
      </w:lvl>
    </w:lvlOverride>
    <w:lvlOverride w:ilvl="5"/>
    <w:lvlOverride w:ilvl="6">
      <w:lvl w:ilvl="6">
        <w:start w:val="1"/>
        <w:numFmt w:val="decimal"/>
        <w:suff w:val="space"/>
        <w:lvlText w:val="%1.%2.%3.%4.%5.%6.%7."/>
        <w:lvlJc w:val="left"/>
        <w:pPr>
          <w:tabs>
            <w:tab w:val="num" w:pos="0"/>
          </w:tabs>
          <w:ind w:left="284" w:hanging="284"/>
        </w:pPr>
        <w:rPr/>
      </w:lvl>
    </w:lvlOverride>
    <w:lvlOverride w:ilvl="6"/>
    <w:lvlOverride w:ilvl="7">
      <w:lvl w:ilvl="7">
        <w:start w:val="1"/>
        <w:numFmt w:val="decimal"/>
        <w:suff w:val="space"/>
        <w:lvlText w:val="%1.%2.%3.%4.%5.%6.%7.%8."/>
        <w:lvlJc w:val="left"/>
        <w:pPr>
          <w:tabs>
            <w:tab w:val="num" w:pos="0"/>
          </w:tabs>
          <w:ind w:left="284" w:hanging="284"/>
        </w:pPr>
        <w:rPr/>
      </w:lvl>
    </w:lvlOverride>
    <w:lvlOverride w:ilvl="7"/>
    <w:lvlOverride w:ilvl="8">
      <w:lvl w:ilvl="8">
        <w:start w:val="1"/>
        <w:numFmt w:val="decimal"/>
        <w:suff w:val="space"/>
        <w:lvlText w:val="%1.%2.%3.%4.%5.%6.%7.%8.%9."/>
        <w:lvlJc w:val="left"/>
        <w:pPr>
          <w:tabs>
            <w:tab w:val="num" w:pos="0"/>
          </w:tabs>
          <w:ind w:left="284" w:hanging="284"/>
        </w:pPr>
        <w:rPr/>
      </w:lvl>
    </w:lvlOverride>
  </w:num>
</w:numbering>
</file>

<file path=word/settings.xml><?xml version="1.0" encoding="utf-8"?>
<w:settings xmlns:w="http://schemas.openxmlformats.org/wordprocessingml/2006/main">
  <w:zoom w:percent="100"/>
  <w:defaultTabStop w:val="1304"/>
  <w:autoHyphenation w:val="true"/>
  <w:doNotHyphenateCap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425"/>
  <w:themeFontLang w:val="fi-FI"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sl-SI" w:eastAsia="zh-CN"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qFormat="1"/>
    <w:lsdException w:name="caption" w:semiHidden="1" w:unhideWhenUsed="1" w:qFormat="1"/>
    <w:lsdException w:name="Title" w:qFormat="1"/>
    <w:lsdException w:name="Subtitle" w:qFormat="1"/>
    <w:lsdException w:name="Strong" w:qFormat="1"/>
    <w:lsdException w:name="Emphasis" w:uiPriority="20"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13695"/>
    <w:pPr>
      <w:widowControl/>
      <w:suppressAutoHyphens w:val="true"/>
      <w:overflowPunct w:val="true"/>
      <w:bidi w:val="0"/>
      <w:spacing w:before="0" w:after="0"/>
      <w:jc w:val="left"/>
      <w:textAlignment w:val="baseline"/>
    </w:pPr>
    <w:rPr>
      <w:rFonts w:ascii="Times New Roman" w:hAnsi="Times New Roman" w:eastAsia="Times New Roman" w:cs="Times New Roman"/>
      <w:color w:val="auto"/>
      <w:kern w:val="0"/>
      <w:sz w:val="20"/>
      <w:szCs w:val="20"/>
      <w:lang w:val="sl-SI" w:eastAsia="zh-CN" w:bidi="ar-SA"/>
    </w:rPr>
  </w:style>
  <w:style w:type="paragraph" w:styleId="Heading1">
    <w:name w:val="Heading 1"/>
    <w:basedOn w:val="Normal"/>
    <w:next w:val="Normal"/>
    <w:qFormat/>
    <w:pPr>
      <w:keepNext w:val="true"/>
      <w:outlineLvl w:val="0"/>
    </w:pPr>
    <w:rPr>
      <w:rFonts w:ascii="Palatino" w:hAnsi="Palatino"/>
      <w:sz w:val="24"/>
      <w:u w:val="single"/>
    </w:rPr>
  </w:style>
  <w:style w:type="paragraph" w:styleId="Heading2">
    <w:name w:val="Heading 2"/>
    <w:basedOn w:val="Normal"/>
    <w:next w:val="Normal"/>
    <w:qFormat/>
    <w:pPr>
      <w:keepNext w:val="true"/>
      <w:tabs>
        <w:tab w:val="clear" w:pos="1304"/>
        <w:tab w:val="left" w:pos="1752" w:leader="none"/>
      </w:tabs>
      <w:outlineLvl w:val="1"/>
    </w:pPr>
    <w:rPr>
      <w:sz w:val="24"/>
    </w:rPr>
  </w:style>
  <w:style w:type="paragraph" w:styleId="Heading3">
    <w:name w:val="Heading 3"/>
    <w:basedOn w:val="Normal"/>
    <w:next w:val="Normal"/>
    <w:qFormat/>
    <w:pPr>
      <w:keepNext w:val="true"/>
      <w:outlineLvl w:val="2"/>
    </w:pPr>
    <w:rPr>
      <w:b/>
    </w:rPr>
  </w:style>
  <w:style w:type="paragraph" w:styleId="Heading4">
    <w:name w:val="Heading 4"/>
    <w:basedOn w:val="Normal"/>
    <w:next w:val="Normal"/>
    <w:qFormat/>
    <w:pPr>
      <w:keepNext w:val="true"/>
      <w:outlineLvl w:val="3"/>
    </w:pPr>
    <w:rPr>
      <w:rFonts w:ascii="Palatino" w:hAnsi="Palatino"/>
      <w:b/>
      <w:sz w:val="18"/>
    </w:rPr>
  </w:style>
  <w:style w:type="paragraph" w:styleId="Heading5">
    <w:name w:val="Heading 5"/>
    <w:basedOn w:val="Normal"/>
    <w:next w:val="Normal"/>
    <w:qFormat/>
    <w:pPr>
      <w:keepNext w:val="true"/>
      <w:ind w:right="2029" w:hanging="0"/>
      <w:outlineLvl w:val="4"/>
    </w:pPr>
    <w:rPr>
      <w:b/>
      <w:sz w:val="16"/>
    </w:rPr>
  </w:style>
  <w:style w:type="paragraph" w:styleId="Heading6">
    <w:name w:val="Heading 6"/>
    <w:basedOn w:val="Normal"/>
    <w:next w:val="Normal"/>
    <w:qFormat/>
    <w:pPr>
      <w:keepNext w:val="true"/>
      <w:outlineLvl w:val="5"/>
    </w:pPr>
    <w:rPr>
      <w:b/>
      <w:sz w:val="16"/>
    </w:rPr>
  </w:style>
  <w:style w:type="paragraph" w:styleId="Heading7">
    <w:name w:val="Heading 7"/>
    <w:basedOn w:val="Normal"/>
    <w:next w:val="Normal"/>
    <w:link w:val="Naslov7Znak"/>
    <w:qFormat/>
    <w:pPr>
      <w:keepNext w:val="true"/>
      <w:jc w:val="center"/>
      <w:outlineLvl w:val="6"/>
    </w:pPr>
    <w:rPr>
      <w:b/>
    </w:rPr>
  </w:style>
  <w:style w:type="paragraph" w:styleId="Heading8">
    <w:name w:val="Heading 8"/>
    <w:basedOn w:val="Normal"/>
    <w:next w:val="Normal"/>
    <w:qFormat/>
    <w:pPr>
      <w:keepNext w:val="true"/>
      <w:ind w:left="-81" w:hanging="0"/>
      <w:jc w:val="center"/>
      <w:outlineLvl w:val="7"/>
    </w:pPr>
    <w:rPr>
      <w:b/>
      <w:sz w:val="16"/>
    </w:rPr>
  </w:style>
  <w:style w:type="paragraph" w:styleId="Heading9">
    <w:name w:val="Heading 9"/>
    <w:basedOn w:val="Normal"/>
    <w:next w:val="Normal"/>
    <w:qFormat/>
    <w:pPr>
      <w:keepNext w:val="true"/>
      <w:outlineLvl w:val="8"/>
    </w:pPr>
    <w:rPr>
      <w:rFonts w:ascii="Verdana" w:hAnsi="Verdana"/>
      <w:i/>
      <w:color w:val="FF0000"/>
      <w:sz w:val="14"/>
    </w:rPr>
  </w:style>
  <w:style w:type="character" w:styleId="DefaultParagraphFont" w:default="1">
    <w:name w:val="Default Paragraph Font"/>
    <w:uiPriority w:val="1"/>
    <w:semiHidden/>
    <w:unhideWhenUsed/>
    <w:qFormat/>
    <w:rPr/>
  </w:style>
  <w:style w:type="character" w:styleId="Hyperlink1" w:customStyle="1">
    <w:name w:val="Hyperlink1"/>
    <w:qFormat/>
    <w:rPr>
      <w:color w:val="0000FF"/>
      <w:u w:val="single"/>
    </w:rPr>
  </w:style>
  <w:style w:type="character" w:styleId="Field" w:customStyle="1">
    <w:name w:val="Field"/>
    <w:qFormat/>
    <w:rPr>
      <w:color w:val="FF0000"/>
      <w:u w:val="dotted"/>
    </w:rPr>
  </w:style>
  <w:style w:type="character" w:styleId="InternetLink">
    <w:name w:val="Hyperlink"/>
    <w:rPr>
      <w:color w:val="0000FF"/>
      <w:u w:val="single"/>
    </w:rPr>
  </w:style>
  <w:style w:type="character" w:styleId="VisitedInternetLink">
    <w:name w:val="FollowedHyperlink"/>
    <w:rPr>
      <w:color w:val="800080"/>
      <w:u w:val="single"/>
    </w:rPr>
  </w:style>
  <w:style w:type="character" w:styleId="BesedilooblakaZnak" w:customStyle="1">
    <w:name w:val="Besedilo oblačka Znak"/>
    <w:basedOn w:val="DefaultParagraphFont"/>
    <w:link w:val="BalloonText"/>
    <w:semiHidden/>
    <w:qFormat/>
    <w:rsid w:val="00162b43"/>
    <w:rPr>
      <w:rFonts w:ascii="Segoe UI" w:hAnsi="Segoe UI" w:cs="Segoe UI"/>
      <w:sz w:val="18"/>
    </w:rPr>
  </w:style>
  <w:style w:type="character" w:styleId="GlavaZnak" w:customStyle="1">
    <w:name w:val="Glava Znak"/>
    <w:basedOn w:val="DefaultParagraphFont"/>
    <w:link w:val="Header"/>
    <w:qFormat/>
    <w:rsid w:val="00162b43"/>
    <w:rPr/>
  </w:style>
  <w:style w:type="character" w:styleId="Kappaleenoletusfontti1" w:customStyle="1">
    <w:name w:val="Kappaleen oletusfontti1"/>
    <w:qFormat/>
    <w:rsid w:val="00162b43"/>
    <w:rPr/>
  </w:style>
  <w:style w:type="character" w:styleId="NogaZnak" w:customStyle="1">
    <w:name w:val="Noga Znak"/>
    <w:basedOn w:val="DefaultParagraphFont"/>
    <w:link w:val="Footer"/>
    <w:qFormat/>
    <w:rsid w:val="000974c6"/>
    <w:rPr/>
  </w:style>
  <w:style w:type="character" w:styleId="Annotationreference">
    <w:name w:val="annotation reference"/>
    <w:basedOn w:val="DefaultParagraphFont"/>
    <w:qFormat/>
    <w:rsid w:val="00c854e0"/>
    <w:rPr>
      <w:sz w:val="16"/>
    </w:rPr>
  </w:style>
  <w:style w:type="character" w:styleId="PripombabesediloZnak" w:customStyle="1">
    <w:name w:val="Pripomba – besedilo Znak"/>
    <w:basedOn w:val="DefaultParagraphFont"/>
    <w:link w:val="Annotationtext"/>
    <w:qFormat/>
    <w:rsid w:val="00c854e0"/>
    <w:rPr/>
  </w:style>
  <w:style w:type="character" w:styleId="ZadevapripombeZnak" w:customStyle="1">
    <w:name w:val="Zadeva pripombe Znak"/>
    <w:basedOn w:val="PripombabesediloZnak"/>
    <w:link w:val="Annotationsubject"/>
    <w:qFormat/>
    <w:rsid w:val="00c854e0"/>
    <w:rPr>
      <w:b/>
    </w:rPr>
  </w:style>
  <w:style w:type="character" w:styleId="BodyTextChar" w:customStyle="1">
    <w:name w:val="Body Text Char"/>
    <w:basedOn w:val="DefaultParagraphFont"/>
    <w:qFormat/>
    <w:rsid w:val="003a32d5"/>
    <w:rPr>
      <w:rFonts w:ascii="Arial" w:hAnsi="Arial"/>
      <w:sz w:val="22"/>
    </w:rPr>
  </w:style>
  <w:style w:type="character" w:styleId="Naslov7Znak" w:customStyle="1">
    <w:name w:val="Naslov 7 Znak"/>
    <w:basedOn w:val="DefaultParagraphFont"/>
    <w:link w:val="Heading7"/>
    <w:qFormat/>
    <w:rsid w:val="00581c1d"/>
    <w:rPr>
      <w:b/>
    </w:rPr>
  </w:style>
  <w:style w:type="character" w:styleId="Emphasis">
    <w:name w:val="Emphasis"/>
    <w:basedOn w:val="DefaultParagraphFont"/>
    <w:uiPriority w:val="20"/>
    <w:qFormat/>
    <w:rsid w:val="00dd0c37"/>
    <w:rPr>
      <w:i/>
    </w:rPr>
  </w:style>
  <w:style w:type="character" w:styleId="UnresolvedMention">
    <w:name w:val="Unresolved Mention"/>
    <w:basedOn w:val="DefaultParagraphFont"/>
    <w:uiPriority w:val="99"/>
    <w:semiHidden/>
    <w:unhideWhenUsed/>
    <w:qFormat/>
    <w:rsid w:val="003b575f"/>
    <w:rPr>
      <w:color w:val="605E5C"/>
      <w:shd w:fill="E1DFDD" w:val="clear"/>
    </w:rPr>
  </w:style>
  <w:style w:type="character" w:styleId="OdstavekseznamaZnak" w:customStyle="1">
    <w:name w:val="Odstavek seznama Znak"/>
    <w:basedOn w:val="DefaultParagraphFont"/>
    <w:link w:val="ListParagraph"/>
    <w:uiPriority w:val="34"/>
    <w:qFormat/>
    <w:rsid w:val="00e13695"/>
    <w:rPr>
      <w:rFonts w:ascii="Arial" w:hAnsi="Arial" w:eastAsia="Calibri" w:eastAsiaTheme="minorHAnsi"/>
      <w:sz w:val="22"/>
    </w:rPr>
  </w:style>
  <w:style w:type="character" w:styleId="TevilenjeZnak" w:customStyle="1">
    <w:name w:val="Številčenje Znak"/>
    <w:basedOn w:val="OdstavekseznamaZnak"/>
    <w:link w:val="Tevilenje"/>
    <w:qFormat/>
    <w:rsid w:val="00e13695"/>
    <w:rPr>
      <w:rFonts w:ascii="Calibri" w:hAnsi="Calibri" w:eastAsia="Calibri" w:cs="Calibri" w:eastAsiaTheme="minorHAnsi"/>
      <w:b/>
      <w:bCs/>
      <w:color w:val="003F72"/>
      <w:sz w:val="10"/>
      <w:szCs w:val="10"/>
      <w:lang w:val="sl-SI" w:eastAsia="en-US"/>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rPr>
      <w:rFonts w:ascii="Palatino" w:hAnsi="Palatino"/>
      <w:sz w:val="24"/>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GlavaZnak"/>
    <w:qFormat/>
    <w:pPr>
      <w:tabs>
        <w:tab w:val="clear" w:pos="1304"/>
        <w:tab w:val="center" w:pos="4819" w:leader="none"/>
        <w:tab w:val="right" w:pos="9638" w:leader="none"/>
      </w:tabs>
    </w:pPr>
    <w:rPr/>
  </w:style>
  <w:style w:type="paragraph" w:styleId="Footer">
    <w:name w:val="Footer"/>
    <w:basedOn w:val="Normal"/>
    <w:link w:val="NogaZnak"/>
    <w:pPr>
      <w:tabs>
        <w:tab w:val="clear" w:pos="1304"/>
        <w:tab w:val="center" w:pos="4819" w:leader="none"/>
        <w:tab w:val="right" w:pos="9638" w:leader="none"/>
      </w:tabs>
    </w:pPr>
    <w:rPr/>
  </w:style>
  <w:style w:type="paragraph" w:styleId="BodyText21" w:customStyle="1">
    <w:name w:val="Body Text 21"/>
    <w:basedOn w:val="Normal"/>
    <w:qFormat/>
    <w:pPr/>
    <w:rPr>
      <w:sz w:val="18"/>
    </w:rPr>
  </w:style>
  <w:style w:type="paragraph" w:styleId="TextBodyIndent">
    <w:name w:val="Body Text Indent"/>
    <w:basedOn w:val="Normal"/>
    <w:pPr>
      <w:suppressAutoHyphens w:val="true"/>
      <w:ind w:left="851" w:hanging="0"/>
    </w:pPr>
    <w:rPr/>
  </w:style>
  <w:style w:type="paragraph" w:styleId="BodyText2">
    <w:name w:val="Body Text 2"/>
    <w:basedOn w:val="Normal"/>
    <w:qFormat/>
    <w:pPr>
      <w:overflowPunct w:val="false"/>
      <w:textAlignment w:val="auto"/>
    </w:pPr>
    <w:rPr/>
  </w:style>
  <w:style w:type="paragraph" w:styleId="BodyTextIndent2">
    <w:name w:val="Body Text Indent 2"/>
    <w:basedOn w:val="Normal"/>
    <w:qFormat/>
    <w:pPr>
      <w:suppressAutoHyphens w:val="true"/>
      <w:ind w:firstLine="4"/>
    </w:pPr>
    <w:rPr>
      <w:sz w:val="18"/>
    </w:rPr>
  </w:style>
  <w:style w:type="paragraph" w:styleId="BodyText3">
    <w:name w:val="Body Text 3"/>
    <w:basedOn w:val="Normal"/>
    <w:qFormat/>
    <w:pPr>
      <w:spacing w:before="40" w:after="0"/>
    </w:pPr>
    <w:rPr>
      <w:sz w:val="16"/>
    </w:rPr>
  </w:style>
  <w:style w:type="paragraph" w:styleId="BalloonText">
    <w:name w:val="Balloon Text"/>
    <w:basedOn w:val="Normal"/>
    <w:link w:val="BesedilooblakaZnak"/>
    <w:semiHidden/>
    <w:unhideWhenUsed/>
    <w:qFormat/>
    <w:rsid w:val="00162b43"/>
    <w:pPr/>
    <w:rPr>
      <w:rFonts w:ascii="Segoe UI" w:hAnsi="Segoe UI" w:cs="Segoe UI"/>
      <w:sz w:val="18"/>
    </w:rPr>
  </w:style>
  <w:style w:type="paragraph" w:styleId="Paragraph" w:customStyle="1">
    <w:name w:val="Paragraph"/>
    <w:basedOn w:val="Normal"/>
    <w:qFormat/>
    <w:rsid w:val="00162b43"/>
    <w:pPr>
      <w:overflowPunct w:val="false"/>
      <w:spacing w:lineRule="atLeast" w:line="280" w:before="0" w:after="280"/>
      <w:ind w:left="2608" w:hanging="0"/>
      <w:textAlignment w:val="auto"/>
    </w:pPr>
    <w:rPr>
      <w:rFonts w:ascii="Arial" w:hAnsi="Arial" w:eastAsia="Calibri" w:eastAsiaTheme="minorHAnsi"/>
      <w:sz w:val="22"/>
    </w:rPr>
  </w:style>
  <w:style w:type="paragraph" w:styleId="ListParagraph">
    <w:name w:val="List Paragraph"/>
    <w:basedOn w:val="Normal"/>
    <w:link w:val="OdstavekseznamaZnak"/>
    <w:uiPriority w:val="34"/>
    <w:qFormat/>
    <w:rsid w:val="00162b43"/>
    <w:pPr>
      <w:overflowPunct w:val="false"/>
      <w:spacing w:lineRule="atLeast" w:line="280" w:before="0" w:after="0"/>
      <w:ind w:left="720" w:hanging="0"/>
      <w:contextualSpacing/>
      <w:textAlignment w:val="auto"/>
    </w:pPr>
    <w:rPr>
      <w:rFonts w:ascii="Arial" w:hAnsi="Arial" w:eastAsia="Calibri" w:eastAsiaTheme="minorHAnsi"/>
      <w:sz w:val="22"/>
    </w:rPr>
  </w:style>
  <w:style w:type="paragraph" w:styleId="Otsikko11" w:customStyle="1">
    <w:name w:val="Otsikko 11"/>
    <w:basedOn w:val="Normaali1"/>
    <w:next w:val="Paragraph"/>
    <w:qFormat/>
    <w:rsid w:val="00162b43"/>
    <w:pPr>
      <w:keepNext w:val="true"/>
      <w:spacing w:before="240" w:after="120"/>
      <w:outlineLvl w:val="0"/>
    </w:pPr>
    <w:rPr>
      <w:rFonts w:cs="Arial"/>
      <w:b/>
      <w:kern w:val="2"/>
    </w:rPr>
  </w:style>
  <w:style w:type="paragraph" w:styleId="Normaali1" w:customStyle="1">
    <w:name w:val="Normaali1"/>
    <w:qFormat/>
    <w:rsid w:val="00162b43"/>
    <w:pPr>
      <w:widowControl/>
      <w:suppressAutoHyphens w:val="true"/>
      <w:bidi w:val="0"/>
      <w:spacing w:lineRule="atLeast" w:line="280" w:before="0" w:after="0"/>
      <w:jc w:val="left"/>
      <w:textAlignment w:val="baseline"/>
    </w:pPr>
    <w:rPr>
      <w:rFonts w:ascii="Arial" w:hAnsi="Arial" w:eastAsia="Arial" w:cs="Times New Roman"/>
      <w:color w:val="auto"/>
      <w:kern w:val="0"/>
      <w:sz w:val="22"/>
      <w:szCs w:val="20"/>
      <w:lang w:val="sl-SI" w:eastAsia="zh-CN" w:bidi="ar-SA"/>
    </w:rPr>
  </w:style>
  <w:style w:type="paragraph" w:styleId="Luettelokappale1" w:customStyle="1">
    <w:name w:val="Luettelokappale1"/>
    <w:basedOn w:val="Normaali1"/>
    <w:qFormat/>
    <w:rsid w:val="00162b43"/>
    <w:pPr>
      <w:suppressAutoHyphens w:val="false"/>
      <w:ind w:left="720" w:hanging="0"/>
    </w:pPr>
    <w:rPr>
      <w:rFonts w:cs="Angsana New"/>
    </w:rPr>
  </w:style>
  <w:style w:type="paragraph" w:styleId="Leipteksti1" w:customStyle="1">
    <w:name w:val="Leipäteksti1"/>
    <w:basedOn w:val="Normaali1"/>
    <w:qFormat/>
    <w:rsid w:val="00162b43"/>
    <w:pPr>
      <w:spacing w:before="0" w:after="120"/>
    </w:pPr>
    <w:rPr/>
  </w:style>
  <w:style w:type="paragraph" w:styleId="Yleisetsopehdot" w:customStyle="1">
    <w:name w:val="Yleiset sop. ehdot"/>
    <w:basedOn w:val="Leipteksti1"/>
    <w:qFormat/>
    <w:rsid w:val="00162b43"/>
    <w:pPr>
      <w:suppressAutoHyphens w:val="false"/>
      <w:overflowPunct w:val="true"/>
      <w:spacing w:lineRule="auto" w:line="240" w:before="20" w:after="20"/>
    </w:pPr>
    <w:rPr>
      <w:rFonts w:eastAsia="Times New Roman"/>
      <w:sz w:val="16"/>
    </w:rPr>
  </w:style>
  <w:style w:type="paragraph" w:styleId="Annotationtext">
    <w:name w:val="annotation text"/>
    <w:basedOn w:val="Normal"/>
    <w:link w:val="PripombabesediloZnak"/>
    <w:qFormat/>
    <w:rsid w:val="00c854e0"/>
    <w:pPr/>
    <w:rPr/>
  </w:style>
  <w:style w:type="paragraph" w:styleId="Annotationsubject">
    <w:name w:val="annotation subject"/>
    <w:basedOn w:val="Annotationtext"/>
    <w:next w:val="Annotationtext"/>
    <w:link w:val="ZadevapripombeZnak"/>
    <w:qFormat/>
    <w:rsid w:val="00c854e0"/>
    <w:pPr/>
    <w:rPr>
      <w:b/>
    </w:rPr>
  </w:style>
  <w:style w:type="paragraph" w:styleId="Revision">
    <w:name w:val="Revision"/>
    <w:uiPriority w:val="99"/>
    <w:semiHidden/>
    <w:qFormat/>
    <w:rsid w:val="00d87d5f"/>
    <w:pPr>
      <w:widowControl/>
      <w:bidi w:val="0"/>
      <w:spacing w:before="0" w:after="0"/>
      <w:jc w:val="left"/>
    </w:pPr>
    <w:rPr>
      <w:rFonts w:ascii="Times New Roman" w:hAnsi="Times New Roman" w:eastAsia="Times New Roman" w:cs="Times New Roman"/>
      <w:color w:val="auto"/>
      <w:kern w:val="0"/>
      <w:sz w:val="20"/>
      <w:szCs w:val="20"/>
      <w:lang w:val="sl-SI" w:eastAsia="zh-CN" w:bidi="ar-SA"/>
    </w:rPr>
  </w:style>
  <w:style w:type="paragraph" w:styleId="P68B1DB1Normal1" w:customStyle="1">
    <w:name w:val="P68B1DB1-Normal1"/>
    <w:basedOn w:val="Normal"/>
    <w:qFormat/>
    <w:pPr/>
    <w:rPr>
      <w:rFonts w:ascii="Arial" w:hAnsi="Arial" w:cs="Arial"/>
      <w:sz w:val="16"/>
      <w:highlight w:val="yellow"/>
    </w:rPr>
  </w:style>
  <w:style w:type="paragraph" w:styleId="P68B1DB1Normal2" w:customStyle="1">
    <w:name w:val="P68B1DB1-Normal2"/>
    <w:basedOn w:val="Normal"/>
    <w:qFormat/>
    <w:pPr/>
    <w:rPr>
      <w:rFonts w:ascii="Arial" w:hAnsi="Arial" w:cs="Arial"/>
      <w:sz w:val="14"/>
      <w:highlight w:val="yellow"/>
    </w:rPr>
  </w:style>
  <w:style w:type="paragraph" w:styleId="P68B1DB1BodyText3" w:customStyle="1">
    <w:name w:val="P68B1DB1-BodyText3"/>
    <w:basedOn w:val="TextBody"/>
    <w:qFormat/>
    <w:pPr/>
    <w:rPr>
      <w:rFonts w:ascii="Arial" w:hAnsi="Arial" w:cs="Arial"/>
      <w:sz w:val="14"/>
      <w:highlight w:val="yellow"/>
    </w:rPr>
  </w:style>
  <w:style w:type="paragraph" w:styleId="P68B1DB1Normal4" w:customStyle="1">
    <w:name w:val="P68B1DB1-Normal4"/>
    <w:basedOn w:val="Normal"/>
    <w:qFormat/>
    <w:pPr/>
    <w:rPr>
      <w:rFonts w:ascii="Arial" w:hAnsi="Arial" w:eastAsia="Arial" w:cs="Arial"/>
      <w:b/>
      <w:color w:val="FFFFFF" w:themeColor="background1"/>
      <w:sz w:val="18"/>
      <w:highlight w:val="yellow"/>
    </w:rPr>
  </w:style>
  <w:style w:type="paragraph" w:styleId="P68B1DB1Normal5" w:customStyle="1">
    <w:name w:val="P68B1DB1-Normal5"/>
    <w:basedOn w:val="Normal"/>
    <w:qFormat/>
    <w:pPr/>
    <w:rPr>
      <w:rFonts w:ascii="Arial" w:hAnsi="Arial" w:eastAsia="Arial" w:cs="Arial"/>
      <w:sz w:val="18"/>
      <w:highlight w:val="yellow"/>
    </w:rPr>
  </w:style>
  <w:style w:type="paragraph" w:styleId="P68B1DB1Normal6" w:customStyle="1">
    <w:name w:val="P68B1DB1-Normal6"/>
    <w:basedOn w:val="Normal"/>
    <w:qFormat/>
    <w:pPr/>
    <w:rPr>
      <w:rFonts w:ascii="Arial" w:hAnsi="Arial" w:cs="Arial"/>
      <w:sz w:val="18"/>
      <w:highlight w:val="yellow"/>
    </w:rPr>
  </w:style>
  <w:style w:type="paragraph" w:styleId="P68B1DB1BodyTextIndent27" w:customStyle="1">
    <w:name w:val="P68B1DB1-BodyTextIndent27"/>
    <w:basedOn w:val="BodyTextIndent2"/>
    <w:qFormat/>
    <w:pPr/>
    <w:rPr>
      <w:rFonts w:ascii="Arial" w:hAnsi="Arial" w:cs="Arial"/>
      <w:sz w:val="14"/>
      <w:highlight w:val="yellow"/>
    </w:rPr>
  </w:style>
  <w:style w:type="paragraph" w:styleId="P68B1DB1BodyText28" w:customStyle="1">
    <w:name w:val="P68B1DB1-BodyText28"/>
    <w:basedOn w:val="BodyText2"/>
    <w:qFormat/>
    <w:pPr/>
    <w:rPr>
      <w:rFonts w:ascii="Arial" w:hAnsi="Arial" w:cs="Arial"/>
      <w:sz w:val="14"/>
      <w:highlight w:val="yellow"/>
    </w:rPr>
  </w:style>
  <w:style w:type="paragraph" w:styleId="P68B1DB1BodyText29" w:customStyle="1">
    <w:name w:val="P68B1DB1-BodyText29"/>
    <w:basedOn w:val="BodyText2"/>
    <w:qFormat/>
    <w:pPr/>
    <w:rPr>
      <w:rFonts w:ascii="Arial" w:hAnsi="Arial" w:cs="Arial"/>
      <w:b/>
      <w:sz w:val="14"/>
      <w:highlight w:val="yellow"/>
    </w:rPr>
  </w:style>
  <w:style w:type="paragraph" w:styleId="P68B1DB1Header10" w:customStyle="1">
    <w:name w:val="P68B1DB1-Header10"/>
    <w:basedOn w:val="Header"/>
    <w:qFormat/>
    <w:pPr/>
    <w:rPr>
      <w:rFonts w:ascii="Arial" w:hAnsi="Arial" w:cs="Arial"/>
      <w:sz w:val="14"/>
      <w:highlight w:val="yellow"/>
    </w:rPr>
  </w:style>
  <w:style w:type="paragraph" w:styleId="P68B1DB1Footer11" w:customStyle="1">
    <w:name w:val="P68B1DB1-Footer11"/>
    <w:basedOn w:val="Footer"/>
    <w:qFormat/>
    <w:pPr/>
    <w:rPr>
      <w:rFonts w:ascii="Verdana" w:hAnsi="Verdana"/>
      <w:sz w:val="14"/>
    </w:rPr>
  </w:style>
  <w:style w:type="paragraph" w:styleId="Otsikko1" w:customStyle="1">
    <w:name w:val="Otsikko 1"/>
    <w:basedOn w:val="Normal"/>
    <w:next w:val="Normal"/>
    <w:qFormat/>
    <w:rsid w:val="00d31cca"/>
    <w:pPr>
      <w:keepNext w:val="true"/>
      <w:suppressAutoHyphens w:val="true"/>
      <w:overflowPunct w:val="false"/>
      <w:spacing w:lineRule="atLeast" w:line="280" w:before="240" w:after="120"/>
      <w:outlineLvl w:val="0"/>
    </w:pPr>
    <w:rPr>
      <w:rFonts w:ascii="Arial" w:hAnsi="Arial" w:eastAsia="Calibri" w:cs="Arial" w:eastAsiaTheme="minorHAnsi"/>
      <w:b/>
      <w:kern w:val="2"/>
      <w:sz w:val="22"/>
      <w:szCs w:val="32"/>
    </w:rPr>
  </w:style>
  <w:style w:type="paragraph" w:styleId="Tevilenje" w:customStyle="1">
    <w:name w:val="Številčenje"/>
    <w:basedOn w:val="ListParagraph"/>
    <w:link w:val="TevilenjeZnak"/>
    <w:qFormat/>
    <w:rsid w:val="00e13695"/>
    <w:pPr>
      <w:numPr>
        <w:ilvl w:val="0"/>
        <w:numId w:val="11"/>
      </w:numPr>
      <w:tabs>
        <w:tab w:val="clear" w:pos="1304"/>
        <w:tab w:val="left" w:pos="426" w:leader="none"/>
      </w:tabs>
      <w:spacing w:lineRule="atLeast" w:line="20"/>
    </w:pPr>
    <w:rPr>
      <w:rFonts w:ascii="Calibri" w:hAnsi="Calibri" w:cs="Calibri"/>
      <w:b/>
      <w:bCs/>
      <w:color w:val="003F72"/>
      <w:sz w:val="10"/>
      <w:szCs w:val="10"/>
      <w:lang w:eastAsia="en-US"/>
    </w:rPr>
  </w:style>
  <w:style w:type="paragraph" w:styleId="NormalWeb">
    <w:name w:val="Normal (Web)"/>
    <w:basedOn w:val="Normal"/>
    <w:qFormat/>
    <w:rsid w:val="000e34a4"/>
    <w:pPr/>
    <w:rPr>
      <w:sz w:val="24"/>
      <w:szCs w:val="24"/>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Navadnatabela">
    <w:name w:val="Normal Table"/>
    <w:uiPriority w:val="99"/>
    <w:semiHidden/>
    <w:unhideWhenUsed/>
    <w:tblPr>
      <w:tblCellMar>
        <w:top w:w="0" w:type="dxa"/>
        <w:left w:w="108" w:type="dxa"/>
        <w:bottom w:w="0" w:type="dxa"/>
        <w:right w:w="108" w:type="dxa"/>
      </w:tblCellMar>
    </w:tblPr>
  </w:style>
  <w:style w:type="table" w:styleId="Tabelamrea">
    <w:name w:val="Table Grid"/>
    <w:basedOn w:val="Navadnatabela"/>
    <w:rsid w:val="006479a8"/>
    <w:pPr>
      <w:spacing w:line="280" w:lineRule="atLeast"/>
    </w:pPr>
    <w:rPr>
      <w:rFonts w:eastAsiaTheme="minorHAns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yperlink" Target="http://www.lindstromgroup.com/" TargetMode="External"/><Relationship Id="rId5" Type="http://schemas.openxmlformats.org/officeDocument/2006/relationships/header" Target="header2.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Relationship Id="rId15" Type="http://schemas.openxmlformats.org/officeDocument/2006/relationships/customXml" Target="../customXml/item5.xml"/>
</Relationships>
</file>

<file path=word/_rels/footer1.xml.rels><?xml version="1.0" encoding="UTF-8"?>
<Relationships xmlns="http://schemas.openxmlformats.org/package/2006/relationships"><Relationship Id="rId1" Type="http://schemas.openxmlformats.org/officeDocument/2006/relationships/hyperlink" Target="mailto:pisarna.slovenia@lindstromgroup.com" TargetMode="External"/>
</Relationships>
</file>

<file path=word/_rels/footer2.xml.rels><?xml version="1.0" encoding="UTF-8"?>
<Relationships xmlns="http://schemas.openxmlformats.org/package/2006/relationships"><Relationship Id="rId1" Type="http://schemas.openxmlformats.org/officeDocument/2006/relationships/hyperlink" Target="mailto:pisarna.slovenia@lindstromgroup.com" TargetMode="Externa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57E2EAA1D359054D8E1BD00A2BFC0854" ma:contentTypeVersion="19" ma:contentTypeDescription="Ustvari nov dokument." ma:contentTypeScope="" ma:versionID="b3833c320da72dd7bd6ef663c0d9c613">
  <xsd:schema xmlns:xsd="http://www.w3.org/2001/XMLSchema" xmlns:xs="http://www.w3.org/2001/XMLSchema" xmlns:p="http://schemas.microsoft.com/office/2006/metadata/properties" xmlns:ns2="1025b558-8232-4a20-8ce6-6383ee779ad5" xmlns:ns3="4f93889f-521a-4e67-babf-05a8a6b80001" xmlns:ns4="a3bd3d73-b7ae-45c4-973d-f8553c740cd6" targetNamespace="http://schemas.microsoft.com/office/2006/metadata/properties" ma:root="true" ma:fieldsID="d581a28392958746d16256882c3d9444" ns2:_="" ns3:_="" ns4:_="">
    <xsd:import namespace="1025b558-8232-4a20-8ce6-6383ee779ad5"/>
    <xsd:import namespace="4f93889f-521a-4e67-babf-05a8a6b80001"/>
    <xsd:import namespace="a3bd3d73-b7ae-45c4-973d-f8553c740cd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4:TaxCatchAll"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25b558-8232-4a20-8ce6-6383ee779a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Oznake slike" ma:readOnly="false" ma:fieldId="{5cf76f15-5ced-4ddc-b409-7134ff3c332f}" ma:taxonomyMulti="true" ma:sspId="1f7992f0-8967-492e-8dae-cc8f388000c9" ma:termSetId="09814cd3-568e-fe90-9814-8d621ff8fb84" ma:anchorId="fba54fb3-c3e1-fe81-a776-ca4b69148c4d" ma:open="true" ma:isKeyword="false">
      <xsd:complexType>
        <xsd:sequence>
          <xsd:element ref="pc:Terms" minOccurs="0" maxOccurs="1"/>
        </xsd:sequence>
      </xsd:complexType>
    </xsd:element>
    <xsd:element name="MediaLengthInSeconds" ma:index="25" nillable="true" ma:displayName="MediaLengthInSeconds" ma:hidden="true" ma:internalName="MediaLengthInSeconds" ma:readOnly="true">
      <xsd:simpleType>
        <xsd:restriction base="dms:Unknow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93889f-521a-4e67-babf-05a8a6b80001" elementFormDefault="qualified">
    <xsd:import namespace="http://schemas.microsoft.com/office/2006/documentManagement/types"/>
    <xsd:import namespace="http://schemas.microsoft.com/office/infopath/2007/PartnerControls"/>
    <xsd:element name="SharedWithUsers" ma:index="20" nillable="true" ma:displayName="V skupni rabi z"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V skupni rabi s podrobnostm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3bd3d73-b7ae-45c4-973d-f8553c740cd6"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bbc172c0-ab10-43b7-8e5d-5c7c7d2ed993}" ma:internalName="TaxCatchAll" ma:showField="CatchAllData" ma:web="4f93889f-521a-4e67-babf-05a8a6b8000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vsebine"/>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4f93889f-521a-4e67-babf-05a8a6b80001">
      <UserInfo>
        <DisplayName>Stoian Adriana</DisplayName>
        <AccountId>2198</AccountId>
        <AccountType/>
      </UserInfo>
      <UserInfo>
        <DisplayName>Niculescu-Stanciu Catalin</DisplayName>
        <AccountId>1264</AccountId>
        <AccountType/>
      </UserInfo>
      <UserInfo>
        <DisplayName>Neatu Luiza</DisplayName>
        <AccountId>1713</AccountId>
        <AccountType/>
      </UserInfo>
    </SharedWithUsers>
    <lcf76f155ced4ddcb4097134ff3c332f xmlns="1025b558-8232-4a20-8ce6-6383ee779ad5">
      <Terms xmlns="http://schemas.microsoft.com/office/infopath/2007/PartnerControls"/>
    </lcf76f155ced4ddcb4097134ff3c332f>
    <TaxCatchAll xmlns="a3bd3d73-b7ae-45c4-973d-f8553c740cd6"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4BBA29-87A9-4646-8DED-8BEE09F4CFFD}">
  <ds:schemaRefs>
    <ds:schemaRef ds:uri="http://schemas.microsoft.com/office/2006/metadata/longProperties"/>
  </ds:schemaRefs>
</ds:datastoreItem>
</file>

<file path=customXml/itemProps2.xml><?xml version="1.0" encoding="utf-8"?>
<ds:datastoreItem xmlns:ds="http://schemas.openxmlformats.org/officeDocument/2006/customXml" ds:itemID="{A3F71C1D-EC09-4F9B-A5A2-5A9340CB4514}">
  <ds:schemaRefs>
    <ds:schemaRef ds:uri="http://schemas.microsoft.com/sharepoint/v3/contenttype/forms"/>
  </ds:schemaRefs>
</ds:datastoreItem>
</file>

<file path=customXml/itemProps3.xml><?xml version="1.0" encoding="utf-8"?>
<ds:datastoreItem xmlns:ds="http://schemas.openxmlformats.org/officeDocument/2006/customXml" ds:itemID="{7A387EF1-2A8B-4FCE-820F-3DB2BEAAD9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25b558-8232-4a20-8ce6-6383ee779ad5"/>
    <ds:schemaRef ds:uri="4f93889f-521a-4e67-babf-05a8a6b80001"/>
    <ds:schemaRef ds:uri="a3bd3d73-b7ae-45c4-973d-f8553c740c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7B8F1DA-7268-4B3F-8C60-894AD7A89963}">
  <ds:schemaRefs>
    <ds:schemaRef ds:uri="http://schemas.microsoft.com/office/2006/metadata/properties"/>
    <ds:schemaRef ds:uri="http://schemas.microsoft.com/office/infopath/2007/PartnerControls"/>
    <ds:schemaRef ds:uri="4f93889f-521a-4e67-babf-05a8a6b80001"/>
    <ds:schemaRef ds:uri="1025b558-8232-4a20-8ce6-6383ee779ad5"/>
    <ds:schemaRef ds:uri="a3bd3d73-b7ae-45c4-973d-f8553c740cd6"/>
  </ds:schemaRefs>
</ds:datastoreItem>
</file>

<file path=customXml/itemProps5.xml><?xml version="1.0" encoding="utf-8"?>
<ds:datastoreItem xmlns:ds="http://schemas.openxmlformats.org/officeDocument/2006/customXml" ds:itemID="{F3934BA9-17CF-5940-8F29-21EBA124B4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SPWIN97</Template>
  <TotalTime>19184</TotalTime>
  <Application>LibreOffice/7.3.7.2$Linux_X86_64 LibreOffice_project/30$Build-2</Application>
  <AppVersion>15.0000</AppVersion>
  <Pages>4</Pages>
  <Words>3406</Words>
  <Characters>19688</Characters>
  <CharactersWithSpaces>22934</CharactersWithSpaces>
  <Paragraphs>244</Paragraphs>
  <Company>Lindström Oy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2025-06-24T07:20:00Z</dcterms:created>
  <dc:creator>Lindström</dc:creator>
  <dc:description/>
  <dc:language>sl-SI</dc:language>
  <cp:lastModifiedBy/>
  <cp:lastPrinted>2025-12-03T09:50:00Z</cp:lastPrinted>
  <dcterms:modified xsi:type="dcterms:W3CDTF">2026-01-16T01:14:05Z</dcterms:modified>
  <cp:revision>275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0x01010057E2EAA1D359054D8E1BD00A2BFC0854</vt:lpwstr>
  </property>
  <property fmtid="{D5CDD505-2E9C-101B-9397-08002B2CF9AE}" pid="4" name="GrammarlyDocumentId">
    <vt:lpwstr>422f6a19-a924-46a9-b0be-4dc6951fe147</vt:lpwstr>
  </property>
  <property fmtid="{D5CDD505-2E9C-101B-9397-08002B2CF9AE}" pid="5" name="Lindstrom document type">
    <vt:lpwstr/>
  </property>
  <property fmtid="{D5CDD505-2E9C-101B-9397-08002B2CF9AE}" pid="6" name="Lindstrom process">
    <vt:lpwstr>303;#Idea to Service|4c1f7a57-9ead-4f43-8c81-7e3852a8eb11;#302;#Guidelines|49e8e96c-354a-487b-90ea-8356512dc526;#208;#MAS|ec940a2e-3414-40d6-93ff-2624f1dadde4</vt:lpwstr>
  </property>
  <property fmtid="{D5CDD505-2E9C-101B-9397-08002B2CF9AE}" pid="7" name="LindstromDocumentClass">
    <vt:lpwstr>612;#Sales|4648cd28-0db6-4ef7-aba7-1a3c3abd1fc5</vt:lpwstr>
  </property>
  <property fmtid="{D5CDD505-2E9C-101B-9397-08002B2CF9AE}" pid="8" name="LindstromDocumentContact">
    <vt:lpwstr>22;#Maritta.Eerikainen@lindstromgroup.com</vt:lpwstr>
  </property>
  <property fmtid="{D5CDD505-2E9C-101B-9397-08002B2CF9AE}" pid="9" name="LindstromDocumentCountry">
    <vt:lpwstr>2;#Global|89deb6e6-8f1b-4f84-bfc2-b2ad2d499a3c</vt:lpwstr>
  </property>
  <property fmtid="{D5CDD505-2E9C-101B-9397-08002B2CF9AE}" pid="10" name="LindstromMgmtDocNumber">
    <vt:lpwstr>632;#4004|9ce51dbb-e132-40fd-962f-20882b719e54</vt:lpwstr>
  </property>
  <property fmtid="{D5CDD505-2E9C-101B-9397-08002B2CF9AE}" pid="11" name="MediaServiceImageTags">
    <vt:lpwstr/>
  </property>
  <property fmtid="{D5CDD505-2E9C-101B-9397-08002B2CF9AE}" pid="12" name="OneLindstromCategory">
    <vt:lpwstr>303;#Idea to Service|4c1f7a57-9ead-4f43-8c81-7e3852a8eb11;#302;#Guidelines|49e8e96c-354a-487b-90ea-8356512dc526;#208;#MAS|ec940a2e-3414-40d6-93ff-2624f1dadde4</vt:lpwstr>
  </property>
  <property fmtid="{D5CDD505-2E9C-101B-9397-08002B2CF9AE}" pid="13" name="Order">
    <vt:r8>500</vt:r8>
  </property>
  <property fmtid="{D5CDD505-2E9C-101B-9397-08002B2CF9AE}" pid="14" name="SharedWithUsers">
    <vt:lpwstr>2198;#Stoian Adriana;#1264;#Niculescu-Stanciu Catalin;#1713;#Neatu Luiza</vt:lpwstr>
  </property>
  <property fmtid="{D5CDD505-2E9C-101B-9397-08002B2CF9AE}" pid="15" name="TaxKeyword">
    <vt:lpwstr/>
  </property>
  <property fmtid="{D5CDD505-2E9C-101B-9397-08002B2CF9AE}" pid="16" name="TaxKeywordTaxHTField">
    <vt:lpwstr/>
  </property>
  <property fmtid="{D5CDD505-2E9C-101B-9397-08002B2CF9AE}" pid="17" name="TemplateUrl">
    <vt:lpwstr/>
  </property>
  <property fmtid="{D5CDD505-2E9C-101B-9397-08002B2CF9AE}" pid="18" name="c895788ed34144788e6782c53d57e034">
    <vt:lpwstr>Idea to Service|4c1f7a57-9ead-4f43-8c81-7e3852a8eb11;Guidelines|49e8e96c-354a-487b-90ea-8356512dc526;MAS|ec940a2e-3414-40d6-93ff-2624f1dadde4</vt:lpwstr>
  </property>
  <property fmtid="{D5CDD505-2E9C-101B-9397-08002B2CF9AE}" pid="19" name="ca26edba49314a3fa4525bba21571dcc">
    <vt:lpwstr/>
  </property>
  <property fmtid="{D5CDD505-2E9C-101B-9397-08002B2CF9AE}" pid="20" name="d8b51ea67bde40a799822825bcc983a1">
    <vt:lpwstr>Internal|e051ee05-28a2-4ecb-bf90-91076858cfc2</vt:lpwstr>
  </property>
  <property fmtid="{D5CDD505-2E9C-101B-9397-08002B2CF9AE}" pid="21" name="display_urn:schemas-microsoft-com:office:office#Author">
    <vt:lpwstr>Eerikäinen Maritta</vt:lpwstr>
  </property>
  <property fmtid="{D5CDD505-2E9C-101B-9397-08002B2CF9AE}" pid="22" name="display_urn:schemas-microsoft-com:office:office#Editor">
    <vt:lpwstr>Eerikäinen Maritta</vt:lpwstr>
  </property>
  <property fmtid="{D5CDD505-2E9C-101B-9397-08002B2CF9AE}" pid="23" name="h947fad06f2f487ca2a50760c3b80156">
    <vt:lpwstr>Idea to Service|4c1f7a57-9ead-4f43-8c81-7e3852a8eb11;Guidelines|49e8e96c-354a-487b-90ea-8356512dc526;MAS|ec940a2e-3414-40d6-93ff-2624f1dadde4</vt:lpwstr>
  </property>
  <property fmtid="{D5CDD505-2E9C-101B-9397-08002B2CF9AE}" pid="24" name="k2f0aae5b4684dc08d0012ea15de48d7">
    <vt:lpwstr>Sales|4648cd28-0db6-4ef7-aba7-1a3c3abd1fc5</vt:lpwstr>
  </property>
  <property fmtid="{D5CDD505-2E9C-101B-9397-08002B2CF9AE}" pid="25" name="nea4cf0570374744a2570cc6272a44ff">
    <vt:lpwstr>4004|9ce51dbb-e132-40fd-962f-20882b719e54</vt:lpwstr>
  </property>
  <property fmtid="{D5CDD505-2E9C-101B-9397-08002B2CF9AE}" pid="26" name="p134264a9b4c401ab845b44cb883d6d4">
    <vt:lpwstr>Global|89deb6e6-8f1b-4f84-bfc2-b2ad2d499a3c</vt:lpwstr>
  </property>
  <property fmtid="{D5CDD505-2E9C-101B-9397-08002B2CF9AE}" pid="27" name="xd_ProgID">
    <vt:lpwstr/>
  </property>
  <property fmtid="{D5CDD505-2E9C-101B-9397-08002B2CF9AE}" pid="28" name="xd_Signature">
    <vt:bool>0</vt:bool>
  </property>
</Properties>
</file>