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ook w:firstColumn="1" w:firstRow="1" w:lastColumn="0" w:lastRow="0" w:noHBand="0" w:noVBand="1" w:val="04A0"/>
        <w:tblInd w:w="0" w:type="dxa"/>
        <w:tblLayout w:type="fixed"/>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1250"/>
        <w:gridCol w:w="8110"/>
      </w:tblGrid>
      <w:tr>
        <w:tc>
          <w:tcPr>
            <w:tcW w:type="dxa" w:w="1250"/>
            <w:tcMar>
              <w:top w:w="80" w:type="dxa"/>
              <w:start w:w="120" w:type="dxa"/>
              <w:bottom w:w="80" w:type="dxa"/>
              <w:end w:w="120" w:type="dxa"/>
            </w:tcMar>
            <w:vAlign w:val="center"/>
          </w:tcPr>
          <w:p>
            <w:r>
              <w:drawing>
                <wp:inline xmlns:a="http://schemas.openxmlformats.org/drawingml/2006/main" xmlns:pic="http://schemas.openxmlformats.org/drawingml/2006/picture">
                  <wp:extent cx="530352" cy="530352"/>
                  <wp:docPr id="1" name="Picture 1" descr="Ruminate flame logo" title="Ruminate logo"/>
                  <wp:cNvGraphicFramePr>
                    <a:graphicFrameLocks noChangeAspect="1"/>
                  </wp:cNvGraphicFramePr>
                  <a:graphic>
                    <a:graphicData uri="http://schemas.openxmlformats.org/drawingml/2006/picture">
                      <pic:pic>
                        <pic:nvPicPr>
                          <pic:cNvPr id="0" name="ruminate-logo.png"/>
                          <pic:cNvPicPr/>
                        </pic:nvPicPr>
                        <pic:blipFill>
                          <a:blip r:embed="rId11"/>
                          <a:stretch>
                            <a:fillRect/>
                          </a:stretch>
                        </pic:blipFill>
                        <pic:spPr>
                          <a:xfrm>
                            <a:off x="0" y="0"/>
                            <a:ext cx="530352" cy="530352"/>
                          </a:xfrm>
                          <a:prstGeom prst="rect"/>
                        </pic:spPr>
                      </pic:pic>
                    </a:graphicData>
                  </a:graphic>
                </wp:inline>
              </w:drawing>
            </w:r>
          </w:p>
        </w:tc>
        <w:tc>
          <w:tcPr>
            <w:tcW w:type="dxa" w:w="8110"/>
            <w:tcMar>
              <w:top w:w="80" w:type="dxa"/>
              <w:start w:w="120" w:type="dxa"/>
              <w:bottom w:w="80" w:type="dxa"/>
              <w:end w:w="120" w:type="dxa"/>
            </w:tcMar>
            <w:vAlign w:val="center"/>
          </w:tcPr>
          <w:p>
            <w:pPr>
              <w:spacing w:before="0" w:after="0" w:line="240" w:lineRule="auto"/>
              <w:jc w:val="left"/>
            </w:pPr>
            <w:r>
              <w:rPr>
                <w:rFonts w:ascii="Calibri" w:hAnsi="Calibri"/>
                <w:b/>
                <w:i w:val="0"/>
                <w:color w:val="1F2937"/>
                <w:sz w:val="40"/>
              </w:rPr>
              <w:t>Ruminate</w:t>
            </w:r>
          </w:p>
          <w:p>
            <w:pPr>
              <w:spacing w:before="0" w:after="0" w:line="240" w:lineRule="auto"/>
              <w:jc w:val="left"/>
            </w:pPr>
            <w:r>
              <w:rPr>
                <w:rFonts w:ascii="Calibri" w:hAnsi="Calibri"/>
                <w:b w:val="0"/>
                <w:i w:val="0"/>
                <w:color w:val="5B6470"/>
                <w:sz w:val="19"/>
              </w:rPr>
              <w:t>E-Cell IIIT Surat | Production platform support request</w:t>
            </w:r>
          </w:p>
        </w:tc>
      </w:tr>
    </w:tbl>
    <w:p>
      <w:pPr>
        <w:spacing w:after="40"/>
      </w:pPr>
    </w:p>
    <w:p>
      <w:pPr>
        <w:spacing w:before="40" w:after="40" w:line="240" w:lineRule="auto"/>
        <w:jc w:val="left"/>
      </w:pPr>
      <w:r>
        <w:rPr>
          <w:rFonts w:ascii="Calibri" w:hAnsi="Calibri"/>
          <w:b/>
          <w:i w:val="0"/>
          <w:color w:val="C2410C"/>
          <w:sz w:val="42"/>
        </w:rPr>
        <w:t>REQUEST FOR PRODUCTION PLATFORM &amp; TOOLING SUPPORT</w:t>
      </w:r>
    </w:p>
    <w:p>
      <w:pPr>
        <w:spacing w:before="0" w:after="200" w:line="240" w:lineRule="auto"/>
        <w:jc w:val="left"/>
        <w:pBdr>
          <w:bottom w:val="single" w:sz="18" w:space="1" w:color="F97316"/>
        </w:pBdr>
      </w:pPr>
    </w:p>
    <w:tbl>
      <w:tblPr>
        <w:tblW w:type="dxa" w:w="9360"/>
        <w:jc w:val="left"/>
        <w:tblLook w:firstColumn="1" w:firstRow="1" w:lastColumn="0" w:lastRow="0" w:noHBand="0" w:noVBand="1" w:val="04A0"/>
        <w:tblInd w:w="120" w:type="dxa"/>
        <w:tblLayout w:type="fixed"/>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500"/>
        <w:gridCol w:w="7860"/>
      </w:tblGrid>
      <w:tr>
        <w:tc>
          <w:tcPr>
            <w:tcW w:type="dxa" w:w="1500"/>
            <w:tcMar>
              <w:top w:w="80" w:type="dxa"/>
              <w:start w:w="120" w:type="dxa"/>
              <w:bottom w:w="80" w:type="dxa"/>
              <w:end w:w="120" w:type="dxa"/>
            </w:tcMar>
            <w:vAlign w:val="center"/>
            <w:shd w:fill="F7F8FA"/>
          </w:tcPr>
          <w:p>
            <w:pPr>
              <w:spacing w:before="0" w:after="0" w:line="264" w:lineRule="auto"/>
              <w:jc w:val="left"/>
            </w:pPr>
            <w:r>
              <w:rPr>
                <w:rFonts w:ascii="Calibri" w:hAnsi="Calibri"/>
                <w:b/>
                <w:i w:val="0"/>
                <w:color w:val="1F2937"/>
                <w:sz w:val="20"/>
              </w:rPr>
              <w:t>To</w:t>
            </w:r>
          </w:p>
        </w:tc>
        <w:tc>
          <w:tcPr>
            <w:tcW w:type="dxa" w:w="7860"/>
            <w:tcMar>
              <w:top w:w="80" w:type="dxa"/>
              <w:start w:w="120" w:type="dxa"/>
              <w:bottom w:w="80" w:type="dxa"/>
              <w:end w:w="120" w:type="dxa"/>
            </w:tcMar>
            <w:vAlign w:val="center"/>
          </w:tcPr>
          <w:p>
            <w:pPr>
              <w:spacing w:before="0" w:after="0" w:line="264" w:lineRule="auto"/>
              <w:jc w:val="left"/>
            </w:pPr>
            <w:r>
              <w:rPr>
                <w:rFonts w:ascii="Calibri" w:hAnsi="Calibri"/>
                <w:b w:val="0"/>
                <w:i w:val="0"/>
                <w:color w:val="1F2937"/>
                <w:sz w:val="20"/>
              </w:rPr>
              <w:t>[Recipient / Committee]</w:t>
            </w:r>
          </w:p>
        </w:tc>
      </w:tr>
      <w:tr>
        <w:tc>
          <w:tcPr>
            <w:tcW w:type="dxa" w:w="1500"/>
            <w:tcMar>
              <w:top w:w="80" w:type="dxa"/>
              <w:start w:w="120" w:type="dxa"/>
              <w:bottom w:w="80" w:type="dxa"/>
              <w:end w:w="120" w:type="dxa"/>
            </w:tcMar>
            <w:vAlign w:val="center"/>
            <w:shd w:fill="F7F8FA"/>
          </w:tcPr>
          <w:p>
            <w:pPr>
              <w:spacing w:before="0" w:after="0" w:line="264" w:lineRule="auto"/>
              <w:jc w:val="left"/>
            </w:pPr>
            <w:r>
              <w:rPr>
                <w:rFonts w:ascii="Calibri" w:hAnsi="Calibri"/>
                <w:b/>
                <w:i w:val="0"/>
                <w:color w:val="1F2937"/>
                <w:sz w:val="20"/>
              </w:rPr>
              <w:t>From</w:t>
            </w:r>
          </w:p>
        </w:tc>
        <w:tc>
          <w:tcPr>
            <w:tcW w:type="dxa" w:w="7860"/>
            <w:tcMar>
              <w:top w:w="80" w:type="dxa"/>
              <w:start w:w="120" w:type="dxa"/>
              <w:bottom w:w="80" w:type="dxa"/>
              <w:end w:w="120" w:type="dxa"/>
            </w:tcMar>
            <w:vAlign w:val="center"/>
          </w:tcPr>
          <w:p>
            <w:pPr>
              <w:spacing w:before="0" w:after="0" w:line="264" w:lineRule="auto"/>
              <w:jc w:val="left"/>
            </w:pPr>
            <w:r>
              <w:rPr>
                <w:rFonts w:ascii="Calibri" w:hAnsi="Calibri"/>
                <w:b w:val="0"/>
                <w:i w:val="0"/>
                <w:color w:val="1F2937"/>
                <w:sz w:val="20"/>
              </w:rPr>
              <w:t>[Your Name], E-Cell IIIT Surat Tech Team</w:t>
            </w:r>
          </w:p>
        </w:tc>
      </w:tr>
      <w:tr>
        <w:tc>
          <w:tcPr>
            <w:tcW w:type="dxa" w:w="1500"/>
            <w:tcMar>
              <w:top w:w="80" w:type="dxa"/>
              <w:start w:w="120" w:type="dxa"/>
              <w:bottom w:w="80" w:type="dxa"/>
              <w:end w:w="120" w:type="dxa"/>
            </w:tcMar>
            <w:vAlign w:val="center"/>
            <w:shd w:fill="F7F8FA"/>
          </w:tcPr>
          <w:p>
            <w:pPr>
              <w:spacing w:before="0" w:after="0" w:line="264" w:lineRule="auto"/>
              <w:jc w:val="left"/>
            </w:pPr>
            <w:r>
              <w:rPr>
                <w:rFonts w:ascii="Calibri" w:hAnsi="Calibri"/>
                <w:b/>
                <w:i w:val="0"/>
                <w:color w:val="1F2937"/>
                <w:sz w:val="20"/>
              </w:rPr>
              <w:t>Date</w:t>
            </w:r>
          </w:p>
        </w:tc>
        <w:tc>
          <w:tcPr>
            <w:tcW w:type="dxa" w:w="7860"/>
            <w:tcMar>
              <w:top w:w="80" w:type="dxa"/>
              <w:start w:w="120" w:type="dxa"/>
              <w:bottom w:w="80" w:type="dxa"/>
              <w:end w:w="120" w:type="dxa"/>
            </w:tcMar>
            <w:vAlign w:val="center"/>
          </w:tcPr>
          <w:p>
            <w:pPr>
              <w:spacing w:before="0" w:after="0" w:line="264" w:lineRule="auto"/>
              <w:jc w:val="left"/>
            </w:pPr>
            <w:r>
              <w:rPr>
                <w:rFonts w:ascii="Calibri" w:hAnsi="Calibri"/>
                <w:b w:val="0"/>
                <w:i w:val="0"/>
                <w:color w:val="1F2937"/>
                <w:sz w:val="20"/>
              </w:rPr>
              <w:t>3 September 2026</w:t>
            </w:r>
          </w:p>
        </w:tc>
      </w:tr>
      <w:tr>
        <w:tc>
          <w:tcPr>
            <w:tcW w:type="dxa" w:w="1500"/>
            <w:tcMar>
              <w:top w:w="80" w:type="dxa"/>
              <w:start w:w="120" w:type="dxa"/>
              <w:bottom w:w="80" w:type="dxa"/>
              <w:end w:w="120" w:type="dxa"/>
            </w:tcMar>
            <w:vAlign w:val="center"/>
            <w:shd w:fill="F7F8FA"/>
          </w:tcPr>
          <w:p>
            <w:pPr>
              <w:spacing w:before="0" w:after="0" w:line="264" w:lineRule="auto"/>
              <w:jc w:val="left"/>
            </w:pPr>
            <w:r>
              <w:rPr>
                <w:rFonts w:ascii="Calibri" w:hAnsi="Calibri"/>
                <w:b/>
                <w:i w:val="0"/>
                <w:color w:val="1F2937"/>
                <w:sz w:val="20"/>
              </w:rPr>
              <w:t>Subject</w:t>
            </w:r>
          </w:p>
        </w:tc>
        <w:tc>
          <w:tcPr>
            <w:tcW w:type="dxa" w:w="7860"/>
            <w:tcMar>
              <w:top w:w="80" w:type="dxa"/>
              <w:start w:w="120" w:type="dxa"/>
              <w:bottom w:w="80" w:type="dxa"/>
              <w:end w:w="120" w:type="dxa"/>
            </w:tcMar>
            <w:vAlign w:val="center"/>
          </w:tcPr>
          <w:p>
            <w:pPr>
              <w:spacing w:before="0" w:after="0" w:line="264" w:lineRule="auto"/>
              <w:jc w:val="left"/>
            </w:pPr>
            <w:r>
              <w:rPr>
                <w:rFonts w:ascii="Calibri" w:hAnsi="Calibri"/>
                <w:b w:val="0"/>
                <w:i w:val="0"/>
                <w:color w:val="1F2937"/>
                <w:sz w:val="20"/>
              </w:rPr>
              <w:t>Approval for paid infrastructure plans, Codex Premium, and domain renewal</w:t>
            </w:r>
          </w:p>
        </w:tc>
      </w:tr>
    </w:tbl>
    <w:p>
      <w:pPr>
        <w:spacing w:before="280" w:after="120" w:line="252" w:lineRule="auto"/>
        <w:jc w:val="left"/>
      </w:pPr>
      <w:r>
        <w:rPr>
          <w:rFonts w:ascii="Calibri" w:hAnsi="Calibri"/>
          <w:b/>
          <w:i w:val="0"/>
          <w:color w:val="C2410C"/>
          <w:sz w:val="32"/>
        </w:rPr>
        <w:t>Purpose</w:t>
      </w:r>
    </w:p>
    <w:p>
      <w:pPr>
        <w:spacing w:before="0" w:after="120" w:line="264" w:lineRule="auto"/>
        <w:jc w:val="left"/>
      </w:pPr>
      <w:r>
        <w:rPr>
          <w:rFonts w:ascii="Calibri" w:hAnsi="Calibri"/>
          <w:b w:val="0"/>
          <w:i w:val="0"/>
          <w:color w:val="1F2937"/>
          <w:sz w:val="22"/>
        </w:rPr>
        <w:t>We request approval for the paid services and renewal listed below so the E-Cell IIIT Surat technology team can operate a secure, reliable and maintainable digital platform for students, faculty and administrators.</w:t>
      </w:r>
    </w:p>
    <w:p>
      <w:pPr>
        <w:spacing w:before="280" w:after="120" w:line="252" w:lineRule="auto"/>
        <w:jc w:val="left"/>
      </w:pPr>
      <w:r>
        <w:rPr>
          <w:rFonts w:ascii="Calibri" w:hAnsi="Calibri"/>
          <w:b/>
          <w:i w:val="0"/>
          <w:color w:val="C2410C"/>
          <w:sz w:val="32"/>
        </w:rPr>
        <w:t>What the platform does</w:t>
      </w:r>
    </w:p>
    <w:p>
      <w:pPr>
        <w:spacing w:before="0" w:after="120" w:line="264" w:lineRule="auto"/>
        <w:jc w:val="left"/>
      </w:pPr>
      <w:r>
        <w:rPr>
          <w:rFonts w:ascii="Calibri" w:hAnsi="Calibri"/>
          <w:b w:val="0"/>
          <w:i w:val="0"/>
          <w:color w:val="1F2937"/>
          <w:sz w:val="22"/>
        </w:rPr>
        <w:t>Ruminate is the E-Cell IIIT Surat digital home for discovering opportunities, submitting ideas and applications, managing teams, attending workshops and industry visits, supporting SSIP/UdbhAV activities, reviewing submissions and tracking outcomes.</w:t>
      </w:r>
    </w:p>
    <w:p>
      <w:pPr>
        <w:spacing w:before="0" w:after="120" w:line="264" w:lineRule="auto"/>
        <w:jc w:val="left"/>
      </w:pPr>
      <w:r>
        <w:rPr>
          <w:rFonts w:ascii="Calibri" w:hAnsi="Calibri"/>
          <w:b w:val="0"/>
          <w:i w:val="0"/>
          <w:color w:val="1F2937"/>
          <w:sz w:val="22"/>
        </w:rPr>
        <w:t>The request covers the connected ecosystem - ecelliiitsurat.in, portal.ecelliiitsurat.in and teams.ecelliiitsurat.in - rather than a single website.</w:t>
      </w:r>
    </w:p>
    <w:p>
      <w:pPr>
        <w:spacing w:before="280" w:after="120" w:line="252" w:lineRule="auto"/>
        <w:jc w:val="left"/>
      </w:pPr>
      <w:r>
        <w:rPr>
          <w:rFonts w:ascii="Calibri" w:hAnsi="Calibri"/>
          <w:b/>
          <w:i w:val="0"/>
          <w:color w:val="C2410C"/>
          <w:sz w:val="32"/>
        </w:rPr>
        <w:t>Why paid plans matter</w:t>
      </w:r>
    </w:p>
    <w:p>
      <w:pPr>
        <w:spacing w:before="0" w:after="120" w:line="264" w:lineRule="auto"/>
        <w:jc w:val="left"/>
      </w:pPr>
      <w:r>
        <w:rPr>
          <w:rFonts w:ascii="Calibri" w:hAnsi="Calibri"/>
          <w:b w:val="0"/>
          <w:i w:val="0"/>
          <w:color w:val="1F2937"/>
          <w:sz w:val="22"/>
        </w:rPr>
        <w:t>The paid plans provide stronger deployment reliability, security controls, database capacity, monitoring and collaboration. They reduce launch risk during registrations and events, while keeping student data and operational workflows available to the E-Cell team.</w:t>
      </w:r>
    </w:p>
    <w:p>
      <w:pPr>
        <w:spacing w:before="280" w:after="120" w:line="252" w:lineRule="auto"/>
        <w:jc w:val="left"/>
      </w:pPr>
      <w:r>
        <w:rPr>
          <w:rFonts w:ascii="Calibri" w:hAnsi="Calibri"/>
          <w:b/>
          <w:i w:val="0"/>
          <w:color w:val="C2410C"/>
          <w:sz w:val="32"/>
        </w:rPr>
        <w:t>Requested plans and annual basis</w:t>
      </w:r>
    </w:p>
    <w:tbl>
      <w:tblPr>
        <w:tblW w:type="dxa" w:w="9360"/>
        <w:jc w:val="left"/>
        <w:tblLook w:firstColumn="1" w:firstRow="1" w:lastColumn="0" w:lastRow="0" w:noHBand="0" w:noVBand="1" w:val="04A0"/>
        <w:tblInd w:w="120" w:type="dxa"/>
        <w:tblLayout w:type="fixed"/>
        <w:tblBorders>
          <w:top w:val="single" w:sz="4" w:space="0" w:color="D9DEE5"/>
          <w:left w:val="single" w:sz="4" w:space="0" w:color="D9DEE5"/>
          <w:bottom w:val="single" w:sz="4" w:space="0" w:color="D9DEE5"/>
          <w:right w:val="single" w:sz="4" w:space="0" w:color="D9DEE5"/>
          <w:insideH w:val="single" w:sz="4" w:space="0" w:color="D9DEE5"/>
          <w:insideV w:val="single" w:sz="4" w:space="0" w:color="D9DEE5"/>
        </w:tblBorders>
      </w:tblPr>
      <w:tblGrid>
        <w:gridCol w:w="1650"/>
        <w:gridCol w:w="1850"/>
        <w:gridCol w:w="3900"/>
        <w:gridCol w:w="1960"/>
      </w:tblGrid>
      <w:tr>
        <w:trPr>
          <w:tblHeader/>
        </w:trPr>
        <w:tc>
          <w:tcPr>
            <w:tcW w:type="dxa" w:w="1650"/>
            <w:tcMar>
              <w:top w:w="80" w:type="dxa"/>
              <w:start w:w="120" w:type="dxa"/>
              <w:bottom w:w="80" w:type="dxa"/>
              <w:end w:w="120" w:type="dxa"/>
            </w:tcMar>
            <w:vAlign w:val="center"/>
            <w:shd w:fill="FFF3E8"/>
          </w:tcPr>
          <w:p>
            <w:pPr>
              <w:spacing w:before="0" w:after="0" w:line="240" w:lineRule="auto"/>
              <w:jc w:val="left"/>
            </w:pPr>
            <w:r>
              <w:rPr>
                <w:rFonts w:ascii="Calibri" w:hAnsi="Calibri"/>
                <w:b/>
                <w:i w:val="0"/>
                <w:color w:val="C2410C"/>
                <w:sz w:val="18"/>
              </w:rPr>
              <w:t>Service</w:t>
            </w:r>
          </w:p>
        </w:tc>
        <w:tc>
          <w:tcPr>
            <w:tcW w:type="dxa" w:w="1850"/>
            <w:tcMar>
              <w:top w:w="80" w:type="dxa"/>
              <w:start w:w="120" w:type="dxa"/>
              <w:bottom w:w="80" w:type="dxa"/>
              <w:end w:w="120" w:type="dxa"/>
            </w:tcMar>
            <w:vAlign w:val="center"/>
            <w:shd w:fill="FFF3E8"/>
          </w:tcPr>
          <w:p>
            <w:pPr>
              <w:spacing w:before="0" w:after="0" w:line="240" w:lineRule="auto"/>
              <w:jc w:val="left"/>
            </w:pPr>
            <w:r>
              <w:rPr>
                <w:rFonts w:ascii="Calibri" w:hAnsi="Calibri"/>
                <w:b/>
                <w:i w:val="0"/>
                <w:color w:val="C2410C"/>
                <w:sz w:val="18"/>
              </w:rPr>
              <w:t>Plan / annual basis</w:t>
            </w:r>
          </w:p>
        </w:tc>
        <w:tc>
          <w:tcPr>
            <w:tcW w:type="dxa" w:w="3900"/>
            <w:tcMar>
              <w:top w:w="80" w:type="dxa"/>
              <w:start w:w="120" w:type="dxa"/>
              <w:bottom w:w="80" w:type="dxa"/>
              <w:end w:w="120" w:type="dxa"/>
            </w:tcMar>
            <w:vAlign w:val="center"/>
            <w:shd w:fill="FFF3E8"/>
          </w:tcPr>
          <w:p>
            <w:pPr>
              <w:spacing w:before="0" w:after="0" w:line="240" w:lineRule="auto"/>
              <w:jc w:val="left"/>
            </w:pPr>
            <w:r>
              <w:rPr>
                <w:rFonts w:ascii="Calibri" w:hAnsi="Calibri"/>
                <w:b/>
                <w:i w:val="0"/>
                <w:color w:val="C2410C"/>
                <w:sz w:val="18"/>
              </w:rPr>
              <w:t>What it provides</w:t>
            </w:r>
          </w:p>
        </w:tc>
        <w:tc>
          <w:tcPr>
            <w:tcW w:type="dxa" w:w="1960"/>
            <w:tcMar>
              <w:top w:w="80" w:type="dxa"/>
              <w:start w:w="120" w:type="dxa"/>
              <w:bottom w:w="80" w:type="dxa"/>
              <w:end w:w="120" w:type="dxa"/>
            </w:tcMar>
            <w:vAlign w:val="center"/>
            <w:shd w:fill="FFF3E8"/>
          </w:tcPr>
          <w:p>
            <w:pPr>
              <w:spacing w:before="0" w:after="0" w:line="240" w:lineRule="auto"/>
              <w:jc w:val="left"/>
            </w:pPr>
            <w:r>
              <w:rPr>
                <w:rFonts w:ascii="Calibri" w:hAnsi="Calibri"/>
                <w:b/>
                <w:i w:val="0"/>
                <w:color w:val="C2410C"/>
                <w:sz w:val="18"/>
              </w:rPr>
              <w:t>Request</w:t>
            </w:r>
          </w:p>
        </w:tc>
      </w:tr>
      <w:tr>
        <w:tc>
          <w:tcPr>
            <w:tcW w:type="dxa" w:w="1650"/>
            <w:shd w:fill="F7F8FA"/>
          </w:tcPr>
          <w:p>
            <w:pPr>
              <w:spacing w:before="0" w:after="0" w:line="240" w:lineRule="auto"/>
              <w:jc w:val="left"/>
            </w:pPr>
            <w:r>
              <w:rPr>
                <w:rFonts w:ascii="Calibri" w:hAnsi="Calibri"/>
                <w:b/>
                <w:i w:val="0"/>
                <w:color w:val="1F2937"/>
                <w:sz w:val="18"/>
              </w:rPr>
              <w:t>Vercel</w:t>
            </w:r>
          </w:p>
        </w:tc>
        <w:tc>
          <w:tcPr>
            <w:tcW w:type="dxa" w:w="1850"/>
          </w:tcPr>
          <w:p>
            <w:pPr>
              <w:spacing w:after="0" w:line="240" w:lineRule="auto"/>
            </w:pPr>
            <w:r>
              <w:rPr>
                <w:rFonts w:ascii="Calibri" w:hAnsi="Calibri"/>
                <w:sz w:val="17"/>
              </w:rPr>
              <w:t>Pro</w:t>
              <w:br/>
              <w:t>$20/month = $240/year</w:t>
              <w:br/>
              <w:t>≈ ₹1,900/month = ₹22,800/year</w:t>
              <w:br/>
              <w:t>(1 paid deploying seat)</w:t>
            </w:r>
          </w:p>
        </w:tc>
        <w:tc>
          <w:tcPr>
            <w:tcW w:type="dxa" w:w="3900"/>
          </w:tcPr>
          <w:p>
            <w:pPr>
              <w:spacing w:after="0" w:line="240" w:lineRule="auto"/>
            </w:pPr>
            <w:r>
              <w:rPr>
                <w:rFonts w:ascii="Calibri" w:hAnsi="Calibri"/>
                <w:sz w:val="17"/>
              </w:rPr>
              <w:t>Production deployment, automatic previews, faster builds, team collaboration, 1 TB transfer, 10M edge requests and $20 monthly usage credit (≈ ₹1,900).</w:t>
            </w:r>
          </w:p>
        </w:tc>
        <w:tc>
          <w:tcPr>
            <w:tcW w:type="dxa" w:w="1960"/>
          </w:tcPr>
          <w:p>
            <w:pPr>
              <w:spacing w:before="0" w:after="0" w:line="240" w:lineRule="auto"/>
              <w:jc w:val="left"/>
            </w:pPr>
            <w:r>
              <w:rPr>
                <w:rFonts w:ascii="Calibri" w:hAnsi="Calibri"/>
                <w:b w:val="0"/>
                <w:i w:val="0"/>
                <w:color w:val="1F2937"/>
                <w:sz w:val="17"/>
              </w:rPr>
              <w:t>Approve 1 Pro seat for the production team.</w:t>
            </w:r>
          </w:p>
        </w:tc>
      </w:tr>
      <w:tr>
        <w:tc>
          <w:tcPr>
            <w:tcW w:type="dxa" w:w="1650"/>
            <w:shd w:fill="F7F8FA"/>
          </w:tcPr>
          <w:p>
            <w:pPr>
              <w:spacing w:before="0" w:after="0" w:line="240" w:lineRule="auto"/>
              <w:jc w:val="left"/>
            </w:pPr>
            <w:r>
              <w:rPr>
                <w:rFonts w:ascii="Calibri" w:hAnsi="Calibri"/>
                <w:b/>
                <w:i w:val="0"/>
                <w:color w:val="1F2937"/>
                <w:sz w:val="18"/>
              </w:rPr>
              <w:t>Cloudflare</w:t>
            </w:r>
          </w:p>
        </w:tc>
        <w:tc>
          <w:tcPr>
            <w:tcW w:type="dxa" w:w="1850"/>
          </w:tcPr>
          <w:p>
            <w:pPr>
              <w:spacing w:after="0" w:line="240" w:lineRule="auto"/>
            </w:pPr>
            <w:r>
              <w:rPr>
                <w:rFonts w:ascii="Calibri" w:hAnsi="Calibri"/>
                <w:sz w:val="17"/>
              </w:rPr>
              <w:t>Pro</w:t>
              <w:br/>
              <w:t>$20/domain/month billed annually</w:t>
              <w:br/>
              <w:t>$240/domain/year</w:t>
              <w:br/>
              <w:t>≈ ₹1,900/domain/month</w:t>
              <w:br/>
              <w:t>≈ ₹22,800/domain/year</w:t>
              <w:br/>
              <w:t>($25 monthly billing ≈ ₹2,375/month)</w:t>
            </w:r>
          </w:p>
        </w:tc>
        <w:tc>
          <w:tcPr>
            <w:tcW w:type="dxa" w:w="3900"/>
          </w:tcPr>
          <w:p>
            <w:pPr>
              <w:spacing w:before="0" w:after="0" w:line="240" w:lineRule="auto"/>
              <w:jc w:val="left"/>
            </w:pPr>
            <w:r>
              <w:rPr>
                <w:rFonts w:ascii="Calibri" w:hAnsi="Calibri"/>
                <w:b w:val="0"/>
                <w:i w:val="0"/>
                <w:color w:val="1F2937"/>
                <w:sz w:val="17"/>
              </w:rPr>
              <w:t>DNS, global CDN, SSL, DDoS protection, WAF and performance/image optimisation. Billing is per domain/zone; subdomains are not separate domains.</w:t>
            </w:r>
          </w:p>
        </w:tc>
        <w:tc>
          <w:tcPr>
            <w:tcW w:type="dxa" w:w="1960"/>
          </w:tcPr>
          <w:p>
            <w:pPr>
              <w:spacing w:after="0" w:line="240" w:lineRule="auto"/>
            </w:pPr>
            <w:r>
              <w:rPr>
                <w:rFonts w:ascii="Calibri" w:hAnsi="Calibri"/>
                <w:sz w:val="17"/>
              </w:rPr>
              <w:t>Approve for the domain zones that need Pro protection. If all three are separate zones: $720/year ≈ ₹68,400/year.</w:t>
            </w:r>
          </w:p>
        </w:tc>
      </w:tr>
      <w:tr>
        <w:tc>
          <w:tcPr>
            <w:tcW w:type="dxa" w:w="1650"/>
            <w:shd w:fill="F7F8FA"/>
          </w:tcPr>
          <w:p>
            <w:pPr>
              <w:spacing w:before="0" w:after="0" w:line="240" w:lineRule="auto"/>
              <w:jc w:val="left"/>
            </w:pPr>
            <w:r>
              <w:rPr>
                <w:rFonts w:ascii="Calibri" w:hAnsi="Calibri"/>
                <w:b/>
                <w:i w:val="0"/>
                <w:color w:val="1F2937"/>
                <w:sz w:val="18"/>
              </w:rPr>
              <w:t>Neon</w:t>
            </w:r>
          </w:p>
        </w:tc>
        <w:tc>
          <w:tcPr>
            <w:tcW w:type="dxa" w:w="1850"/>
          </w:tcPr>
          <w:p>
            <w:pPr>
              <w:spacing w:after="0" w:line="240" w:lineRule="auto"/>
            </w:pPr>
            <w:r>
              <w:rPr>
                <w:rFonts w:ascii="Calibri" w:hAnsi="Calibri"/>
                <w:sz w:val="17"/>
              </w:rPr>
              <w:t>Launch</w:t>
              <w:br/>
              <w:t>Usage-based; typical $15/month</w:t>
              <w:br/>
              <w:t>≈ ₹1,425/month = ≈ ₹17,100/year</w:t>
              <w:br/>
              <w:t>(no fixed annual commitment)</w:t>
            </w:r>
          </w:p>
        </w:tc>
        <w:tc>
          <w:tcPr>
            <w:tcW w:type="dxa" w:w="3900"/>
          </w:tcPr>
          <w:p>
            <w:pPr>
              <w:spacing w:after="0" w:line="240" w:lineRule="auto"/>
            </w:pPr>
            <w:r>
              <w:rPr>
                <w:rFonts w:ascii="Calibri" w:hAnsi="Calibri"/>
                <w:sz w:val="17"/>
              </w:rPr>
              <w:t>Managed PostgreSQL with autoscaling up to 16 CU, 7-day restore window and branching. Rates: $0.106/CU-hour ≈ ₹10.07/CU-hour; $0.35/GB-month ≈ ₹33.25/GB-month; extra branches $0.002/hour ≈ ₹0.19/hour.</w:t>
            </w:r>
          </w:p>
        </w:tc>
        <w:tc>
          <w:tcPr>
            <w:tcW w:type="dxa" w:w="1960"/>
          </w:tcPr>
          <w:p>
            <w:pPr>
              <w:spacing w:before="0" w:after="0" w:line="240" w:lineRule="auto"/>
              <w:jc w:val="left"/>
            </w:pPr>
            <w:r>
              <w:rPr>
                <w:rFonts w:ascii="Calibri" w:hAnsi="Calibri"/>
                <w:b w:val="0"/>
                <w:i w:val="0"/>
                <w:color w:val="1F2937"/>
                <w:sz w:val="17"/>
              </w:rPr>
              <w:t>Approve Launch with a monthly spend alert/cap.</w:t>
            </w:r>
          </w:p>
        </w:tc>
      </w:tr>
      <w:tr>
        <w:tc>
          <w:tcPr>
            <w:tcW w:type="dxa" w:w="1650"/>
            <w:shd w:fill="F7F8FA"/>
          </w:tcPr>
          <w:p>
            <w:pPr>
              <w:spacing w:before="0" w:after="0" w:line="240" w:lineRule="auto"/>
              <w:jc w:val="left"/>
            </w:pPr>
            <w:r>
              <w:rPr>
                <w:rFonts w:ascii="Calibri" w:hAnsi="Calibri"/>
                <w:b/>
                <w:i w:val="0"/>
                <w:color w:val="1F2937"/>
                <w:sz w:val="18"/>
              </w:rPr>
              <w:t>Codex</w:t>
            </w:r>
          </w:p>
        </w:tc>
        <w:tc>
          <w:tcPr>
            <w:tcW w:type="dxa" w:w="1850"/>
          </w:tcPr>
          <w:p>
            <w:pPr>
              <w:spacing w:before="0" w:after="0" w:line="240" w:lineRule="auto"/>
              <w:jc w:val="left"/>
            </w:pPr>
            <w:r>
              <w:rPr>
                <w:rFonts w:ascii="Calibri" w:hAnsi="Calibri"/>
                <w:b/>
                <w:i w:val="0"/>
                <w:color w:val="1F2937"/>
                <w:sz w:val="17"/>
              </w:rPr>
              <w:t>Premium</w:t>
            </w:r>
            <w:r>
              <w:rPr>
                <w:rFonts w:ascii="Calibri" w:hAnsi="Calibri"/>
                <w:sz w:val="17"/>
              </w:rPr>
              <w:br/>
            </w:r>
            <w:r>
              <w:rPr>
                <w:rFonts w:ascii="Calibri" w:hAnsi="Calibri"/>
                <w:b w:val="0"/>
                <w:i w:val="0"/>
                <w:color w:val="1F2937"/>
                <w:sz w:val="17"/>
              </w:rPr>
              <w:t>₹2,000/month = ₹24,000/year</w:t>
            </w:r>
          </w:p>
        </w:tc>
        <w:tc>
          <w:tcPr>
            <w:tcW w:type="dxa" w:w="3900"/>
          </w:tcPr>
          <w:p>
            <w:pPr>
              <w:spacing w:before="0" w:after="0" w:line="240" w:lineRule="auto"/>
              <w:jc w:val="left"/>
            </w:pPr>
            <w:r>
              <w:rPr>
                <w:rFonts w:ascii="Calibri" w:hAnsi="Calibri"/>
                <w:b w:val="0"/>
                <w:i w:val="0"/>
                <w:color w:val="1F2937"/>
                <w:sz w:val="17"/>
              </w:rPr>
              <w:t>Faster implementation, debugging, testing and documentation of complex features. This is important for a third-year student team with limited time for manual work.</w:t>
            </w:r>
          </w:p>
        </w:tc>
        <w:tc>
          <w:tcPr>
            <w:tcW w:type="dxa" w:w="1960"/>
          </w:tcPr>
          <w:p>
            <w:pPr>
              <w:spacing w:before="0" w:after="0" w:line="240" w:lineRule="auto"/>
              <w:jc w:val="left"/>
            </w:pPr>
            <w:r>
              <w:rPr>
                <w:rFonts w:ascii="Calibri" w:hAnsi="Calibri"/>
                <w:b w:val="0"/>
                <w:i w:val="0"/>
                <w:color w:val="1F2937"/>
                <w:sz w:val="17"/>
              </w:rPr>
              <w:t>Approve Codex Premium for the Tech Team.</w:t>
            </w:r>
          </w:p>
        </w:tc>
      </w:tr>
      <w:tr>
        <w:tc>
          <w:tcPr>
            <w:tcW w:type="dxa" w:w="1650"/>
            <w:shd w:fill="F7F8FA"/>
          </w:tcPr>
          <w:p>
            <w:pPr>
              <w:spacing w:before="0" w:after="0" w:line="240" w:lineRule="auto"/>
              <w:jc w:val="left"/>
            </w:pPr>
            <w:r>
              <w:rPr>
                <w:rFonts w:ascii="Calibri" w:hAnsi="Calibri"/>
                <w:b/>
                <w:i w:val="0"/>
                <w:color w:val="1F2937"/>
                <w:sz w:val="18"/>
              </w:rPr>
              <w:t>Domain renewal</w:t>
            </w:r>
          </w:p>
        </w:tc>
        <w:tc>
          <w:tcPr>
            <w:tcW w:type="dxa" w:w="1850"/>
          </w:tcPr>
          <w:p>
            <w:pPr>
              <w:spacing w:before="0" w:after="0" w:line="240" w:lineRule="auto"/>
              <w:jc w:val="left"/>
            </w:pPr>
            <w:r>
              <w:rPr>
                <w:rFonts w:ascii="Calibri" w:hAnsi="Calibri"/>
                <w:b/>
                <w:i w:val="0"/>
                <w:color w:val="1F2937"/>
                <w:sz w:val="17"/>
              </w:rPr>
              <w:t>One-time renewal</w:t>
            </w:r>
            <w:r>
              <w:rPr>
                <w:rFonts w:ascii="Calibri" w:hAnsi="Calibri"/>
                <w:sz w:val="17"/>
              </w:rPr>
              <w:br/>
            </w:r>
            <w:r>
              <w:rPr>
                <w:rFonts w:ascii="Calibri" w:hAnsi="Calibri"/>
                <w:b w:val="0"/>
                <w:i w:val="0"/>
                <w:color w:val="1F2937"/>
                <w:sz w:val="17"/>
              </w:rPr>
              <w:t>₹1,000</w:t>
            </w:r>
            <w:r>
              <w:rPr>
                <w:rFonts w:ascii="Calibri" w:hAnsi="Calibri"/>
                <w:sz w:val="17"/>
              </w:rPr>
              <w:br/>
            </w:r>
            <w:r>
              <w:rPr>
                <w:rFonts w:ascii="Calibri" w:hAnsi="Calibri"/>
                <w:b w:val="0"/>
                <w:i w:val="0"/>
                <w:color w:val="1F2937"/>
                <w:sz w:val="17"/>
              </w:rPr>
              <w:t>Expires 18 December 2026</w:t>
            </w:r>
          </w:p>
        </w:tc>
        <w:tc>
          <w:tcPr>
            <w:tcW w:type="dxa" w:w="3900"/>
          </w:tcPr>
          <w:p>
            <w:pPr>
              <w:spacing w:before="0" w:after="0" w:line="240" w:lineRule="auto"/>
              <w:jc w:val="left"/>
            </w:pPr>
            <w:r>
              <w:rPr>
                <w:rFonts w:ascii="Calibri" w:hAnsi="Calibri"/>
                <w:b w:val="0"/>
                <w:i w:val="0"/>
                <w:color w:val="1F2937"/>
                <w:sz w:val="17"/>
              </w:rPr>
              <w:t>Keeps portal.ecelliiitsurat.in reachable and protects the project identity after the current registration period.</w:t>
            </w:r>
          </w:p>
        </w:tc>
        <w:tc>
          <w:tcPr>
            <w:tcW w:type="dxa" w:w="1960"/>
          </w:tcPr>
          <w:p>
            <w:pPr>
              <w:spacing w:before="0" w:after="0" w:line="240" w:lineRule="auto"/>
              <w:jc w:val="left"/>
            </w:pPr>
            <w:r>
              <w:rPr>
                <w:rFonts w:ascii="Calibri" w:hAnsi="Calibri"/>
                <w:b w:val="0"/>
                <w:i w:val="0"/>
                <w:color w:val="1F2937"/>
                <w:sz w:val="17"/>
              </w:rPr>
              <w:t>Approve renewal before 18 December 2026.</w:t>
            </w:r>
          </w:p>
        </w:tc>
      </w:tr>
    </w:tbl>
    <w:p>
      <w:pPr>
        <w:spacing w:before="80" w:after="80" w:line="240" w:lineRule="auto"/>
        <w:jc w:val="left"/>
      </w:pPr>
      <w:r>
        <w:rPr>
          <w:rFonts w:ascii="Calibri" w:hAnsi="Calibri"/>
          <w:sz w:val="17"/>
        </w:rPr>
        <w:t>Pricing note: USD figures are based on official public pricing checked on 3 September 2026. INR figures use a planning rate of ₹95 = US$1 (USD/INR closed near ₹94.97 on 2 September 2026), rounded for budgeting. Taxes, card/bank conversion fees, additional seats and usage overages are not included. Neon Launch is usage-based and has no fixed annual commitment; final invoices may differ.</w:t>
      </w:r>
    </w:p>
    <w:tbl>
      <w:tblPr>
        <w:tblW w:type="dxa" w:w="9360"/>
        <w:jc w:val="left"/>
        <w:tblLook w:firstColumn="1" w:firstRow="1" w:lastColumn="0" w:lastRow="0" w:noHBand="0" w:noVBand="1" w:val="04A0"/>
        <w:tblInd w:w="120" w:type="dxa"/>
        <w:tblLayout w:type="fixed"/>
        <w:tblBorders>
          <w:top w:val="single" w:sz="8" w:space="0" w:color="F97316"/>
          <w:left w:val="single" w:sz="8" w:space="0" w:color="F97316"/>
          <w:bottom w:val="single" w:sz="8" w:space="0" w:color="F97316"/>
          <w:right w:val="single" w:sz="8" w:space="0" w:color="F97316"/>
          <w:insideH w:val="single" w:sz="8" w:space="0" w:color="F97316"/>
          <w:insideV w:val="single" w:sz="8" w:space="0" w:color="F97316"/>
        </w:tblBorders>
      </w:tblPr>
      <w:tblGrid>
        <w:gridCol w:w="9360"/>
      </w:tblGrid>
      <w:tr>
        <w:tc>
          <w:tcPr>
            <w:tcW w:type="dxa" w:w="9360"/>
            <w:tcMar>
              <w:top w:w="80" w:type="dxa"/>
              <w:start w:w="120" w:type="dxa"/>
              <w:bottom w:w="80" w:type="dxa"/>
              <w:end w:w="120" w:type="dxa"/>
            </w:tcMar>
            <w:vAlign w:val="center"/>
            <w:shd w:fill="FFF3E8"/>
          </w:tcPr>
          <w:p>
            <w:pPr>
              <w:spacing w:before="0" w:after="40" w:line="240" w:lineRule="auto"/>
              <w:jc w:val="left"/>
            </w:pPr>
            <w:r>
              <w:rPr>
                <w:rFonts w:ascii="Calibri" w:hAnsi="Calibri"/>
                <w:b/>
                <w:i w:val="0"/>
                <w:color w:val="C2410C"/>
                <w:sz w:val="21"/>
              </w:rPr>
              <w:t>APPROVAL REQUESTED</w:t>
            </w:r>
          </w:p>
          <w:p>
            <w:pPr>
              <w:spacing w:before="0" w:after="0" w:line="252" w:lineRule="auto"/>
              <w:jc w:val="left"/>
            </w:pPr>
            <w:r>
              <w:rPr>
                <w:rFonts w:ascii="Calibri" w:hAnsi="Calibri"/>
                <w:b w:val="0"/>
                <w:i w:val="0"/>
                <w:color w:val="1F2937"/>
                <w:sz w:val="21"/>
              </w:rPr>
              <w:t>Please approve the Vercel Pro, Cloudflare Pro and Neon Launch services for the three-site E-Cell ecosystem, Codex Premium at ₹24,000 per year, and the ₹1,000 domain renewal before 18 December 2026.</w:t>
            </w:r>
          </w:p>
        </w:tc>
      </w:tr>
    </w:tbl>
    <w:p>
      <w:pPr>
        <w:spacing w:before="280" w:after="120" w:line="252" w:lineRule="auto"/>
        <w:jc w:val="left"/>
      </w:pPr>
      <w:r>
        <w:rPr>
          <w:rFonts w:ascii="Calibri" w:hAnsi="Calibri"/>
          <w:b/>
          <w:i w:val="0"/>
          <w:color w:val="C2410C"/>
          <w:sz w:val="32"/>
        </w:rPr>
        <w:t>Request for approval</w:t>
      </w:r>
    </w:p>
    <w:p>
      <w:pPr>
        <w:spacing w:before="0" w:after="120" w:line="264" w:lineRule="auto"/>
        <w:jc w:val="left"/>
      </w:pPr>
      <w:r>
        <w:rPr>
          <w:rFonts w:ascii="Calibri" w:hAnsi="Calibri"/>
          <w:b w:val="0"/>
          <w:i w:val="0"/>
          <w:color w:val="1F2937"/>
          <w:sz w:val="22"/>
        </w:rPr>
        <w:t>These upgrades are shared infrastructure for E-Cell IIIT Surat and will support the public website, the participant/admin portal and the team directory. They are intended to improve continuity, security and delivery speed for the whole student and faculty community.</w:t>
      </w:r>
    </w:p>
    <w:p>
      <w:pPr>
        <w:spacing w:before="0" w:after="80" w:line="264" w:lineRule="auto"/>
        <w:jc w:val="left"/>
      </w:pPr>
      <w:r>
        <w:rPr>
          <w:rFonts w:ascii="Calibri" w:hAnsi="Calibri"/>
          <w:b w:val="0"/>
          <w:i w:val="0"/>
          <w:color w:val="1F2937"/>
          <w:sz w:val="22"/>
        </w:rPr>
        <w:t>We will monitor usage, enable spending alerts and review subscriptions annually so costs remain controlled and aligned with programme activity.</w:t>
      </w:r>
    </w:p>
    <w:p>
      <w:pPr>
        <w:spacing w:before="160" w:after="0" w:line="252" w:lineRule="auto"/>
        <w:jc w:val="left"/>
      </w:pPr>
      <w:r>
        <w:rPr>
          <w:rFonts w:ascii="Calibri" w:hAnsi="Calibri"/>
          <w:b/>
          <w:i w:val="0"/>
          <w:color w:val="1F2937"/>
          <w:sz w:val="22"/>
        </w:rPr>
        <w:t>Sincerely,</w:t>
        <w:br/>
      </w:r>
      <w:r>
        <w:rPr>
          <w:rFonts w:ascii="Calibri" w:hAnsi="Calibri"/>
          <w:b w:val="0"/>
          <w:i w:val="0"/>
          <w:color w:val="1F2937"/>
          <w:sz w:val="22"/>
        </w:rPr>
        <w:t>[Your Name]</w:t>
        <w:br/>
        <w:t>E-Cell IIIT Surat Tech Team</w:t>
        <w:br/>
        <w:t>[Email / Contact]</w:t>
      </w:r>
    </w:p>
    <w:p>
      <w:pPr>
        <w:spacing w:before="200" w:after="120" w:line="252" w:lineRule="auto"/>
        <w:jc w:val="left"/>
      </w:pPr>
      <w:r>
        <w:rPr>
          <w:rFonts w:ascii="Calibri" w:hAnsi="Calibri"/>
          <w:b/>
          <w:i w:val="0"/>
          <w:color w:val="1F2937"/>
          <w:sz w:val="25"/>
        </w:rPr>
        <w:t>Official pricing references</w:t>
      </w:r>
    </w:p>
    <w:p>
      <w:pPr>
        <w:spacing w:before="0" w:after="40" w:line="240" w:lineRule="auto"/>
        <w:jc w:val="left"/>
      </w:pPr>
      <w:r>
        <w:rPr>
          <w:rFonts w:ascii="Calibri" w:hAnsi="Calibri"/>
          <w:b/>
          <w:i w:val="0"/>
          <w:color w:val="5B6470"/>
          <w:sz w:val="17"/>
        </w:rPr>
        <w:t xml:space="preserve">Vercel Pro pricing: </w:t>
      </w:r>
      <w:r>
        <w:rPr>
          <w:rFonts w:ascii="Calibri" w:hAnsi="Calibri"/>
          <w:b w:val="0"/>
          <w:i w:val="0"/>
          <w:color w:val="5B6470"/>
          <w:sz w:val="17"/>
        </w:rPr>
        <w:t>https://vercel.com/pricing</w:t>
      </w:r>
    </w:p>
    <w:p>
      <w:pPr>
        <w:spacing w:before="0" w:after="40" w:line="240" w:lineRule="auto"/>
        <w:jc w:val="left"/>
      </w:pPr>
      <w:r>
        <w:rPr>
          <w:rFonts w:ascii="Calibri" w:hAnsi="Calibri"/>
          <w:b/>
          <w:i w:val="0"/>
          <w:color w:val="5B6470"/>
          <w:sz w:val="17"/>
        </w:rPr>
        <w:t xml:space="preserve">Cloudflare plans: </w:t>
      </w:r>
      <w:r>
        <w:rPr>
          <w:rFonts w:ascii="Calibri" w:hAnsi="Calibri"/>
          <w:b w:val="0"/>
          <w:i w:val="0"/>
          <w:color w:val="5B6470"/>
          <w:sz w:val="17"/>
        </w:rPr>
        <w:t>https://www.cloudflare.com/plans/</w:t>
      </w:r>
    </w:p>
    <w:p>
      <w:pPr>
        <w:spacing w:before="0" w:after="40" w:line="240" w:lineRule="auto"/>
        <w:jc w:val="left"/>
      </w:pPr>
      <w:r>
        <w:rPr>
          <w:rFonts w:ascii="Calibri" w:hAnsi="Calibri"/>
          <w:b/>
          <w:i w:val="0"/>
          <w:color w:val="5B6470"/>
          <w:sz w:val="17"/>
        </w:rPr>
        <w:t xml:space="preserve">Neon pricing: </w:t>
      </w:r>
      <w:r>
        <w:rPr>
          <w:rFonts w:ascii="Calibri" w:hAnsi="Calibri"/>
          <w:b w:val="0"/>
          <w:i w:val="0"/>
          <w:color w:val="5B6470"/>
          <w:sz w:val="17"/>
        </w:rPr>
        <w:t>https://neon.com/pricing</w:t>
      </w:r>
    </w:p>
    <w:p>
      <w:pPr>
        <w:spacing w:before="0" w:after="0" w:line="264" w:lineRule="auto"/>
        <w:jc w:val="left"/>
      </w:pPr>
      <w:r>
        <w:rPr>
          <w:rFonts w:ascii="Calibri" w:hAnsi="Calibri"/>
          <w:b w:val="0"/>
          <w:i w:val="0"/>
          <w:color w:val="1F2937"/>
          <w:sz w:val="22"/>
        </w:rPr>
        <w:t>This letter is a short internal approval request; final procurement should confirm the account owner, billing currency, tax treatment and exact domain zones.</w:t>
      </w:r>
    </w:p>
    <w:sectPr w:rsidR="00FC693F" w:rsidRPr="0006063C" w:rsidSect="00034616">
      <w:headerReference w:type="default" r:id="rId9"/>
      <w:footerReference w:type="default" r:id="rId10"/>
      <w:pgSz w:w="12240" w:h="15840"/>
      <w:pgMar w:top="1080"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line="240" w:lineRule="auto"/>
      <w:jc w:val="center"/>
    </w:pPr>
    <w:r>
      <w:rPr>
        <w:rFonts w:ascii="Calibri" w:hAnsi="Calibri"/>
        <w:b w:val="0"/>
        <w:i w:val="0"/>
        <w:color w:val="5B6470"/>
        <w:sz w:val="17"/>
      </w:rPr>
      <w:t>Internal permission request | Prepared 3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right"/>
    </w:pPr>
    <w:r>
      <w:rPr>
        <w:rFonts w:ascii="Calibri" w:hAnsi="Calibri"/>
        <w:b/>
        <w:i w:val="0"/>
        <w:color w:val="5B6470"/>
        <w:sz w:val="17"/>
      </w:rPr>
      <w:t>RUMINATE | E-CELL IIIT SURAT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