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</w:rPr>
        <w:t>Bibliography</w:t>
      </w:r>
    </w:p>
    <w:p w:rsidR="00A77427" w:rsidRDefault="007F1D13">
      <w:pPr>
        <w:spacing w:after="0" w:line="240" w:lineRule="auto"/>
        <w:ind w:left="0" w:hanging="0"/>
      </w:pPr>
      <w:r>
        <w:t xml:space="preserve">Kalliath, T. and Brough, P. (2008) ‘Work–life balance: A review of the meaning of the balance construct’, </w:t>
      </w:r>
      <w:r>
        <w:rPr>
          <w:i/>
          <w:iCs/>
        </w:rPr>
        <w:t xml:space="preserve">Journal of Management </w:t>
      </w:r>
      <w:r>
        <w:rPr>
          <w:i/>
          <w:iCs/>
        </w:rPr>
        <w:t>&amp;</w:t>
      </w:r>
      <w:r>
        <w:rPr>
          <w:i/>
          <w:iCs/>
        </w:rPr>
        <w:t>#x0026; Organization</w:t>
      </w:r>
      <w:r>
        <w:t>, 14(3), pp. 323–327. doi: 10.1017/S1833367200003308.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2016-10-29T09:21:21Z</dcterms:created>
  <dcterms:modified xsi:type="dcterms:W3CDTF">2016-10-29T09:21:21Z</dcterms:modified>
</cp:coreProperties>
</file>