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Times New Roman" w:cs="Times New Roman" w:eastAsia="Times New Roman" w:hAnsi="Times New Roman"/>
          <w:sz w:val="26"/>
          <w:szCs w:val="26"/>
        </w:rPr>
        <w:t xml:space="preserve">LCA Studio</w:t>
      </w:r>
    </w:p>
    <w:p>
      <w:pPr>
        <w:spacing w:after="240"/>
      </w:pPr>
      <w:r>
        <w:rPr>
          <w:rFonts w:ascii="Times New Roman" w:cs="Times New Roman" w:eastAsia="Times New Roman" w:hAnsi="Times New Roman"/>
          <w:b/>
          <w:bCs/>
          <w:sz w:val="48"/>
          <w:szCs w:val="48"/>
        </w:rPr>
        <w:t xml:space="preserve">Guided Task</w:t>
      </w:r>
    </w:p>
    <w:p>
      <w:pPr>
        <w:spacing w:after="120"/>
      </w:pPr>
      <w:r>
        <w:rPr>
          <w:rFonts w:ascii="Times New Roman" w:cs="Times New Roman" w:eastAsia="Times New Roman" w:hAnsi="Times New Roman"/>
          <w:sz w:val="28"/>
          <w:szCs w:val="28"/>
        </w:rPr>
        <w:t xml:space="preserve">A Complete Life Cycle Sustainability Assessment in the LCA Studio</w:t>
      </w:r>
    </w:p>
    <w:p>
      <w:pPr>
        <w:spacing w:after="1600"/>
      </w:pPr>
      <w:r>
        <w:rPr>
          <w:rFonts w:ascii="Times New Roman" w:cs="Times New Roman" w:eastAsia="Times New Roman" w:hAnsi="Times New Roman"/>
          <w:sz w:val="24"/>
          <w:szCs w:val="24"/>
        </w:rPr>
        <w:t xml:space="preserve">LCA Studio · GH2GH 10 kW PEM electrolyser stack</w:t>
      </w:r>
    </w:p>
    <w:p>
      <w:r>
        <w:rPr>
          <w:rFonts w:ascii="Times New Roman" w:cs="Times New Roman" w:eastAsia="Times New Roman" w:hAnsi="Times New Roman"/>
          <w:sz w:val="20"/>
          <w:szCs w:val="20"/>
        </w:rPr>
        <w:t xml:space="preserve">Sustainable Technologies Laboratory (STL), Hochschule Bochum</w:t>
      </w:r>
    </w:p>
    <w:p>
      <w:pPr>
        <w:spacing w:before="600"/>
      </w:pPr>
      <w:r>
        <w:rPr>
          <w:rFonts w:ascii="Times New Roman" w:cs="Times New Roman" w:eastAsia="Times New Roman" w:hAnsi="Times New Roman"/>
          <w:i/>
          <w:iCs/>
          <w:sz w:val="16"/>
          <w:szCs w:val="16"/>
        </w:rPr>
        <w:t xml:space="preserve">Co-funded by the European Union (Erasmus+, 101194163 — H2VE — ERASMUS-EDU-2024-PEX-COVE). Views and opinions expressed are those of the author(s) only and do not necessarily reflect those of the European Union or EACEA.</w:t>
      </w:r>
    </w:p>
    <w:p>
      <w:pPr>
        <w:sectPr>
          <w:pgSz w:w="11906" w:h="16838" w:orient="portrait"/>
          <w:pgMar w:top="1418" w:right="1418" w:bottom="1418" w:left="1418" w:header="708" w:footer="708" w:gutter="0"/>
          <w:pgNumType/>
          <w:docGrid w:linePitch="360"/>
        </w:sectPr>
      </w:pPr>
    </w:p>
    <w:p>
      <w:pPr>
        <w:spacing w:after="200"/>
      </w:pPr>
      <w:r>
        <w:rPr>
          <w:rFonts w:ascii="Times New Roman" w:cs="Times New Roman" w:eastAsia="Times New Roman" w:hAnsi="Times New Roman"/>
          <w:b/>
          <w:bCs/>
          <w:sz w:val="30"/>
          <w:szCs w:val="30"/>
        </w:rPr>
        <w:t xml:space="preserve">Contents</w:t>
      </w:r>
    </w:p>
    <w:p>
      <w:pPr>
        <w:spacing w:after="60" w:line="280"/>
      </w:pPr>
      <w:r>
        <w:rPr>
          <w:rFonts w:ascii="Times New Roman" w:cs="Times New Roman" w:eastAsia="Times New Roman" w:hAnsi="Times New Roman"/>
          <w:b/>
          <w:bCs/>
          <w:sz w:val="22"/>
          <w:szCs w:val="22"/>
        </w:rPr>
        <w:t xml:space="preserve">Part A  Environmental LCA (steps 1 to 7)</w:t>
      </w:r>
    </w:p>
    <w:p>
      <w:pPr>
        <w:spacing w:after="60" w:line="280"/>
      </w:pPr>
      <w:r>
        <w:rPr>
          <w:rFonts w:ascii="Times New Roman" w:cs="Times New Roman" w:eastAsia="Times New Roman" w:hAnsi="Times New Roman"/>
          <w:b/>
          <w:bCs/>
          <w:sz w:val="22"/>
          <w:szCs w:val="22"/>
        </w:rPr>
        <w:t xml:space="preserve">Part B  Social LCA (indicators, country values, results)</w:t>
      </w:r>
    </w:p>
    <w:p>
      <w:pPr>
        <w:spacing w:after="60" w:line="280"/>
      </w:pPr>
      <w:r>
        <w:rPr>
          <w:rFonts w:ascii="Times New Roman" w:cs="Times New Roman" w:eastAsia="Times New Roman" w:hAnsi="Times New Roman"/>
          <w:b/>
          <w:bCs/>
          <w:sz w:val="22"/>
          <w:szCs w:val="22"/>
        </w:rPr>
        <w:t xml:space="preserve">Part C  Life cycle costing (scope, discounting, sensitivity)</w:t>
      </w:r>
    </w:p>
    <w:p>
      <w:pPr>
        <w:spacing w:after="60" w:line="280"/>
      </w:pPr>
      <w:r>
        <w:rPr>
          <w:rFonts w:ascii="Times New Roman" w:cs="Times New Roman" w:eastAsia="Times New Roman" w:hAnsi="Times New Roman"/>
          <w:b/>
          <w:bCs/>
          <w:sz w:val="22"/>
          <w:szCs w:val="22"/>
        </w:rPr>
        <w:t xml:space="preserve">Part D  Comparing the three, and a design proposal</w:t>
      </w:r>
    </w:p>
    <w:p>
      <w:pPr>
        <w:pageBreakBefore/>
      </w:pPr>
      <w:r>
        <w:br/>
        <w:t xml:space="preserve"/>
      </w:r>
    </w:p>
    <w:p>
      <w:pPr>
        <w:spacing w:after="140" w:line="300"/>
        <w:jc w:val="both"/>
      </w:pPr>
      <w:r>
        <w:rPr>
          <w:rFonts w:ascii="Times New Roman" w:cs="Times New Roman" w:eastAsia="Times New Roman" w:hAnsi="Times New Roman"/>
          <w:sz w:val="24"/>
          <w:szCs w:val="24"/>
        </w:rPr>
        <w:t xml:space="preserve">This task takes you through one complete life cycle sustainability assessment in the LCA Studio, from raw material to end of life. The object of study is the 10 kW PEM electrolyser stack of the GH2GH mini-grid: manufactured in Europe, operated in Ghana on surplus solar electricity. You will assess it three ways, environmental, social and economic, on one model. Allow about three hours, or two sessions.</w:t>
      </w:r>
    </w:p>
    <w:p>
      <w:pPr>
        <w:spacing w:after="160" w:line="280"/>
        <w:jc w:val="both"/>
      </w:pPr>
      <w:r>
        <w:rPr>
          <w:rFonts w:ascii="Times New Roman" w:cs="Times New Roman" w:eastAsia="Times New Roman" w:hAnsi="Times New Roman"/>
          <w:i/>
          <w:iCs/>
          <w:sz w:val="20"/>
          <w:szCs w:val="20"/>
        </w:rPr>
        <w:t xml:space="preserve">Open the Studio. The example study is already loaded, so nothing is blank. You will inspect it, then change it and watch what moves.</w:t>
      </w:r>
    </w:p>
    <w:p>
      <w:pPr>
        <w:pStyle w:val="Heading1"/>
        <w:spacing w:after="200" w:before="400"/>
      </w:pPr>
      <w:r>
        <w:rPr>
          <w:rFonts w:ascii="Times New Roman" w:cs="Times New Roman" w:eastAsia="Times New Roman" w:hAnsi="Times New Roman"/>
          <w:b/>
          <w:bCs/>
          <w:sz w:val="30"/>
          <w:szCs w:val="30"/>
        </w:rPr>
        <w:t xml:space="preserve">Part A, Environmental LCA</w:t>
      </w:r>
    </w:p>
    <w:p>
      <w:pPr>
        <w:pStyle w:val="Heading2"/>
        <w:spacing w:after="140" w:before="300"/>
      </w:pPr>
      <w:r>
        <w:rPr>
          <w:rFonts w:ascii="Times New Roman" w:cs="Times New Roman" w:eastAsia="Times New Roman" w:hAnsi="Times New Roman"/>
          <w:b/>
          <w:bCs/>
          <w:sz w:val="26"/>
          <w:szCs w:val="26"/>
        </w:rPr>
        <w:t xml:space="preserve">1    Goal and scope</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Read the goal already written in step 1, then rewrite it for a different audience: a procurement officer who must choose between two suppliers.</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What must change in the goal, and what follows from that change?</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2    Functional unit</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The study uses 1 kWh delivered over 15 years, with 45 000 kWh as the amount. Change the amount to 1 and look at the results, then change it back.</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What happened to every number, and what did not change?</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Why is 'one stack' not an acceptable functional unit for this study?</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3    System boundary and the product system</w:t>
      </w:r>
    </w:p>
    <w:p>
      <w:pPr>
        <w:spacing w:after="140" w:line="300"/>
        <w:jc w:val="both"/>
      </w:pPr>
      <w:r>
        <w:rPr>
          <w:rFonts w:ascii="Times New Roman" w:cs="Times New Roman" w:eastAsia="Times New Roman" w:hAnsi="Times New Roman"/>
          <w:sz w:val="24"/>
          <w:szCs w:val="24"/>
        </w:rPr>
        <w:t xml:space="preserve">The model is built in four layers, which is what makes a stack assessable at all.</w:t>
      </w: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1700"/>
        <w:gridCol w:w="3100"/>
        <w:gridCol w:w="3700"/>
      </w:tblGrid>
      <w:tr>
        <w:trPr>
          <w:tblHeader/>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Layer</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Processes</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What it represents</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Raw materials</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Catalyst metals; polymer and carbon; titanium stock; steel and copper stock</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Material leaving the supplier</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Sub-components</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MEA manufacturing; bipolar plate manufacturing; end plate and frame manufacturing</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Each sub-component made from those materials</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Assembly</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Stack assembly</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Sub-components brought together into the 10 kW stack</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Downstream</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Transport; operation; MEA replacement; end of life</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What happens to the stack afterwards</w:t>
            </w:r>
          </w:p>
        </w:tc>
      </w:tr>
    </w:tbl>
    <w:p>
      <w:pPr>
        <w:spacing w:after="140" w:before="240" w:line="300"/>
        <w:jc w:val="both"/>
      </w:pPr>
      <w:r>
        <w:rPr>
          <w:rFonts w:ascii="Times New Roman" w:cs="Times New Roman" w:eastAsia="Times New Roman" w:hAnsi="Times New Roman"/>
          <w:b/>
          <w:bCs/>
          <w:sz w:val="24"/>
          <w:szCs w:val="24"/>
        </w:rPr>
        <w:t xml:space="preserve">Task 1: </w:t>
      </w:r>
      <w:r>
        <w:rPr>
          <w:rFonts w:ascii="Times New Roman" w:cs="Times New Roman" w:eastAsia="Times New Roman" w:hAnsi="Times New Roman"/>
          <w:b/>
          <w:bCs/>
          <w:sz w:val="24"/>
          <w:szCs w:val="24"/>
        </w:rPr>
        <w:t xml:space="preserve">Open each of the three sub-component processes and write down what goes into it.</w:t>
      </w: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2600"/>
        <w:gridCol w:w="3300"/>
        <w:gridCol w:w="2600"/>
      </w:tblGrid>
      <w:tr>
        <w:trPr>
          <w:tblHeader/>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Sub-component</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Material inputs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Process inputs</w:t>
            </w:r>
          </w:p>
        </w:tc>
      </w:tr>
      <w:tr>
        <w:trPr>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Membrane electrode assembly</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Bipolar plates</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End plates and frame</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bl>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Which sub-component carries the platinum and iridium, and why does that matter for every later step?</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Task 2: </w:t>
      </w:r>
      <w:r>
        <w:rPr>
          <w:rFonts w:ascii="Times New Roman" w:cs="Times New Roman" w:eastAsia="Times New Roman" w:hAnsi="Times New Roman"/>
          <w:b/>
          <w:bCs/>
          <w:sz w:val="24"/>
          <w:szCs w:val="24"/>
        </w:rPr>
        <w:t xml:space="preserve">Drag the end-of-life process outside the dashed frame, look at the results, then drag it back.</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What did the totals do, and what does the Studio report instead of a zero?</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Task 3: </w:t>
      </w:r>
      <w:r>
        <w:rPr>
          <w:rFonts w:ascii="Times New Roman" w:cs="Times New Roman" w:eastAsia="Times New Roman" w:hAnsi="Times New Roman"/>
          <w:b/>
          <w:bCs/>
          <w:sz w:val="24"/>
          <w:szCs w:val="24"/>
        </w:rPr>
        <w:t xml:space="preserve">Change the boundary type from cradle-to-grave to cradle-to-gate.</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Which processes does the Studio now flag as unusual, and is the flag an error?</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4    Inventory</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4, add one input to the stack assembly process: 2 kg of packaging, linked to any polymer dataset. Then look at what the Studio says about datasets.</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Two of the datasets in this study are proxies. Find them and say why a proxy was necessary.</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5    Impact assessment</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Switch the method between ReCiPe 2016 and EF 3.1, then to IPCC 2021.</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What does IPCC 2021 give you, and what does it hide?</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6    Results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the share view, tick every impact category. Read the coloured bars across the rows.</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Does one life cycle stage dominate every category? Record which stage leads each.</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Switch to the absolute view and export the chart as PNG. What is the climate result per kWh delivered?</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7    Interpretation</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Write four sentences: what you found, what you assumed, what you cannot conclude, and what you would change in the design.</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Name the assumption that would most change your conclusion if it were wrong.</w:t>
      </w:r>
    </w:p>
    <w:p>
      <w:pPr>
        <w:spacing w:after="140" w:line="300"/>
        <w:jc w:val="both"/>
      </w:pPr>
      <w:r>
        <w:rPr>
          <w:rFonts w:ascii="Times New Roman" w:cs="Times New Roman" w:eastAsia="Times New Roman" w:hAnsi="Times New Roman"/>
          <w:sz w:val="24"/>
          <w:szCs w:val="24"/>
        </w:rPr>
        <w:t xml:space="preserve"/>
      </w:r>
    </w:p>
    <w:p>
      <w:r>
        <w:br w:type="page"/>
      </w:r>
    </w:p>
    <w:p>
      <w:pPr>
        <w:pStyle w:val="Heading1"/>
        <w:spacing w:after="200" w:before="400"/>
      </w:pPr>
      <w:r>
        <w:rPr>
          <w:rFonts w:ascii="Times New Roman" w:cs="Times New Roman" w:eastAsia="Times New Roman" w:hAnsi="Times New Roman"/>
          <w:b/>
          <w:bCs/>
          <w:sz w:val="30"/>
          <w:szCs w:val="30"/>
        </w:rPr>
        <w:t xml:space="preserve">Part B, Social LCA</w:t>
      </w:r>
    </w:p>
    <w:p>
      <w:pPr>
        <w:spacing w:after="140" w:line="300"/>
        <w:jc w:val="both"/>
      </w:pPr>
      <w:r>
        <w:rPr>
          <w:rFonts w:ascii="Times New Roman" w:cs="Times New Roman" w:eastAsia="Times New Roman" w:hAnsi="Times New Roman"/>
          <w:sz w:val="24"/>
          <w:szCs w:val="24"/>
        </w:rPr>
        <w:t xml:space="preserve">The social pathway uses the same product system. What changes is the flow, worker hours instead of mass, and the characterisation, risk levels instead of emission factors. The structure follows the UNEP guidelines and the evaluation schemas come from the PSILCA manual.</w:t>
      </w:r>
    </w:p>
    <w:p>
      <w:pPr>
        <w:pStyle w:val="Heading2"/>
        <w:spacing w:after="140" w:before="300"/>
      </w:pPr>
      <w:r>
        <w:rPr>
          <w:rFonts w:ascii="Times New Roman" w:cs="Times New Roman" w:eastAsia="Times New Roman" w:hAnsi="Times New Roman"/>
          <w:b/>
          <w:bCs/>
          <w:sz w:val="26"/>
          <w:szCs w:val="26"/>
        </w:rPr>
        <w:t xml:space="preserve">8    Select the indicators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1, open each stakeholder category and select a set of six indicators for a screening study, covering at least three stakeholder categories.</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Why does the selection come before any data collection?</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9    Enter the country values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2, select South Africa, then China, then Germany, and enter a raw value for each of your indicators. Use the unit shown, and the reference scale printed on the right of each row.</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For child labour in employment, total, enter 2.5 cases per 1000 for one country and 0.4 for another. What risk level does each become, and why is this not a judgement you made?</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Leave one field empty and look at the results. What does the Studio do with it?</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10    Activity variable and results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3 read the worker hours table, then open the results.</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Which flow carries the most worker hours, and is it the one you expected?</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Why can the risk levels not simply be added across processes?</w:t>
      </w:r>
    </w:p>
    <w:p>
      <w:pPr>
        <w:spacing w:after="140" w:line="300"/>
        <w:jc w:val="both"/>
      </w:pPr>
      <w:r>
        <w:rPr>
          <w:rFonts w:ascii="Times New Roman" w:cs="Times New Roman" w:eastAsia="Times New Roman" w:hAnsi="Times New Roman"/>
          <w:sz w:val="24"/>
          <w:szCs w:val="24"/>
        </w:rPr>
        <w:t xml:space="preserve"/>
      </w:r>
    </w:p>
    <w:p>
      <w:r>
        <w:br w:type="page"/>
      </w:r>
    </w:p>
    <w:p>
      <w:pPr>
        <w:pStyle w:val="Heading1"/>
        <w:spacing w:after="200" w:before="400"/>
      </w:pPr>
      <w:r>
        <w:rPr>
          <w:rFonts w:ascii="Times New Roman" w:cs="Times New Roman" w:eastAsia="Times New Roman" w:hAnsi="Times New Roman"/>
          <w:b/>
          <w:bCs/>
          <w:sz w:val="30"/>
          <w:szCs w:val="30"/>
        </w:rPr>
        <w:t xml:space="preserve">Part C, Life cycle costing</w:t>
      </w:r>
    </w:p>
    <w:p>
      <w:pPr>
        <w:pStyle w:val="Heading2"/>
        <w:spacing w:after="140" w:before="300"/>
      </w:pPr>
      <w:r>
        <w:rPr>
          <w:rFonts w:ascii="Times New Roman" w:cs="Times New Roman" w:eastAsia="Times New Roman" w:hAnsi="Times New Roman"/>
          <w:b/>
          <w:bCs/>
          <w:sz w:val="26"/>
          <w:szCs w:val="26"/>
        </w:rPr>
        <w:t xml:space="preserve">11    Scope and discounting</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Read step 1, then set the perspective to investor, the period to 15 years and the discount rate to 5 %.</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Move the discount rate from 0 % to 10 % and record the life cycle cost at each end.</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12    Cost inventory and results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Open the end-of-life process and look at its two cost items.</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One amount is negative. What is it, and why is it entered that way?</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Raise the discount rate to 8 % and look at the recovery credit in the calculation table. What has happened to it, and what is the consequence for a circularity argument?</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13    Sensitivity</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Run step 6 and read the tornado chart.</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Is the result driven more by the technology or by the financial assumptions? Justify your answer from the chart.</w:t>
      </w:r>
    </w:p>
    <w:p>
      <w:pPr>
        <w:spacing w:after="140" w:line="300"/>
        <w:jc w:val="both"/>
      </w:pPr>
      <w:r>
        <w:rPr>
          <w:rFonts w:ascii="Times New Roman" w:cs="Times New Roman" w:eastAsia="Times New Roman" w:hAnsi="Times New Roman"/>
          <w:sz w:val="24"/>
          <w:szCs w:val="24"/>
        </w:rPr>
        <w:t xml:space="preserve"/>
      </w:r>
    </w:p>
    <w:p>
      <w:r>
        <w:br w:type="page"/>
      </w:r>
    </w:p>
    <w:p>
      <w:pPr>
        <w:pStyle w:val="Heading1"/>
        <w:spacing w:after="200" w:before="400"/>
      </w:pPr>
      <w:r>
        <w:rPr>
          <w:rFonts w:ascii="Times New Roman" w:cs="Times New Roman" w:eastAsia="Times New Roman" w:hAnsi="Times New Roman"/>
          <w:b/>
          <w:bCs/>
          <w:sz w:val="30"/>
          <w:szCs w:val="30"/>
        </w:rPr>
        <w:t xml:space="preserve">Part D, Bringing the three together</w:t>
      </w:r>
    </w:p>
    <w:p>
      <w:pPr>
        <w:pStyle w:val="Heading2"/>
        <w:spacing w:after="140" w:before="300"/>
      </w:pPr>
      <w:r>
        <w:rPr>
          <w:rFonts w:ascii="Times New Roman" w:cs="Times New Roman" w:eastAsia="Times New Roman" w:hAnsi="Times New Roman"/>
          <w:b/>
          <w:bCs/>
          <w:sz w:val="26"/>
          <w:szCs w:val="26"/>
        </w:rPr>
        <w:t xml:space="preserve">14    Compare</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Open the compare view and complete the table below from what you see.</w:t>
      </w:r>
    </w:p>
    <w:tbl>
      <w:tblPr>
        <w:tblW w:type="dxa" w:w="8700"/>
        <w:tblBorders>
          <w:top w:val="none" w:color="FFFFFF" w:sz="0"/>
          <w:left w:val="none" w:color="FFFFFF" w:sz="0"/>
          <w:bottom w:val="none" w:color="FFFFFF" w:sz="0"/>
          <w:right w:val="none" w:color="FFFFFF" w:sz="0"/>
          <w:insideH w:val="none" w:color="FFFFFF" w:sz="0"/>
          <w:insideV w:val="none" w:color="FFFFFF" w:sz="0"/>
        </w:tblBorders>
      </w:tblPr>
      <w:tblGrid>
        <w:gridCol w:w="2500"/>
        <w:gridCol w:w="2100"/>
        <w:gridCol w:w="2100"/>
        <w:gridCol w:w="2000"/>
      </w:tblGrid>
      <w:tr>
        <w:trPr>
          <w:tblHeader/>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Life cycle stage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Environmental share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Social share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Cost share</w:t>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Raw materials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Sub-component manufacturing</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Assembly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Operation and maintenance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End of life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bl>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Does the stage that dominates the environmental result also dominate cost and social risk?</w:t>
      </w:r>
    </w:p>
    <w:p>
      <w:pPr>
        <w:spacing w:after="140" w:line="300"/>
        <w:jc w:val="both"/>
      </w:pPr>
      <w:r>
        <w:rPr>
          <w:rFonts w:ascii="Times New Roman" w:cs="Times New Roman" w:eastAsia="Times New Roman" w:hAnsi="Times New Roman"/>
          <w:sz w:val="24"/>
          <w:szCs w:val="24"/>
        </w:rPr>
        <w:t xml:space="preserve"/>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Why does the Studio refuse to add the three results into one score?</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15    Design proposal</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Propose one design change to this stack and predict its effect in all three columns before you model it. Then model it and compare.</w:t>
      </w:r>
    </w:p>
    <w:tbl>
      <w:tblPr>
        <w:tblW w:type="dxa" w:w="8700"/>
        <w:tblBorders>
          <w:top w:val="none" w:color="FFFFFF" w:sz="0"/>
          <w:left w:val="none" w:color="FFFFFF" w:sz="0"/>
          <w:bottom w:val="none" w:color="FFFFFF" w:sz="0"/>
          <w:right w:val="none" w:color="FFFFFF" w:sz="0"/>
          <w:insideH w:val="none" w:color="FFFFFF" w:sz="0"/>
          <w:insideV w:val="none" w:color="FFFFFF" w:sz="0"/>
        </w:tblBorders>
      </w:tblPr>
      <w:tblGrid>
        <w:gridCol w:w="2700"/>
        <w:gridCol w:w="2000"/>
        <w:gridCol w:w="2000"/>
        <w:gridCol w:w="2000"/>
      </w:tblGrid>
      <w:tr>
        <w:trPr>
          <w:tblHeader/>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Change proposed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Effect on environment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Effect on social risk</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Effect on cost</w:t>
            </w:r>
          </w:p>
        </w:tc>
      </w:tr>
      <w:tr>
        <w:trPr>
          <w:tblHeader w:val="false"/>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bl>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Which changes improve one column at the expense of another?</w:t>
      </w:r>
    </w:p>
    <w:p>
      <w:pPr>
        <w:spacing w:after="140" w:line="300"/>
        <w:jc w:val="both"/>
      </w:pPr>
      <w:r>
        <w:rPr>
          <w:rFonts w:ascii="Times New Roman" w:cs="Times New Roman" w:eastAsia="Times New Roman" w:hAnsi="Times New Roman"/>
          <w:sz w:val="24"/>
          <w:szCs w:val="24"/>
        </w:rPr>
        <w:t xml:space="preserve"/>
      </w:r>
    </w:p>
    <w:p>
      <w:pPr>
        <w:pStyle w:val="Heading2"/>
        <w:spacing w:after="140" w:before="300"/>
      </w:pPr>
      <w:r>
        <w:rPr>
          <w:rFonts w:ascii="Times New Roman" w:cs="Times New Roman" w:eastAsia="Times New Roman" w:hAnsi="Times New Roman"/>
          <w:b/>
          <w:bCs/>
          <w:sz w:val="26"/>
          <w:szCs w:val="26"/>
        </w:rPr>
        <w:t xml:space="preserve">16    Export</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Export the diagram as SVG, one results chart as PNG, and the full report as HTML. Save your study as a JSON file.</w:t>
      </w:r>
    </w:p>
    <w:p>
      <w:pPr>
        <w:spacing w:after="160" w:line="280"/>
        <w:jc w:val="both"/>
      </w:pPr>
      <w:r>
        <w:rPr>
          <w:rFonts w:ascii="Times New Roman" w:cs="Times New Roman" w:eastAsia="Times New Roman" w:hAnsi="Times New Roman"/>
          <w:i/>
          <w:iCs/>
          <w:sz w:val="20"/>
          <w:szCs w:val="20"/>
        </w:rPr>
        <w:t xml:space="preserve">Submit: the report, one chart, your completed tables from tasks 3, 14 and 15, and a paragraph naming the assumption you would most want to verify with primary data.</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2026-09-25T20:04:43.183Z</dcterms:created>
  <dcterms:modified xsi:type="dcterms:W3CDTF">2026-09-25T20:04:43.183Z</dcterms:modified>
</cp:coreProperties>
</file>

<file path=docProps/custom.xml><?xml version="1.0" encoding="utf-8"?>
<Properties xmlns="http://schemas.openxmlformats.org/officeDocument/2006/custom-properties" xmlns:vt="http://schemas.openxmlformats.org/officeDocument/2006/docPropsVTypes"/>
</file>