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Times New Roman" w:cs="Times New Roman" w:eastAsia="Times New Roman" w:hAnsi="Times New Roman"/>
          <w:sz w:val="26"/>
          <w:szCs w:val="26"/>
        </w:rPr>
        <w:t xml:space="preserve">LCA Studio</w:t>
      </w:r>
    </w:p>
    <w:p>
      <w:pPr>
        <w:spacing w:after="240"/>
      </w:pPr>
      <w:r>
        <w:rPr>
          <w:rFonts w:ascii="Times New Roman" w:cs="Times New Roman" w:eastAsia="Times New Roman" w:hAnsi="Times New Roman"/>
          <w:b/>
          <w:bCs/>
          <w:sz w:val="48"/>
          <w:szCs w:val="48"/>
        </w:rPr>
        <w:t xml:space="preserve">Guided Task, with Answers</w:t>
      </w:r>
    </w:p>
    <w:p>
      <w:pPr>
        <w:spacing w:after="120"/>
      </w:pPr>
      <w:r>
        <w:rPr>
          <w:rFonts w:ascii="Times New Roman" w:cs="Times New Roman" w:eastAsia="Times New Roman" w:hAnsi="Times New Roman"/>
          <w:sz w:val="28"/>
          <w:szCs w:val="28"/>
        </w:rPr>
        <w:t xml:space="preserve">A Complete Life Cycle Sustainability Assessment in the LCA Studio</w:t>
      </w:r>
    </w:p>
    <w:p>
      <w:pPr>
        <w:spacing w:after="1600"/>
      </w:pPr>
      <w:r>
        <w:rPr>
          <w:rFonts w:ascii="Times New Roman" w:cs="Times New Roman" w:eastAsia="Times New Roman" w:hAnsi="Times New Roman"/>
          <w:sz w:val="24"/>
          <w:szCs w:val="24"/>
        </w:rPr>
        <w:t xml:space="preserve">LCA Studio · GH2GH 10 kW PEM electrolyser stack</w:t>
      </w:r>
    </w:p>
    <w:p>
      <w:r>
        <w:rPr>
          <w:rFonts w:ascii="Times New Roman" w:cs="Times New Roman" w:eastAsia="Times New Roman" w:hAnsi="Times New Roman"/>
          <w:sz w:val="20"/>
          <w:szCs w:val="20"/>
        </w:rPr>
        <w:t xml:space="preserve">Sustainable Technologies Laboratory (STL), Hochschule Bochum</w:t>
      </w:r>
    </w:p>
    <w:p>
      <w:pPr>
        <w:spacing w:before="600"/>
      </w:pPr>
      <w:r>
        <w:rPr>
          <w:rFonts w:ascii="Times New Roman" w:cs="Times New Roman" w:eastAsia="Times New Roman" w:hAnsi="Times New Roman"/>
          <w:i/>
          <w:iCs/>
          <w:sz w:val="16"/>
          <w:szCs w:val="16"/>
        </w:rPr>
        <w:t xml:space="preserve">Co-funded by the European Union (Erasmus+, 101194163 — H2VE — ERASMUS-EDU-2024-PEX-COVE). Views and opinions expressed are those of the author(s) only and do not necessarily reflect those of the European Union or EACEA.</w:t>
      </w:r>
    </w:p>
    <w:p>
      <w:pPr>
        <w:sectPr>
          <w:pgSz w:w="11906" w:h="16838" w:orient="portrait"/>
          <w:pgMar w:top="1418" w:right="1418" w:bottom="1418" w:left="1418" w:header="708" w:footer="708" w:gutter="0"/>
          <w:pgNumType/>
          <w:docGrid w:linePitch="360"/>
        </w:sectPr>
      </w:pPr>
    </w:p>
    <w:p>
      <w:pPr>
        <w:spacing w:after="200"/>
      </w:pPr>
      <w:r>
        <w:rPr>
          <w:rFonts w:ascii="Times New Roman" w:cs="Times New Roman" w:eastAsia="Times New Roman" w:hAnsi="Times New Roman"/>
          <w:b/>
          <w:bCs/>
          <w:sz w:val="30"/>
          <w:szCs w:val="30"/>
        </w:rPr>
        <w:t xml:space="preserve">Contents</w:t>
      </w:r>
    </w:p>
    <w:p>
      <w:pPr>
        <w:spacing w:after="60" w:line="280"/>
      </w:pPr>
      <w:r>
        <w:rPr>
          <w:rFonts w:ascii="Times New Roman" w:cs="Times New Roman" w:eastAsia="Times New Roman" w:hAnsi="Times New Roman"/>
          <w:b/>
          <w:bCs/>
          <w:sz w:val="22"/>
          <w:szCs w:val="22"/>
        </w:rPr>
        <w:t xml:space="preserve">Part A  Environmental LCA (steps 1 to 7)</w:t>
      </w:r>
    </w:p>
    <w:p>
      <w:pPr>
        <w:spacing w:after="60" w:line="280"/>
      </w:pPr>
      <w:r>
        <w:rPr>
          <w:rFonts w:ascii="Times New Roman" w:cs="Times New Roman" w:eastAsia="Times New Roman" w:hAnsi="Times New Roman"/>
          <w:b/>
          <w:bCs/>
          <w:sz w:val="22"/>
          <w:szCs w:val="22"/>
        </w:rPr>
        <w:t xml:space="preserve">Part B  Social LCA (indicators, country values, results)</w:t>
      </w:r>
    </w:p>
    <w:p>
      <w:pPr>
        <w:spacing w:after="60" w:line="280"/>
      </w:pPr>
      <w:r>
        <w:rPr>
          <w:rFonts w:ascii="Times New Roman" w:cs="Times New Roman" w:eastAsia="Times New Roman" w:hAnsi="Times New Roman"/>
          <w:b/>
          <w:bCs/>
          <w:sz w:val="22"/>
          <w:szCs w:val="22"/>
        </w:rPr>
        <w:t xml:space="preserve">Part C  Life cycle costing (scope, discounting, sensitivity)</w:t>
      </w:r>
    </w:p>
    <w:p>
      <w:pPr>
        <w:spacing w:after="60" w:line="280"/>
      </w:pPr>
      <w:r>
        <w:rPr>
          <w:rFonts w:ascii="Times New Roman" w:cs="Times New Roman" w:eastAsia="Times New Roman" w:hAnsi="Times New Roman"/>
          <w:b/>
          <w:bCs/>
          <w:sz w:val="22"/>
          <w:szCs w:val="22"/>
        </w:rPr>
        <w:t xml:space="preserve">Part D  Comparing the three, and a design proposal</w:t>
      </w:r>
    </w:p>
    <w:p>
      <w:pPr>
        <w:pageBreakBefore/>
      </w:pPr>
      <w:r>
        <w:br/>
        <w:t xml:space="preserve"/>
      </w:r>
    </w:p>
    <w:p>
      <w:pPr>
        <w:spacing w:after="140" w:line="300"/>
        <w:jc w:val="both"/>
      </w:pPr>
      <w:r>
        <w:rPr>
          <w:rFonts w:ascii="Times New Roman" w:cs="Times New Roman" w:eastAsia="Times New Roman" w:hAnsi="Times New Roman"/>
          <w:sz w:val="24"/>
          <w:szCs w:val="24"/>
        </w:rPr>
        <w:t xml:space="preserve">This task takes you through one complete life cycle sustainability assessment in the LCA Studio, from raw material to end of life. The object of study is the 10 kW PEM electrolyser stack of the GH2GH mini-grid: manufactured in Europe, operated in Ghana on surplus solar electricity. You will assess it three ways, environmental, social and economic, on one model. Allow about three hours, or two sessions.</w:t>
      </w:r>
    </w:p>
    <w:p>
      <w:pPr>
        <w:spacing w:after="160" w:line="280"/>
        <w:jc w:val="both"/>
      </w:pPr>
      <w:r>
        <w:rPr>
          <w:rFonts w:ascii="Times New Roman" w:cs="Times New Roman" w:eastAsia="Times New Roman" w:hAnsi="Times New Roman"/>
          <w:i/>
          <w:iCs/>
          <w:sz w:val="20"/>
          <w:szCs w:val="20"/>
        </w:rPr>
        <w:t xml:space="preserve">Open the Studio. The example study is already loaded, so nothing is blank. You will inspect it, then change it and watch what moves.</w:t>
      </w:r>
    </w:p>
    <w:p>
      <w:pPr>
        <w:pStyle w:val="Heading1"/>
        <w:spacing w:after="200" w:before="400"/>
      </w:pPr>
      <w:r>
        <w:rPr>
          <w:rFonts w:ascii="Times New Roman" w:cs="Times New Roman" w:eastAsia="Times New Roman" w:hAnsi="Times New Roman"/>
          <w:b/>
          <w:bCs/>
          <w:sz w:val="30"/>
          <w:szCs w:val="30"/>
        </w:rPr>
        <w:t xml:space="preserve">Part A, Environmental LCA</w:t>
      </w:r>
    </w:p>
    <w:p>
      <w:pPr>
        <w:pStyle w:val="Heading2"/>
        <w:spacing w:after="140" w:before="300"/>
      </w:pPr>
      <w:r>
        <w:rPr>
          <w:rFonts w:ascii="Times New Roman" w:cs="Times New Roman" w:eastAsia="Times New Roman" w:hAnsi="Times New Roman"/>
          <w:b/>
          <w:bCs/>
          <w:sz w:val="26"/>
          <w:szCs w:val="26"/>
        </w:rPr>
        <w:t xml:space="preserve">1    Goal and scope</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Read the goal already written in step 1, then rewrite it for a different audience: a procurement officer who must choose between two suppliers.</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What must change in the goal, and what follows from that change?</w:t>
      </w:r>
    </w:p>
    <w:p>
      <w:pPr>
        <w:spacing w:after="160" w:line="300"/>
        <w:ind w:left="360"/>
        <w:jc w:val="both"/>
      </w:pPr>
      <w:r>
        <w:rPr>
          <w:rFonts w:ascii="Times New Roman" w:cs="Times New Roman" w:eastAsia="Times New Roman" w:hAnsi="Times New Roman"/>
          <w:sz w:val="24"/>
          <w:szCs w:val="24"/>
        </w:rPr>
        <w:t xml:space="preserve">A procurement decision is comparative. If the comparison is disclosed to the public, ISO 14044 requires a critical review by interested parties, and weighting is not permitted. The goal must therefore state the comparison explicitly, and the scope must be identical for both suppliers, since a result is only comparable on the same functional unit and boundary.</w:t>
      </w:r>
    </w:p>
    <w:p>
      <w:pPr>
        <w:pStyle w:val="Heading2"/>
        <w:spacing w:after="140" w:before="300"/>
      </w:pPr>
      <w:r>
        <w:rPr>
          <w:rFonts w:ascii="Times New Roman" w:cs="Times New Roman" w:eastAsia="Times New Roman" w:hAnsi="Times New Roman"/>
          <w:b/>
          <w:bCs/>
          <w:sz w:val="26"/>
          <w:szCs w:val="26"/>
        </w:rPr>
        <w:t xml:space="preserve">2    Functional unit</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The study uses 1 kWh delivered over 15 years, with 45 000 kWh as the amount. Change the amount to 1 and look at the results, then change it back.</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What happened to every number, and what did not change?</w:t>
      </w:r>
    </w:p>
    <w:p>
      <w:pPr>
        <w:spacing w:after="160" w:line="300"/>
        <w:ind w:left="360"/>
        <w:jc w:val="both"/>
      </w:pPr>
      <w:r>
        <w:rPr>
          <w:rFonts w:ascii="Times New Roman" w:cs="Times New Roman" w:eastAsia="Times New Roman" w:hAnsi="Times New Roman"/>
          <w:sz w:val="24"/>
          <w:szCs w:val="24"/>
        </w:rPr>
        <w:t xml:space="preserve">Every result was multiplied by 45 000, because results are divided by the functional unit amount. The ranking of processes did not change at all. The functional unit sets the scale of the answer, not its shape.</w:t>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Why is 'one stack' not an acceptable functional unit for this study?</w:t>
      </w:r>
    </w:p>
    <w:p>
      <w:pPr>
        <w:spacing w:after="160" w:line="300"/>
        <w:ind w:left="360"/>
        <w:jc w:val="both"/>
      </w:pPr>
      <w:r>
        <w:rPr>
          <w:rFonts w:ascii="Times New Roman" w:cs="Times New Roman" w:eastAsia="Times New Roman" w:hAnsi="Times New Roman"/>
          <w:sz w:val="24"/>
          <w:szCs w:val="24"/>
        </w:rPr>
        <w:t xml:space="preserve">It describes an object rather than a service. Two stacks with different efficiencies and lifetimes both weigh about the same, so a per-stack result would rank them as equal. The reference flow is one stack plus two membrane replacements; the functional unit is the electricity delivered.</w:t>
      </w:r>
    </w:p>
    <w:p>
      <w:pPr>
        <w:pStyle w:val="Heading2"/>
        <w:spacing w:after="140" w:before="300"/>
      </w:pPr>
      <w:r>
        <w:rPr>
          <w:rFonts w:ascii="Times New Roman" w:cs="Times New Roman" w:eastAsia="Times New Roman" w:hAnsi="Times New Roman"/>
          <w:b/>
          <w:bCs/>
          <w:sz w:val="26"/>
          <w:szCs w:val="26"/>
        </w:rPr>
        <w:t xml:space="preserve">3    System boundary and the product system</w:t>
      </w:r>
    </w:p>
    <w:p>
      <w:pPr>
        <w:spacing w:after="140" w:line="300"/>
        <w:jc w:val="both"/>
      </w:pPr>
      <w:r>
        <w:rPr>
          <w:rFonts w:ascii="Times New Roman" w:cs="Times New Roman" w:eastAsia="Times New Roman" w:hAnsi="Times New Roman"/>
          <w:sz w:val="24"/>
          <w:szCs w:val="24"/>
        </w:rPr>
        <w:t xml:space="preserve">The model is built in four layers, which is what makes a stack assessable at all.</w:t>
      </w:r>
    </w:p>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1700"/>
        <w:gridCol w:w="3100"/>
        <w:gridCol w:w="3700"/>
      </w:tblGrid>
      <w:tr>
        <w:trPr>
          <w:tblHeader/>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Layer</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Processes</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What it represents</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Raw materials</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Catalyst metals; polymer and carbon; titanium stock; steel and copper stock</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Material leaving the supplier</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Sub-components</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MEA manufacturing; bipolar plate manufacturing; end plate and frame manufacturing</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Each sub-component made from those materials</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Assembly</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Stack assembly</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Sub-components brought together into the 10 kW stack</w:t>
            </w:r>
          </w:p>
        </w:tc>
      </w:tr>
      <w:tr>
        <w:trPr>
          <w:tblHeader w:val="false"/>
        </w:trPr>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Downstream</w:t>
            </w:r>
          </w:p>
        </w:tc>
        <w:tc>
          <w:tcPr>
            <w:tcW w:type="dxa" w:w="3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Transport; operation; MEA replacement; end of life</w:t>
            </w:r>
          </w:p>
        </w:tc>
        <w:tc>
          <w:tcPr>
            <w:tcW w:type="dxa" w:w="3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What happens to the stack afterwards</w:t>
            </w:r>
          </w:p>
        </w:tc>
      </w:tr>
    </w:tbl>
    <w:p>
      <w:pPr>
        <w:spacing w:after="140" w:before="240" w:line="300"/>
        <w:jc w:val="both"/>
      </w:pPr>
      <w:r>
        <w:rPr>
          <w:rFonts w:ascii="Times New Roman" w:cs="Times New Roman" w:eastAsia="Times New Roman" w:hAnsi="Times New Roman"/>
          <w:b/>
          <w:bCs/>
          <w:sz w:val="24"/>
          <w:szCs w:val="24"/>
        </w:rPr>
        <w:t xml:space="preserve">Task 1: </w:t>
      </w:r>
      <w:r>
        <w:rPr>
          <w:rFonts w:ascii="Times New Roman" w:cs="Times New Roman" w:eastAsia="Times New Roman" w:hAnsi="Times New Roman"/>
          <w:b/>
          <w:bCs/>
          <w:sz w:val="24"/>
          <w:szCs w:val="24"/>
        </w:rPr>
        <w:t xml:space="preserve">Open each of the three sub-component processes and write down what goes into it.</w:t>
      </w:r>
    </w:p>
    <w:tbl>
      <w:tblPr>
        <w:tblW w:type="dxa" w:w="8500"/>
        <w:tblBorders>
          <w:top w:val="none" w:color="FFFFFF" w:sz="0"/>
          <w:left w:val="none" w:color="FFFFFF" w:sz="0"/>
          <w:bottom w:val="none" w:color="FFFFFF" w:sz="0"/>
          <w:right w:val="none" w:color="FFFFFF" w:sz="0"/>
          <w:insideH w:val="none" w:color="FFFFFF" w:sz="0"/>
          <w:insideV w:val="none" w:color="FFFFFF" w:sz="0"/>
        </w:tblBorders>
      </w:tblPr>
      <w:tblGrid>
        <w:gridCol w:w="2600"/>
        <w:gridCol w:w="3300"/>
        <w:gridCol w:w="2600"/>
      </w:tblGrid>
      <w:tr>
        <w:trPr>
          <w:tblHeader/>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Sub-component</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Material inputs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Process inputs</w:t>
            </w:r>
          </w:p>
        </w:tc>
      </w:tr>
      <w:tr>
        <w:trPr>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Membrane electrode assembly</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Bipolar plates</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End plates and frame</w:t>
            </w:r>
          </w:p>
        </w:tc>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bl>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Which sub-component carries the platinum and iridium, and why does that matter for every later step?</w:t>
      </w:r>
    </w:p>
    <w:p>
      <w:pPr>
        <w:spacing w:after="160" w:line="300"/>
        <w:ind w:left="360"/>
        <w:jc w:val="both"/>
      </w:pPr>
      <w:r>
        <w:rPr>
          <w:rFonts w:ascii="Times New Roman" w:cs="Times New Roman" w:eastAsia="Times New Roman" w:hAnsi="Times New Roman"/>
          <w:sz w:val="24"/>
          <w:szCs w:val="24"/>
        </w:rPr>
        <w:t xml:space="preserve">The membrane electrode assembly. It matters because the catalyst metals dominate resource scarcity, drive most of the purchase cost, sit in the process that is replaced twice during the 15 years, and are the only material worth recovering at end of life. One sub-component therefore leads the environmental, economic and circularity story at once.</w:t>
      </w:r>
    </w:p>
    <w:p>
      <w:pPr>
        <w:spacing w:after="140" w:before="240" w:line="300"/>
        <w:jc w:val="both"/>
      </w:pPr>
      <w:r>
        <w:rPr>
          <w:rFonts w:ascii="Times New Roman" w:cs="Times New Roman" w:eastAsia="Times New Roman" w:hAnsi="Times New Roman"/>
          <w:b/>
          <w:bCs/>
          <w:sz w:val="24"/>
          <w:szCs w:val="24"/>
        </w:rPr>
        <w:t xml:space="preserve">Task 2: </w:t>
      </w:r>
      <w:r>
        <w:rPr>
          <w:rFonts w:ascii="Times New Roman" w:cs="Times New Roman" w:eastAsia="Times New Roman" w:hAnsi="Times New Roman"/>
          <w:b/>
          <w:bCs/>
          <w:sz w:val="24"/>
          <w:szCs w:val="24"/>
        </w:rPr>
        <w:t xml:space="preserve">Drag the end-of-life process outside the dashed frame, look at the results, then drag it back.</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What did the totals do, and what does the Studio report instead of a zero?</w:t>
      </w:r>
    </w:p>
    <w:p>
      <w:pPr>
        <w:spacing w:after="160" w:line="300"/>
        <w:ind w:left="360"/>
        <w:jc w:val="both"/>
      </w:pPr>
      <w:r>
        <w:rPr>
          <w:rFonts w:ascii="Times New Roman" w:cs="Times New Roman" w:eastAsia="Times New Roman" w:hAnsi="Times New Roman"/>
          <w:sz w:val="24"/>
          <w:szCs w:val="24"/>
        </w:rPr>
        <w:t xml:space="preserve">The totals fell, because the treatment and the recovery credit both left the study. The process is labelled as outside the frame and listed as excluded rather than counted as zero. That distinction is the whole point of declaring a cut-off: an excluded process is a stated decision, not an absence of impact.</w:t>
      </w:r>
    </w:p>
    <w:p>
      <w:pPr>
        <w:spacing w:after="140" w:before="240" w:line="300"/>
        <w:jc w:val="both"/>
      </w:pPr>
      <w:r>
        <w:rPr>
          <w:rFonts w:ascii="Times New Roman" w:cs="Times New Roman" w:eastAsia="Times New Roman" w:hAnsi="Times New Roman"/>
          <w:b/>
          <w:bCs/>
          <w:sz w:val="24"/>
          <w:szCs w:val="24"/>
        </w:rPr>
        <w:t xml:space="preserve">Task 3: </w:t>
      </w:r>
      <w:r>
        <w:rPr>
          <w:rFonts w:ascii="Times New Roman" w:cs="Times New Roman" w:eastAsia="Times New Roman" w:hAnsi="Times New Roman"/>
          <w:b/>
          <w:bCs/>
          <w:sz w:val="24"/>
          <w:szCs w:val="24"/>
        </w:rPr>
        <w:t xml:space="preserve">Change the boundary type from cradle-to-grave to cradle-to-gate.</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Which processes does the Studio now flag as unusual, and is the flag an error?</w:t>
      </w:r>
    </w:p>
    <w:p>
      <w:pPr>
        <w:spacing w:after="160" w:line="300"/>
        <w:ind w:left="360"/>
        <w:jc w:val="both"/>
      </w:pPr>
      <w:r>
        <w:rPr>
          <w:rFonts w:ascii="Times New Roman" w:cs="Times New Roman" w:eastAsia="Times New Roman" w:hAnsi="Times New Roman"/>
          <w:sz w:val="24"/>
          <w:szCs w:val="24"/>
        </w:rPr>
        <w:t xml:space="preserve">Operation, maintenance and end of life are flagged, because a cradle-to-gate study stops at the factory gate. The flag is advisory, not an error: what is counted is still what sits inside the frame you drew. The Studio is telling you that your drawing and your declared scope disagree, and you must fix one of them.</w:t>
      </w:r>
    </w:p>
    <w:p>
      <w:pPr>
        <w:pStyle w:val="Heading2"/>
        <w:spacing w:after="140" w:before="300"/>
      </w:pPr>
      <w:r>
        <w:rPr>
          <w:rFonts w:ascii="Times New Roman" w:cs="Times New Roman" w:eastAsia="Times New Roman" w:hAnsi="Times New Roman"/>
          <w:b/>
          <w:bCs/>
          <w:sz w:val="26"/>
          <w:szCs w:val="26"/>
        </w:rPr>
        <w:t xml:space="preserve">4    Inventory</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4, add one input to the stack assembly process: 2 kg of packaging, linked to any polymer dataset. Then look at what the Studio says about datasets.</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Two of the datasets in this study are proxies. Find them and say why a proxy was necessary.</w:t>
      </w:r>
    </w:p>
    <w:p>
      <w:pPr>
        <w:spacing w:after="160" w:line="300"/>
        <w:ind w:left="360"/>
        <w:jc w:val="both"/>
      </w:pPr>
      <w:r>
        <w:rPr>
          <w:rFonts w:ascii="Times New Roman" w:cs="Times New Roman" w:eastAsia="Times New Roman" w:hAnsi="Times New Roman"/>
          <w:sz w:val="24"/>
          <w:szCs w:val="24"/>
        </w:rPr>
        <w:t xml:space="preserve">Iridium is modelled as a platinum-group-metal proxy, because no iridium dataset exists in the public databases. The PFSA membrane is modelled as PTFE, because no PFSA dataset is published either. Both are declared in the dataset notes. A proxy is acceptable practice; failing to declare it is not.</w:t>
      </w:r>
    </w:p>
    <w:p>
      <w:pPr>
        <w:pStyle w:val="Heading2"/>
        <w:spacing w:after="140" w:before="300"/>
      </w:pPr>
      <w:r>
        <w:rPr>
          <w:rFonts w:ascii="Times New Roman" w:cs="Times New Roman" w:eastAsia="Times New Roman" w:hAnsi="Times New Roman"/>
          <w:b/>
          <w:bCs/>
          <w:sz w:val="26"/>
          <w:szCs w:val="26"/>
        </w:rPr>
        <w:t xml:space="preserve">5    Impact assessment</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Switch the method between ReCiPe 2016 and EF 3.1, then to IPCC 2021.</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What does IPCC 2021 give you, and what does it hide?</w:t>
      </w:r>
    </w:p>
    <w:p>
      <w:pPr>
        <w:spacing w:after="160" w:line="300"/>
        <w:ind w:left="360"/>
        <w:jc w:val="both"/>
      </w:pPr>
      <w:r>
        <w:rPr>
          <w:rFonts w:ascii="Times New Roman" w:cs="Times New Roman" w:eastAsia="Times New Roman" w:hAnsi="Times New Roman"/>
          <w:sz w:val="24"/>
          <w:szCs w:val="24"/>
        </w:rPr>
        <w:t xml:space="preserve">It gives climate change only, in kg CO2 eq. It hides mineral resource scarcity, where the catalyst metals dominate, and water and acidification. A carbon footprint alone would report this stack as unremarkable while missing the material question entirely.</w:t>
      </w:r>
    </w:p>
    <w:p>
      <w:pPr>
        <w:pStyle w:val="Heading2"/>
        <w:spacing w:after="140" w:before="300"/>
      </w:pPr>
      <w:r>
        <w:rPr>
          <w:rFonts w:ascii="Times New Roman" w:cs="Times New Roman" w:eastAsia="Times New Roman" w:hAnsi="Times New Roman"/>
          <w:b/>
          <w:bCs/>
          <w:sz w:val="26"/>
          <w:szCs w:val="26"/>
        </w:rPr>
        <w:t xml:space="preserve">6    Results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the share view, tick every impact category. Read the coloured bars across the rows.</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Does one life cycle stage dominate every category? Record which stage leads each.</w:t>
      </w:r>
    </w:p>
    <w:p>
      <w:pPr>
        <w:spacing w:after="160" w:line="300"/>
        <w:ind w:left="360"/>
        <w:jc w:val="both"/>
      </w:pPr>
      <w:r>
        <w:rPr>
          <w:rFonts w:ascii="Times New Roman" w:cs="Times New Roman" w:eastAsia="Times New Roman" w:hAnsi="Times New Roman"/>
          <w:sz w:val="24"/>
          <w:szCs w:val="24"/>
        </w:rPr>
        <w:t xml:space="preserve">No. Raw materials dominate climate change through the mass of titanium and the energy of the catalyst metals, and dominate mineral resource scarcity even more strongly through platinum and iridium. Operation and maintenance take a larger share of water consumption. Where the colours shift between rows, the hotspot depends on the category, and a single-score result would have hidden that.</w:t>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Switch to the absolute view and export the chart as PNG. What is the climate result per kWh delivered?</w:t>
      </w:r>
    </w:p>
    <w:p>
      <w:pPr>
        <w:spacing w:after="160" w:line="300"/>
        <w:ind w:left="360"/>
        <w:jc w:val="both"/>
      </w:pPr>
      <w:r>
        <w:rPr>
          <w:rFonts w:ascii="Times New Roman" w:cs="Times New Roman" w:eastAsia="Times New Roman" w:hAnsi="Times New Roman"/>
          <w:sz w:val="24"/>
          <w:szCs w:val="24"/>
        </w:rPr>
        <w:t xml:space="preserve">About 0.046 kg CO2 eq per kWh delivered, for the example as supplied. Your figure will differ if you changed any input. Note that this is the hydrogen subsystem only: it is not the footprint of the electricity the mini-grid delivers overall.</w:t>
      </w:r>
    </w:p>
    <w:p>
      <w:pPr>
        <w:pStyle w:val="Heading2"/>
        <w:spacing w:after="140" w:before="300"/>
      </w:pPr>
      <w:r>
        <w:rPr>
          <w:rFonts w:ascii="Times New Roman" w:cs="Times New Roman" w:eastAsia="Times New Roman" w:hAnsi="Times New Roman"/>
          <w:b/>
          <w:bCs/>
          <w:sz w:val="26"/>
          <w:szCs w:val="26"/>
        </w:rPr>
        <w:t xml:space="preserve">7    Interpretation</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Write four sentences: what you found, what you assumed, what you cannot conclude, and what you would change in the design.</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Name the assumption that would most change your conclusion if it were wrong.</w:t>
      </w:r>
    </w:p>
    <w:p>
      <w:pPr>
        <w:spacing w:after="160" w:line="300"/>
        <w:ind w:left="360"/>
        <w:jc w:val="both"/>
      </w:pPr>
      <w:r>
        <w:rPr>
          <w:rFonts w:ascii="Times New Roman" w:cs="Times New Roman" w:eastAsia="Times New Roman" w:hAnsi="Times New Roman"/>
          <w:sz w:val="24"/>
          <w:szCs w:val="24"/>
        </w:rPr>
        <w:t xml:space="preserve">Defensible answers include the stack lifetime of 15 years with two replacements, the Ghanaian solar electricity factor, and the iridium proxy. A strong answer names one, says which direction the result would move, and says what data would settle it.</w:t>
      </w:r>
    </w:p>
    <w:p>
      <w:r>
        <w:br w:type="page"/>
      </w:r>
    </w:p>
    <w:p>
      <w:pPr>
        <w:pStyle w:val="Heading1"/>
        <w:spacing w:after="200" w:before="400"/>
      </w:pPr>
      <w:r>
        <w:rPr>
          <w:rFonts w:ascii="Times New Roman" w:cs="Times New Roman" w:eastAsia="Times New Roman" w:hAnsi="Times New Roman"/>
          <w:b/>
          <w:bCs/>
          <w:sz w:val="30"/>
          <w:szCs w:val="30"/>
        </w:rPr>
        <w:t xml:space="preserve">Part B, Social LCA</w:t>
      </w:r>
    </w:p>
    <w:p>
      <w:pPr>
        <w:spacing w:after="140" w:line="300"/>
        <w:jc w:val="both"/>
      </w:pPr>
      <w:r>
        <w:rPr>
          <w:rFonts w:ascii="Times New Roman" w:cs="Times New Roman" w:eastAsia="Times New Roman" w:hAnsi="Times New Roman"/>
          <w:sz w:val="24"/>
          <w:szCs w:val="24"/>
        </w:rPr>
        <w:t xml:space="preserve">The social pathway uses the same product system. What changes is the flow, worker hours instead of mass, and the characterisation, risk levels instead of emission factors. The structure follows the UNEP guidelines and the evaluation schemas come from the PSILCA manual.</w:t>
      </w:r>
    </w:p>
    <w:p>
      <w:pPr>
        <w:pStyle w:val="Heading2"/>
        <w:spacing w:after="140" w:before="300"/>
      </w:pPr>
      <w:r>
        <w:rPr>
          <w:rFonts w:ascii="Times New Roman" w:cs="Times New Roman" w:eastAsia="Times New Roman" w:hAnsi="Times New Roman"/>
          <w:b/>
          <w:bCs/>
          <w:sz w:val="26"/>
          <w:szCs w:val="26"/>
        </w:rPr>
        <w:t xml:space="preserve">8    Select the indicators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1, open each stakeholder category and select a set of six indicators for a screening study, covering at least three stakeholder categories.</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Why does the selection come before any data collection?</w:t>
      </w:r>
    </w:p>
    <w:p>
      <w:pPr>
        <w:spacing w:after="160" w:line="300"/>
        <w:ind w:left="360"/>
        <w:jc w:val="both"/>
      </w:pPr>
      <w:r>
        <w:rPr>
          <w:rFonts w:ascii="Times New Roman" w:cs="Times New Roman" w:eastAsia="Times New Roman" w:hAnsi="Times New Roman"/>
          <w:sz w:val="24"/>
          <w:szCs w:val="24"/>
        </w:rPr>
        <w:t xml:space="preserve">Because the indicators decide what data you need. Collecting first and choosing afterwards invites you to report whatever happens to look interesting, which is not an assessment. The UNEP structure of stakeholder, subcategory and indicator exists so the choice is explicit and auditable.</w:t>
      </w:r>
    </w:p>
    <w:p>
      <w:pPr>
        <w:pStyle w:val="Heading2"/>
        <w:spacing w:after="140" w:before="300"/>
      </w:pPr>
      <w:r>
        <w:rPr>
          <w:rFonts w:ascii="Times New Roman" w:cs="Times New Roman" w:eastAsia="Times New Roman" w:hAnsi="Times New Roman"/>
          <w:b/>
          <w:bCs/>
          <w:sz w:val="26"/>
          <w:szCs w:val="26"/>
        </w:rPr>
        <w:t xml:space="preserve">9    Enter the country values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2, select South Africa, then China, then Germany, and enter a raw value for each of your indicators. Use the unit shown, and the reference scale printed on the right of each row.</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For child labour in employment, total, enter 2.5 cases per 1000 for one country and 0.4 for another. What risk level does each become, and why is this not a judgement you made?</w:t>
      </w:r>
    </w:p>
    <w:p>
      <w:pPr>
        <w:spacing w:after="160" w:line="300"/>
        <w:ind w:left="360"/>
        <w:jc w:val="both"/>
      </w:pPr>
      <w:r>
        <w:rPr>
          <w:rFonts w:ascii="Times New Roman" w:cs="Times New Roman" w:eastAsia="Times New Roman" w:hAnsi="Times New Roman"/>
          <w:sz w:val="24"/>
          <w:szCs w:val="24"/>
        </w:rPr>
        <w:t xml:space="preserve">2.5 is high risk and 0.4 is very low risk. You did not choose those levels: the PSILCA reference scale for that indicator sets the bands at 0.63, 1.23, 2.18 and 3.16. Your judgement is in choosing the indicator and sourcing the value, not in assigning the level.</w:t>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Leave one field empty and look at the results. What does the Studio do with it?</w:t>
      </w:r>
    </w:p>
    <w:p>
      <w:pPr>
        <w:spacing w:after="160" w:line="300"/>
        <w:ind w:left="360"/>
        <w:jc w:val="both"/>
      </w:pPr>
      <w:r>
        <w:rPr>
          <w:rFonts w:ascii="Times New Roman" w:cs="Times New Roman" w:eastAsia="Times New Roman" w:hAnsi="Times New Roman"/>
          <w:sz w:val="24"/>
          <w:szCs w:val="24"/>
        </w:rPr>
        <w:t xml:space="preserve">It reports it as a data gap and excludes it from the total, rather than treating it as zero risk. A missing value is a missing value. Reporting the number of gaps alongside the result is what ISO 14075 expects.</w:t>
      </w:r>
    </w:p>
    <w:p>
      <w:pPr>
        <w:pStyle w:val="Heading2"/>
        <w:spacing w:after="140" w:before="300"/>
      </w:pPr>
      <w:r>
        <w:rPr>
          <w:rFonts w:ascii="Times New Roman" w:cs="Times New Roman" w:eastAsia="Times New Roman" w:hAnsi="Times New Roman"/>
          <w:b/>
          <w:bCs/>
          <w:sz w:val="26"/>
          <w:szCs w:val="26"/>
        </w:rPr>
        <w:t xml:space="preserve">10    Activity variable and results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In step 3 read the worker hours table, then open the results.</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Which flow carries the most worker hours, and is it the one you expected?</w:t>
      </w:r>
    </w:p>
    <w:p>
      <w:pPr>
        <w:spacing w:after="160" w:line="300"/>
        <w:ind w:left="360"/>
        <w:jc w:val="both"/>
      </w:pPr>
      <w:r>
        <w:rPr>
          <w:rFonts w:ascii="Times New Roman" w:cs="Times New Roman" w:eastAsia="Times New Roman" w:hAnsi="Times New Roman"/>
          <w:sz w:val="24"/>
          <w:szCs w:val="24"/>
        </w:rPr>
        <w:t xml:space="preserve">Usually the Chinese and South African material purchases, because those sectors are labour-intensive per unit of money spent. The expensive membrane from the United States carries fewer hours despite its price, because chemical production there is capital-intensive. Cost and labour intensity pull in different directions.</w:t>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Why can the risk levels not simply be added across processes?</w:t>
      </w:r>
    </w:p>
    <w:p>
      <w:pPr>
        <w:spacing w:after="160" w:line="300"/>
        <w:ind w:left="360"/>
        <w:jc w:val="both"/>
      </w:pPr>
      <w:r>
        <w:rPr>
          <w:rFonts w:ascii="Times New Roman" w:cs="Times New Roman" w:eastAsia="Times New Roman" w:hAnsi="Times New Roman"/>
          <w:sz w:val="24"/>
          <w:szCs w:val="24"/>
        </w:rPr>
        <w:t xml:space="preserve">They are ordinal classes, not quantities: high risk is not ten times medium risk in any measurable sense. The activity variable converts each process into worker hours, which can be added, and the characterisation weights then apply. That is why the workflow runs indicators, then values, then hours, then results.</w:t>
      </w:r>
    </w:p>
    <w:p>
      <w:r>
        <w:br w:type="page"/>
      </w:r>
    </w:p>
    <w:p>
      <w:pPr>
        <w:pStyle w:val="Heading1"/>
        <w:spacing w:after="200" w:before="400"/>
      </w:pPr>
      <w:r>
        <w:rPr>
          <w:rFonts w:ascii="Times New Roman" w:cs="Times New Roman" w:eastAsia="Times New Roman" w:hAnsi="Times New Roman"/>
          <w:b/>
          <w:bCs/>
          <w:sz w:val="30"/>
          <w:szCs w:val="30"/>
        </w:rPr>
        <w:t xml:space="preserve">Part C, Life cycle costing</w:t>
      </w:r>
    </w:p>
    <w:p>
      <w:pPr>
        <w:pStyle w:val="Heading2"/>
        <w:spacing w:after="140" w:before="300"/>
      </w:pPr>
      <w:r>
        <w:rPr>
          <w:rFonts w:ascii="Times New Roman" w:cs="Times New Roman" w:eastAsia="Times New Roman" w:hAnsi="Times New Roman"/>
          <w:b/>
          <w:bCs/>
          <w:sz w:val="26"/>
          <w:szCs w:val="26"/>
        </w:rPr>
        <w:t xml:space="preserve">11    Scope and discounting</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Read step 1, then set the perspective to investor, the period to 15 years and the discount rate to 5 %.</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Move the discount rate from 0 % to 10 % and record the life cycle cost at each end.</w:t>
      </w:r>
    </w:p>
    <w:p>
      <w:pPr>
        <w:spacing w:after="160" w:line="300"/>
        <w:ind w:left="360"/>
        <w:jc w:val="both"/>
      </w:pPr>
      <w:r>
        <w:rPr>
          <w:rFonts w:ascii="Times New Roman" w:cs="Times New Roman" w:eastAsia="Times New Roman" w:hAnsi="Times New Roman"/>
          <w:sz w:val="24"/>
          <w:szCs w:val="24"/>
        </w:rPr>
        <w:t xml:space="preserve">The total falls substantially as the rate rises, because the operating costs, the replacements in years 7 and 14 and the end-of-life treatment all sit in the future. At 0 % the total equals the undiscounted sum. The technology did not change: only an assumption did.</w:t>
      </w:r>
    </w:p>
    <w:p>
      <w:pPr>
        <w:pStyle w:val="Heading2"/>
        <w:spacing w:after="140" w:before="300"/>
      </w:pPr>
      <w:r>
        <w:rPr>
          <w:rFonts w:ascii="Times New Roman" w:cs="Times New Roman" w:eastAsia="Times New Roman" w:hAnsi="Times New Roman"/>
          <w:b/>
          <w:bCs/>
          <w:sz w:val="26"/>
          <w:szCs w:val="26"/>
        </w:rPr>
        <w:t xml:space="preserve">12    Cost inventory and results</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Open the end-of-life process and look at its two cost items.</w:t>
      </w:r>
    </w:p>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One amount is negative. What is it, and why is it entered that way?</w:t>
      </w:r>
    </w:p>
    <w:p>
      <w:pPr>
        <w:spacing w:after="160" w:line="300"/>
        <w:ind w:left="360"/>
        <w:jc w:val="both"/>
      </w:pPr>
      <w:r>
        <w:rPr>
          <w:rFonts w:ascii="Times New Roman" w:cs="Times New Roman" w:eastAsia="Times New Roman" w:hAnsi="Times New Roman"/>
          <w:sz w:val="24"/>
          <w:szCs w:val="24"/>
        </w:rPr>
        <w:t xml:space="preserve">The recovered platinum and titanium, entered as a residual value in the final year. It reduces the life cycle cost without being a payment received during operation. Entering it as a negative cost in the correct year is what lets discounting treat it properly.</w:t>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Raise the discount rate to 8 % and look at the recovery credit in the calculation table. What has happened to it, and what is the consequence for a circularity argument?</w:t>
      </w:r>
    </w:p>
    <w:p>
      <w:pPr>
        <w:spacing w:after="160" w:line="300"/>
        <w:ind w:left="360"/>
        <w:jc w:val="both"/>
      </w:pPr>
      <w:r>
        <w:rPr>
          <w:rFonts w:ascii="Times New Roman" w:cs="Times New Roman" w:eastAsia="Times New Roman" w:hAnsi="Times New Roman"/>
          <w:sz w:val="24"/>
          <w:szCs w:val="24"/>
        </w:rPr>
        <w:t xml:space="preserve">Its present value has shrunk to a small fraction of its nominal amount, because it arrives in year 15. At a high enough discount rate, recovery becomes nearly invisible in the economics while remaining fully visible in the material and environmental results. Any claim that recycling does not pay must state the discount rate it assumed.</w:t>
      </w:r>
    </w:p>
    <w:p>
      <w:pPr>
        <w:pStyle w:val="Heading2"/>
        <w:spacing w:after="140" w:before="300"/>
      </w:pPr>
      <w:r>
        <w:rPr>
          <w:rFonts w:ascii="Times New Roman" w:cs="Times New Roman" w:eastAsia="Times New Roman" w:hAnsi="Times New Roman"/>
          <w:b/>
          <w:bCs/>
          <w:sz w:val="26"/>
          <w:szCs w:val="26"/>
        </w:rPr>
        <w:t xml:space="preserve">13    Sensitivity</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Run step 6 and read the tornado chart.</w:t>
      </w:r>
    </w:p>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Is the result driven more by the technology or by the financial assumptions? Justify your answer from the chart.</w:t>
      </w:r>
    </w:p>
    <w:p>
      <w:pPr>
        <w:spacing w:after="160" w:line="300"/>
        <w:ind w:left="360"/>
        <w:jc w:val="both"/>
      </w:pPr>
      <w:r>
        <w:rPr>
          <w:rFonts w:ascii="Times New Roman" w:cs="Times New Roman" w:eastAsia="Times New Roman" w:hAnsi="Times New Roman"/>
          <w:sz w:val="24"/>
          <w:szCs w:val="24"/>
        </w:rPr>
        <w:t xml:space="preserve">If the discount rate and analysis period bars are longer than the capital and operating bars, the result is driven by financial assumptions. Say so in the report: it changes what a reader should argue about.</w:t>
      </w:r>
    </w:p>
    <w:p>
      <w:r>
        <w:br w:type="page"/>
      </w:r>
    </w:p>
    <w:p>
      <w:pPr>
        <w:pStyle w:val="Heading1"/>
        <w:spacing w:after="200" w:before="400"/>
      </w:pPr>
      <w:r>
        <w:rPr>
          <w:rFonts w:ascii="Times New Roman" w:cs="Times New Roman" w:eastAsia="Times New Roman" w:hAnsi="Times New Roman"/>
          <w:b/>
          <w:bCs/>
          <w:sz w:val="30"/>
          <w:szCs w:val="30"/>
        </w:rPr>
        <w:t xml:space="preserve">Part D, Bringing the three together</w:t>
      </w:r>
    </w:p>
    <w:p>
      <w:pPr>
        <w:pStyle w:val="Heading2"/>
        <w:spacing w:after="140" w:before="300"/>
      </w:pPr>
      <w:r>
        <w:rPr>
          <w:rFonts w:ascii="Times New Roman" w:cs="Times New Roman" w:eastAsia="Times New Roman" w:hAnsi="Times New Roman"/>
          <w:b/>
          <w:bCs/>
          <w:sz w:val="26"/>
          <w:szCs w:val="26"/>
        </w:rPr>
        <w:t xml:space="preserve">14    Compare</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Open the compare view and complete the table below from what you see.</w:t>
      </w:r>
    </w:p>
    <w:tbl>
      <w:tblPr>
        <w:tblW w:type="dxa" w:w="8700"/>
        <w:tblBorders>
          <w:top w:val="none" w:color="FFFFFF" w:sz="0"/>
          <w:left w:val="none" w:color="FFFFFF" w:sz="0"/>
          <w:bottom w:val="none" w:color="FFFFFF" w:sz="0"/>
          <w:right w:val="none" w:color="FFFFFF" w:sz="0"/>
          <w:insideH w:val="none" w:color="FFFFFF" w:sz="0"/>
          <w:insideV w:val="none" w:color="FFFFFF" w:sz="0"/>
        </w:tblBorders>
      </w:tblPr>
      <w:tblGrid>
        <w:gridCol w:w="2500"/>
        <w:gridCol w:w="2100"/>
        <w:gridCol w:w="2100"/>
        <w:gridCol w:w="2000"/>
      </w:tblGrid>
      <w:tr>
        <w:trPr>
          <w:tblHeader/>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Life cycle stage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Environmental share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Social share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Cost share</w:t>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Raw materials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Sub-component manufacturing</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Assembly</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Operation and maintenance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End of life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bl>
    <w:p>
      <w:pPr>
        <w:spacing w:after="140" w:before="240" w:line="300"/>
        <w:jc w:val="both"/>
      </w:pPr>
      <w:r>
        <w:rPr>
          <w:rFonts w:ascii="Times New Roman" w:cs="Times New Roman" w:eastAsia="Times New Roman" w:hAnsi="Times New Roman"/>
          <w:b/>
          <w:bCs/>
          <w:sz w:val="24"/>
          <w:szCs w:val="24"/>
        </w:rPr>
        <w:t xml:space="preserve">Sub-task 1: </w:t>
      </w:r>
      <w:r>
        <w:rPr>
          <w:rFonts w:ascii="Times New Roman" w:cs="Times New Roman" w:eastAsia="Times New Roman" w:hAnsi="Times New Roman"/>
          <w:b/>
          <w:bCs/>
          <w:sz w:val="24"/>
          <w:szCs w:val="24"/>
        </w:rPr>
        <w:t xml:space="preserve">Does the stage that dominates the environmental result also dominate cost and social risk?</w:t>
      </w:r>
    </w:p>
    <w:p>
      <w:pPr>
        <w:spacing w:after="160" w:line="300"/>
        <w:ind w:left="360"/>
        <w:jc w:val="both"/>
      </w:pPr>
      <w:r>
        <w:rPr>
          <w:rFonts w:ascii="Times New Roman" w:cs="Times New Roman" w:eastAsia="Times New Roman" w:hAnsi="Times New Roman"/>
          <w:sz w:val="24"/>
          <w:szCs w:val="24"/>
        </w:rPr>
        <w:t xml:space="preserve">Usually not. Raw materials dominate the environmental result and a large share of cost, while social risk concentrates wherever labour-intensive sectors sit, typically the Chinese and South African purchases. Operation dominates neither but accumulates cost steadily over 15 years.</w:t>
      </w:r>
    </w:p>
    <w:p>
      <w:pPr>
        <w:spacing w:after="140" w:before="240" w:line="300"/>
        <w:jc w:val="both"/>
      </w:pPr>
      <w:r>
        <w:rPr>
          <w:rFonts w:ascii="Times New Roman" w:cs="Times New Roman" w:eastAsia="Times New Roman" w:hAnsi="Times New Roman"/>
          <w:b/>
          <w:bCs/>
          <w:sz w:val="24"/>
          <w:szCs w:val="24"/>
        </w:rPr>
        <w:t xml:space="preserve">Sub-task 2: </w:t>
      </w:r>
      <w:r>
        <w:rPr>
          <w:rFonts w:ascii="Times New Roman" w:cs="Times New Roman" w:eastAsia="Times New Roman" w:hAnsi="Times New Roman"/>
          <w:b/>
          <w:bCs/>
          <w:sz w:val="24"/>
          <w:szCs w:val="24"/>
        </w:rPr>
        <w:t xml:space="preserve">Why does the Studio refuse to add the three results into one score?</w:t>
      </w:r>
    </w:p>
    <w:p>
      <w:pPr>
        <w:spacing w:after="160" w:line="300"/>
        <w:ind w:left="360"/>
        <w:jc w:val="both"/>
      </w:pPr>
      <w:r>
        <w:rPr>
          <w:rFonts w:ascii="Times New Roman" w:cs="Times New Roman" w:eastAsia="Times New Roman" w:hAnsi="Times New Roman"/>
          <w:sz w:val="24"/>
          <w:szCs w:val="24"/>
        </w:rPr>
        <w:t xml:space="preserve">They have different units, different value structures and different uncertainties. Combining them requires weighting, which is a value judgement, and ISO 14044 does not permit weighting in comparative assertions disclosed to the public. Showing them side by side preserves the trade-off instead of hiding it inside a single number.</w:t>
      </w:r>
    </w:p>
    <w:p>
      <w:pPr>
        <w:pStyle w:val="Heading2"/>
        <w:spacing w:after="140" w:before="300"/>
      </w:pPr>
      <w:r>
        <w:rPr>
          <w:rFonts w:ascii="Times New Roman" w:cs="Times New Roman" w:eastAsia="Times New Roman" w:hAnsi="Times New Roman"/>
          <w:b/>
          <w:bCs/>
          <w:sz w:val="26"/>
          <w:szCs w:val="26"/>
        </w:rPr>
        <w:t xml:space="preserve">15    Design proposal</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Propose one design change to this stack and predict its effect in all three columns before you model it. Then model it and compare.</w:t>
      </w:r>
    </w:p>
    <w:tbl>
      <w:tblPr>
        <w:tblW w:type="dxa" w:w="8700"/>
        <w:tblBorders>
          <w:top w:val="none" w:color="FFFFFF" w:sz="0"/>
          <w:left w:val="none" w:color="FFFFFF" w:sz="0"/>
          <w:bottom w:val="none" w:color="FFFFFF" w:sz="0"/>
          <w:right w:val="none" w:color="FFFFFF" w:sz="0"/>
          <w:insideH w:val="none" w:color="FFFFFF" w:sz="0"/>
          <w:insideV w:val="none" w:color="FFFFFF" w:sz="0"/>
        </w:tblBorders>
      </w:tblPr>
      <w:tblGrid>
        <w:gridCol w:w="2700"/>
        <w:gridCol w:w="2000"/>
        <w:gridCol w:w="2000"/>
        <w:gridCol w:w="2000"/>
      </w:tblGrid>
      <w:tr>
        <w:trPr>
          <w:tblHeader/>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Change proposed</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Effect on environment</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Effect on social risk</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bCs/>
                <w:sz w:val="21"/>
                <w:szCs w:val="21"/>
              </w:rPr>
              <w:t xml:space="preserve">Effect on cost</w:t>
            </w:r>
          </w:p>
        </w:tc>
      </w:tr>
      <w:tr>
        <w:trPr>
          <w:tblHeader w:val="false"/>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r>
        <w:trPr>
          <w:tblHeader w:val="false"/>
        </w:trPr>
        <w:tc>
          <w:tcPr>
            <w:tcW w:type="dxa" w:w="2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60"/>
            </w:pPr>
            <w:r>
              <w:rPr>
                <w:rFonts w:ascii="Times New Roman" w:cs="Times New Roman" w:eastAsia="Times New Roman" w:hAnsi="Times New Roman"/>
                <w:b w:val="false"/>
                <w:bCs w:val="false"/>
                <w:sz w:val="21"/>
                <w:szCs w:val="21"/>
              </w:rPr>
              <w:t xml:space="preserve"/>
            </w:r>
          </w:p>
        </w:tc>
      </w:tr>
    </w:tbl>
    <w:p>
      <w:pPr>
        <w:spacing w:after="140" w:before="240" w:line="300"/>
        <w:jc w:val="both"/>
      </w:pPr>
      <w:r>
        <w:rPr>
          <w:rFonts w:ascii="Times New Roman" w:cs="Times New Roman" w:eastAsia="Times New Roman" w:hAnsi="Times New Roman"/>
          <w:b/>
          <w:bCs/>
          <w:sz w:val="24"/>
          <w:szCs w:val="24"/>
        </w:rPr>
        <w:t xml:space="preserve">Sub-task: </w:t>
      </w:r>
      <w:r>
        <w:rPr>
          <w:rFonts w:ascii="Times New Roman" w:cs="Times New Roman" w:eastAsia="Times New Roman" w:hAnsi="Times New Roman"/>
          <w:b/>
          <w:bCs/>
          <w:sz w:val="24"/>
          <w:szCs w:val="24"/>
        </w:rPr>
        <w:t xml:space="preserve">Which changes improve one column at the expense of another?</w:t>
      </w:r>
    </w:p>
    <w:p>
      <w:pPr>
        <w:spacing w:after="160" w:line="300"/>
        <w:ind w:left="360"/>
        <w:jc w:val="both"/>
      </w:pPr>
      <w:r>
        <w:rPr>
          <w:rFonts w:ascii="Times New Roman" w:cs="Times New Roman" w:eastAsia="Times New Roman" w:hAnsi="Times New Roman"/>
          <w:sz w:val="24"/>
          <w:szCs w:val="24"/>
        </w:rPr>
        <w:t xml:space="preserve">Halving the catalyst loading cuts mineral resource scarcity and purchase cost sharply, barely moves climate change, and reduces the value recoverable at end of life, weakening the case for recycling. Sourcing titanium from Germany rather than China lowers social risk and raises cost. Both are real trade-offs, and naming them is the outcome of this exercise.</w:t>
      </w:r>
    </w:p>
    <w:p>
      <w:pPr>
        <w:pStyle w:val="Heading2"/>
        <w:spacing w:after="140" w:before="300"/>
      </w:pPr>
      <w:r>
        <w:rPr>
          <w:rFonts w:ascii="Times New Roman" w:cs="Times New Roman" w:eastAsia="Times New Roman" w:hAnsi="Times New Roman"/>
          <w:b/>
          <w:bCs/>
          <w:sz w:val="26"/>
          <w:szCs w:val="26"/>
        </w:rPr>
        <w:t xml:space="preserve">16    Export</w:t>
      </w:r>
    </w:p>
    <w:p>
      <w:pPr>
        <w:spacing w:after="140" w:before="240" w:line="300"/>
        <w:jc w:val="both"/>
      </w:pPr>
      <w:r>
        <w:rPr>
          <w:rFonts w:ascii="Times New Roman" w:cs="Times New Roman" w:eastAsia="Times New Roman" w:hAnsi="Times New Roman"/>
          <w:b/>
          <w:bCs/>
          <w:sz w:val="24"/>
          <w:szCs w:val="24"/>
        </w:rPr>
        <w:t xml:space="preserve">Task: </w:t>
      </w:r>
      <w:r>
        <w:rPr>
          <w:rFonts w:ascii="Times New Roman" w:cs="Times New Roman" w:eastAsia="Times New Roman" w:hAnsi="Times New Roman"/>
          <w:b/>
          <w:bCs/>
          <w:sz w:val="24"/>
          <w:szCs w:val="24"/>
        </w:rPr>
        <w:t xml:space="preserve">Export the diagram as SVG, one results chart as PNG, and the full report as HTML. Save your study as a JSON file.</w:t>
      </w:r>
    </w:p>
    <w:p>
      <w:pPr>
        <w:spacing w:after="160" w:line="280"/>
        <w:jc w:val="both"/>
      </w:pPr>
      <w:r>
        <w:rPr>
          <w:rFonts w:ascii="Times New Roman" w:cs="Times New Roman" w:eastAsia="Times New Roman" w:hAnsi="Times New Roman"/>
          <w:i/>
          <w:iCs/>
          <w:sz w:val="20"/>
          <w:szCs w:val="20"/>
        </w:rPr>
        <w:t xml:space="preserve">Submit: the report, one chart, your completed tables from tasks 3, 14 and 15, and a paragraph naming the assumption you would most want to verify with primary data.</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2026-09-25T20:04:43.096Z</dcterms:created>
  <dcterms:modified xsi:type="dcterms:W3CDTF">2026-09-25T20:04:43.107Z</dcterms:modified>
</cp:coreProperties>
</file>

<file path=docProps/custom.xml><?xml version="1.0" encoding="utf-8"?>
<Properties xmlns="http://schemas.openxmlformats.org/officeDocument/2006/custom-properties" xmlns:vt="http://schemas.openxmlformats.org/officeDocument/2006/docPropsVTypes"/>
</file>