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RE-NSW-2020-0144</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5 April 2025</w:t>
            </w:r>
          </w:p>
        </w:tc>
      </w:tr>
      <w:tr>
        <w:tc>
          <w:tcPr>
            <w:tcW w:type="dxa" w:w="2835"/>
            <w:shd w:val="clear" w:color="auto" w:fill="DCE6F1"/>
          </w:tcPr>
          <w:p>
            <w:r>
              <w:rPr>
                <w:b/>
                <w:sz w:val="20"/>
              </w:rPr>
              <w:t>Commodity</w:t>
            </w:r>
          </w:p>
        </w:tc>
        <w:tc>
          <w:tcPr>
            <w:tcW w:type="dxa" w:w="5669"/>
          </w:tcPr>
          <w:p>
            <w:r>
              <w:rPr>
                <w:sz w:val="20"/>
              </w:rPr>
              <w:t>Chickpeas</w:t>
            </w:r>
          </w:p>
        </w:tc>
      </w:tr>
      <w:tr>
        <w:tc>
          <w:tcPr>
            <w:tcW w:type="dxa" w:w="2835"/>
            <w:shd w:val="clear" w:color="auto" w:fill="DCE6F1"/>
          </w:tcPr>
          <w:p>
            <w:r>
              <w:rPr>
                <w:b/>
                <w:sz w:val="20"/>
              </w:rPr>
              <w:t>Destination</w:t>
            </w:r>
          </w:p>
        </w:tc>
        <w:tc>
          <w:tcPr>
            <w:tcW w:type="dxa" w:w="5669"/>
          </w:tcPr>
          <w:p>
            <w:r>
              <w:rPr>
                <w:sz w:val="20"/>
              </w:rPr>
              <w:t>India</w:t>
            </w:r>
          </w:p>
        </w:tc>
      </w:tr>
      <w:tr>
        <w:tc>
          <w:tcPr>
            <w:tcW w:type="dxa" w:w="2835"/>
            <w:shd w:val="clear" w:color="auto" w:fill="DCE6F1"/>
          </w:tcPr>
          <w:p>
            <w:r>
              <w:rPr>
                <w:b/>
                <w:sz w:val="20"/>
              </w:rPr>
              <w:t>ABN</w:t>
            </w:r>
          </w:p>
        </w:tc>
        <w:tc>
          <w:tcPr>
            <w:tcW w:type="dxa" w:w="5669"/>
          </w:tcPr>
          <w:p>
            <w:r>
              <w:rPr>
                <w:sz w:val="20"/>
              </w:rPr>
              <w:t>83 456 789 013</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Namoi Grain Trust</w:t>
            </w:r>
          </w:p>
        </w:tc>
      </w:tr>
      <w:tr>
        <w:tc>
          <w:tcPr>
            <w:tcW w:type="dxa" w:w="2835"/>
            <w:shd w:val="clear" w:color="auto" w:fill="DCE6F1"/>
          </w:tcPr>
          <w:p>
            <w:r>
              <w:rPr>
                <w:b/>
                <w:sz w:val="20"/>
              </w:rPr>
              <w:t>Trading Name</w:t>
            </w:r>
          </w:p>
        </w:tc>
        <w:tc>
          <w:tcPr>
            <w:tcW w:type="dxa" w:w="5669"/>
          </w:tcPr>
          <w:p>
            <w:r>
              <w:rPr>
                <w:sz w:val="20"/>
              </w:rPr>
              <w:t>Namoi Grain Trust</w:t>
            </w:r>
          </w:p>
        </w:tc>
      </w:tr>
      <w:tr>
        <w:tc>
          <w:tcPr>
            <w:tcW w:type="dxa" w:w="2835"/>
            <w:shd w:val="clear" w:color="auto" w:fill="DCE6F1"/>
          </w:tcPr>
          <w:p>
            <w:r>
              <w:rPr>
                <w:b/>
                <w:sz w:val="20"/>
              </w:rPr>
              <w:t>Address</w:t>
            </w:r>
          </w:p>
        </w:tc>
        <w:tc>
          <w:tcPr>
            <w:tcW w:type="dxa" w:w="5669"/>
          </w:tcPr>
          <w:p>
            <w:r>
              <w:rPr>
                <w:sz w:val="20"/>
              </w:rPr>
              <w:t>32 Newell Highway, Narrabri NSW 2390</w:t>
            </w:r>
          </w:p>
        </w:tc>
      </w:tr>
      <w:tr>
        <w:tc>
          <w:tcPr>
            <w:tcW w:type="dxa" w:w="2835"/>
            <w:shd w:val="clear" w:color="auto" w:fill="DCE6F1"/>
          </w:tcPr>
          <w:p>
            <w:r>
              <w:rPr>
                <w:b/>
                <w:sz w:val="20"/>
              </w:rPr>
              <w:t>State/Territory</w:t>
            </w:r>
          </w:p>
        </w:tc>
        <w:tc>
          <w:tcPr>
            <w:tcW w:type="dxa" w:w="5669"/>
          </w:tcPr>
          <w:p>
            <w:r>
              <w:rPr>
                <w:sz w:val="20"/>
              </w:rPr>
              <w:t>NSW</w:t>
            </w:r>
          </w:p>
        </w:tc>
      </w:tr>
      <w:tr>
        <w:tc>
          <w:tcPr>
            <w:tcW w:type="dxa" w:w="2835"/>
            <w:shd w:val="clear" w:color="auto" w:fill="DCE6F1"/>
          </w:tcPr>
          <w:p>
            <w:r>
              <w:rPr>
                <w:b/>
                <w:sz w:val="20"/>
              </w:rPr>
              <w:t>Contact Person</w:t>
            </w:r>
          </w:p>
        </w:tc>
        <w:tc>
          <w:tcPr>
            <w:tcW w:type="dxa" w:w="5669"/>
          </w:tcPr>
          <w:p>
            <w:r>
              <w:rPr>
                <w:sz w:val="20"/>
              </w:rPr>
              <w:t>Colin Fraser</w:t>
            </w:r>
          </w:p>
        </w:tc>
      </w:tr>
      <w:tr>
        <w:tc>
          <w:tcPr>
            <w:tcW w:type="dxa" w:w="2835"/>
            <w:shd w:val="clear" w:color="auto" w:fill="DCE6F1"/>
          </w:tcPr>
          <w:p>
            <w:r>
              <w:rPr>
                <w:b/>
                <w:sz w:val="20"/>
              </w:rPr>
              <w:t>Business Structure</w:t>
            </w:r>
          </w:p>
        </w:tc>
        <w:tc>
          <w:tcPr>
            <w:tcW w:type="dxa" w:w="5669"/>
          </w:tcPr>
          <w:p>
            <w:r>
              <w:rPr>
                <w:sz w:val="20"/>
              </w:rPr>
              <w:t>Family trust</w:t>
            </w:r>
          </w:p>
        </w:tc>
      </w:tr>
      <w:tr>
        <w:tc>
          <w:tcPr>
            <w:tcW w:type="dxa" w:w="2835"/>
            <w:shd w:val="clear" w:color="auto" w:fill="DCE6F1"/>
          </w:tcPr>
          <w:p>
            <w:r>
              <w:rPr>
                <w:b/>
                <w:sz w:val="20"/>
              </w:rPr>
              <w:t>Registration Number</w:t>
            </w:r>
          </w:p>
        </w:tc>
        <w:tc>
          <w:tcPr>
            <w:tcW w:type="dxa" w:w="5669"/>
          </w:tcPr>
          <w:p>
            <w:r>
              <w:rPr>
                <w:sz w:val="20"/>
              </w:rPr>
              <w:t>RE-NSW-2020-0144</w:t>
            </w:r>
          </w:p>
        </w:tc>
      </w:tr>
      <w:tr>
        <w:tc>
          <w:tcPr>
            <w:tcW w:type="dxa" w:w="2835"/>
            <w:shd w:val="clear" w:color="auto" w:fill="DCE6F1"/>
          </w:tcPr>
          <w:p>
            <w:r>
              <w:rPr>
                <w:b/>
                <w:sz w:val="20"/>
              </w:rPr>
              <w:t>Registration Expiry</w:t>
            </w:r>
          </w:p>
        </w:tc>
        <w:tc>
          <w:tcPr>
            <w:tcW w:type="dxa" w:w="5669"/>
          </w:tcPr>
          <w:p>
            <w:r>
              <w:rPr>
                <w:sz w:val="20"/>
              </w:rPr>
              <w:t>13 June 2023</w:t>
            </w:r>
          </w:p>
        </w:tc>
      </w:tr>
    </w:tbl>
    <w:p/>
    <w:p>
      <w:pPr>
        <w:pStyle w:val="Heading1"/>
      </w:pPr>
      <w:r>
        <w:rPr>
          <w:color w:val="1F497D"/>
          <w:sz w:val="26"/>
        </w:rPr>
        <w:t>2. Registered Export Operations</w:t>
      </w:r>
    </w:p>
    <w:p>
      <w:r>
        <w:rPr>
          <w:sz w:val="20"/>
        </w:rPr>
        <w:t>This establishment is registered to export chickpeas (pulse). Operations have expanded to include contract receival services for neighbouring farms, including weighbridge services, drying, and bagging for domestic sale. These contract activities are integrated with the export operation and use shared receival infrastructure.</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Chickpeas receival</w:t>
            </w:r>
          </w:p>
        </w:tc>
        <w:tc>
          <w:tcPr>
            <w:tcW w:type="dxa" w:w="3135"/>
            <w:shd w:val="clear" w:color="auto" w:fill="F2F2F2"/>
          </w:tcPr>
          <w:p>
            <w:r>
              <w:rPr>
                <w:sz w:val="20"/>
              </w:rPr>
              <w:t>Registered chickpeas intake for export</w:t>
            </w:r>
          </w:p>
        </w:tc>
        <w:tc>
          <w:tcPr>
            <w:tcW w:type="dxa" w:w="3135"/>
            <w:shd w:val="clear" w:color="auto" w:fill="F2F2F2"/>
          </w:tcPr>
          <w:p>
            <w:r>
              <w:rPr>
                <w:sz w:val="20"/>
              </w:rPr>
              <w:t>Within scope</w:t>
            </w:r>
          </w:p>
        </w:tc>
      </w:tr>
      <w:tr>
        <w:tc>
          <w:tcPr>
            <w:tcW w:type="dxa" w:w="3135"/>
          </w:tcPr>
          <w:p>
            <w:r>
              <w:rPr>
                <w:sz w:val="20"/>
              </w:rPr>
              <w:t>Contract receival</w:t>
            </w:r>
          </w:p>
        </w:tc>
        <w:tc>
          <w:tcPr>
            <w:tcW w:type="dxa" w:w="3135"/>
          </w:tcPr>
          <w:p>
            <w:r>
              <w:rPr>
                <w:sz w:val="20"/>
              </w:rPr>
              <w:t>Third-party receival services — weighbridge and intake</w:t>
            </w:r>
          </w:p>
        </w:tc>
        <w:tc>
          <w:tcPr>
            <w:tcW w:type="dxa" w:w="3135"/>
          </w:tcPr>
          <w:p>
            <w:r>
              <w:rPr>
                <w:sz w:val="20"/>
              </w:rPr>
              <w:t>Not registered</w:t>
            </w:r>
          </w:p>
        </w:tc>
      </w:tr>
      <w:tr>
        <w:tc>
          <w:tcPr>
            <w:tcW w:type="dxa" w:w="3135"/>
            <w:shd w:val="clear" w:color="auto" w:fill="F2F2F2"/>
          </w:tcPr>
          <w:p>
            <w:r>
              <w:rPr>
                <w:sz w:val="20"/>
              </w:rPr>
              <w:t>Drying</w:t>
            </w:r>
          </w:p>
        </w:tc>
        <w:tc>
          <w:tcPr>
            <w:tcW w:type="dxa" w:w="3135"/>
            <w:shd w:val="clear" w:color="auto" w:fill="F2F2F2"/>
          </w:tcPr>
          <w:p>
            <w:r>
              <w:rPr>
                <w:sz w:val="20"/>
              </w:rPr>
              <w:t>High-temperature drying for domestic-grade product</w:t>
            </w:r>
          </w:p>
        </w:tc>
        <w:tc>
          <w:tcPr>
            <w:tcW w:type="dxa" w:w="3135"/>
            <w:shd w:val="clear" w:color="auto" w:fill="F2F2F2"/>
          </w:tcPr>
          <w:p>
            <w:r>
              <w:rPr>
                <w:sz w:val="20"/>
              </w:rPr>
              <w:t>Not registered</w:t>
            </w:r>
          </w:p>
        </w:tc>
      </w:tr>
      <w:tr>
        <w:tc>
          <w:tcPr>
            <w:tcW w:type="dxa" w:w="3135"/>
          </w:tcPr>
          <w:p>
            <w:r>
              <w:rPr>
                <w:sz w:val="20"/>
              </w:rPr>
              <w:t>Bagging</w:t>
            </w:r>
          </w:p>
        </w:tc>
        <w:tc>
          <w:tcPr>
            <w:tcW w:type="dxa" w:w="3135"/>
          </w:tcPr>
          <w:p>
            <w:r>
              <w:rPr>
                <w:sz w:val="20"/>
              </w:rPr>
              <w:t>Packaging into 25 kg bags for domestic distribution</w:t>
            </w:r>
          </w:p>
        </w:tc>
        <w:tc>
          <w:tcPr>
            <w:tcW w:type="dxa" w:w="3135"/>
          </w:tcPr>
          <w:p>
            <w:r>
              <w:rPr>
                <w:sz w:val="20"/>
              </w:rPr>
              <w:t>Not registered</w:t>
            </w:r>
          </w:p>
        </w:tc>
      </w:tr>
      <w:tr>
        <w:tc>
          <w:tcPr>
            <w:tcW w:type="dxa" w:w="3135"/>
            <w:shd w:val="clear" w:color="auto" w:fill="F2F2F2"/>
          </w:tcPr>
          <w:p>
            <w:r>
              <w:rPr>
                <w:sz w:val="20"/>
              </w:rPr>
              <w:t>Dispatch</w:t>
            </w:r>
          </w:p>
        </w:tc>
        <w:tc>
          <w:tcPr>
            <w:tcW w:type="dxa" w:w="3135"/>
            <w:shd w:val="clear" w:color="auto" w:fill="F2F2F2"/>
          </w:tcPr>
          <w:p>
            <w:r>
              <w:rPr>
                <w:sz w:val="20"/>
              </w:rPr>
              <w:t>Export and domestic dispatch from shared dock</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RE-NSW-2020-0144 is current and active. The establishment was granted registration on 14 June 2020 and the current registration period extends to 13 June 2023. There are no conditions, suspensions or reviews attached to this registration.</w:t>
      </w:r>
    </w:p>
    <w:p/>
    <w:p>
      <w:pPr>
        <w:pStyle w:val="Heading1"/>
      </w:pPr>
      <w:r>
        <w:rPr>
          <w:color w:val="1F497D"/>
          <w:sz w:val="26"/>
        </w:rPr>
        <w:t>4. Fit and Proper Person</w:t>
      </w:r>
    </w:p>
    <w:p>
      <w:r>
        <w:rPr>
          <w:sz w:val="20"/>
        </w:rPr>
        <w:t>Colin Fraser is the nominated responsible person for this registration. The establishment has been under continuous management since 2015. The entity is a family trust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47 on Plan DP 376761, located at 32 Newell Highway, Narrabri NSW 2390. The total registered area is 21.8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chickpeas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chickpeas. Total storage capacity is approximately 1,200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India: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NPPO India conditions for pulse imports</w:t>
            </w:r>
          </w:p>
        </w:tc>
      </w:tr>
      <w:tr>
        <w:tc>
          <w:tcPr>
            <w:tcW w:type="dxa" w:w="4703"/>
          </w:tcPr>
          <w:p>
            <w:r>
              <w:rPr>
                <w:sz w:val="20"/>
              </w:rPr>
              <w:t>Fumigation</w:t>
            </w:r>
          </w:p>
        </w:tc>
        <w:tc>
          <w:tcPr>
            <w:tcW w:type="dxa" w:w="4703"/>
          </w:tcPr>
          <w:p>
            <w:r>
              <w:rPr>
                <w:sz w:val="20"/>
              </w:rPr>
              <w:t>Approved fumigation schedule; records retained ≥2 years</w:t>
            </w:r>
          </w:p>
        </w:tc>
      </w:tr>
      <w:tr>
        <w:tc>
          <w:tcPr>
            <w:tcW w:type="dxa" w:w="4703"/>
            <w:shd w:val="clear" w:color="auto" w:fill="F2F2F2"/>
          </w:tcPr>
          <w:p>
            <w:r>
              <w:rPr>
                <w:sz w:val="20"/>
              </w:rPr>
              <w:t>APEDA Certificate</w:t>
            </w:r>
          </w:p>
        </w:tc>
        <w:tc>
          <w:tcPr>
            <w:tcW w:type="dxa" w:w="4703"/>
            <w:shd w:val="clear" w:color="auto" w:fill="F2F2F2"/>
          </w:tcPr>
          <w:p>
            <w:r>
              <w:rPr>
                <w:sz w:val="20"/>
              </w:rPr>
              <w:t>Export quality inspection certificate from APEDA-approved lab</w:t>
            </w:r>
          </w:p>
        </w:tc>
      </w:tr>
      <w:tr>
        <w:tc>
          <w:tcPr>
            <w:tcW w:type="dxa" w:w="4703"/>
          </w:tcPr>
          <w:p>
            <w:r>
              <w:rPr>
                <w:sz w:val="20"/>
              </w:rPr>
              <w:t>FSSAI Limits</w:t>
            </w:r>
          </w:p>
        </w:tc>
        <w:tc>
          <w:tcPr>
            <w:tcW w:type="dxa" w:w="4703"/>
          </w:tcPr>
          <w:p>
            <w:r>
              <w:rPr>
                <w:sz w:val="20"/>
              </w:rPr>
              <w:t>Protein and moisture within FSSAI tolerance for imported pulses</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Colin Fraser, as the responsible person for Namoi Grain Trust (RE RE-NSW-2020-0144),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Colin Fraser</w:t>
            </w:r>
          </w:p>
        </w:tc>
      </w:tr>
      <w:tr>
        <w:tc>
          <w:tcPr>
            <w:tcW w:type="dxa" w:w="2835"/>
            <w:shd w:val="clear" w:color="auto" w:fill="DCE6F1"/>
          </w:tcPr>
          <w:p>
            <w:r>
              <w:rPr>
                <w:b/>
                <w:sz w:val="20"/>
              </w:rPr>
              <w:t>Date</w:t>
            </w:r>
          </w:p>
        </w:tc>
        <w:tc>
          <w:tcPr>
            <w:tcW w:type="dxa" w:w="5669"/>
          </w:tcPr>
          <w:p>
            <w:r>
              <w:rPr>
                <w:sz w:val="20"/>
              </w:rPr>
              <w:t>5 April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