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Namoi Grain</w:t>
            </w:r>
          </w:p>
        </w:tc>
      </w:tr>
      <w:tr>
        <w:tc>
          <w:tcPr>
            <w:tcW w:type="dxa" w:w="3118"/>
            <w:shd w:val="clear" w:color="auto" w:fill="DCE6F1"/>
            <w:vAlign w:val="center"/>
          </w:tcPr>
          <w:p>
            <w:r>
              <w:rPr>
                <w:b/>
                <w:sz w:val="18"/>
              </w:rPr>
              <w:t>RE Number</w:t>
            </w:r>
          </w:p>
        </w:tc>
        <w:tc>
          <w:tcPr>
            <w:tcW w:type="dxa" w:w="6236"/>
            <w:vAlign w:val="center"/>
          </w:tcPr>
          <w:p>
            <w:r>
              <w:rPr>
                <w:sz w:val="18"/>
              </w:rPr>
              <w:t>RE-NSW-2020-0144</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32 Newell Highway, Narrabri NSW 2390</w:t>
            </w:r>
          </w:p>
        </w:tc>
      </w:tr>
      <w:tr>
        <w:tc>
          <w:tcPr>
            <w:tcW w:type="dxa" w:w="3118"/>
            <w:shd w:val="clear" w:color="auto" w:fill="DCE6F1"/>
            <w:vAlign w:val="center"/>
          </w:tcPr>
          <w:p>
            <w:r>
              <w:rPr>
                <w:b/>
                <w:sz w:val="18"/>
              </w:rPr>
              <w:t>Registered Commodity</w:t>
            </w:r>
          </w:p>
        </w:tc>
        <w:tc>
          <w:tcPr>
            <w:tcW w:type="dxa" w:w="6236"/>
            <w:vAlign w:val="center"/>
          </w:tcPr>
          <w:p>
            <w:r>
              <w:rPr>
                <w:sz w:val="18"/>
              </w:rPr>
              <w:t>Onions</w:t>
            </w:r>
          </w:p>
        </w:tc>
      </w:tr>
      <w:tr>
        <w:tc>
          <w:tcPr>
            <w:tcW w:type="dxa" w:w="3118"/>
            <w:shd w:val="clear" w:color="auto" w:fill="DCE6F1"/>
            <w:vAlign w:val="center"/>
          </w:tcPr>
          <w:p>
            <w:r>
              <w:rPr>
                <w:b/>
                <w:sz w:val="18"/>
              </w:rPr>
              <w:t>Responsible Officer</w:t>
            </w:r>
          </w:p>
        </w:tc>
        <w:tc>
          <w:tcPr>
            <w:tcW w:type="dxa" w:w="6236"/>
            <w:vAlign w:val="center"/>
          </w:tcPr>
          <w:p>
            <w:r>
              <w:rPr>
                <w:sz w:val="18"/>
              </w:rPr>
              <w:t>Amy Schultz</w:t>
            </w:r>
          </w:p>
        </w:tc>
      </w:tr>
      <w:tr>
        <w:tc>
          <w:tcPr>
            <w:tcW w:type="dxa" w:w="3118"/>
            <w:shd w:val="clear" w:color="auto" w:fill="DCE6F1"/>
            <w:vAlign w:val="center"/>
          </w:tcPr>
          <w:p>
            <w:r>
              <w:rPr>
                <w:b/>
                <w:sz w:val="18"/>
              </w:rPr>
              <w:t>Property Area</w:t>
            </w:r>
          </w:p>
        </w:tc>
        <w:tc>
          <w:tcPr>
            <w:tcW w:type="dxa" w:w="6236"/>
            <w:vAlign w:val="center"/>
          </w:tcPr>
          <w:p>
            <w:r>
              <w:rPr>
                <w:sz w:val="18"/>
              </w:rPr>
              <w:t>98.0 ha</w:t>
            </w:r>
          </w:p>
        </w:tc>
      </w:tr>
      <w:tr>
        <w:tc>
          <w:tcPr>
            <w:tcW w:type="dxa" w:w="3118"/>
            <w:shd w:val="clear" w:color="auto" w:fill="DCE6F1"/>
            <w:vAlign w:val="center"/>
          </w:tcPr>
          <w:p>
            <w:r>
              <w:rPr>
                <w:b/>
                <w:sz w:val="18"/>
              </w:rPr>
              <w:t>Year Established</w:t>
            </w:r>
          </w:p>
        </w:tc>
        <w:tc>
          <w:tcPr>
            <w:tcW w:type="dxa" w:w="6236"/>
            <w:vAlign w:val="center"/>
          </w:tcPr>
          <w:p>
            <w:r>
              <w:rPr>
                <w:sz w:val="18"/>
              </w:rPr>
              <w:t>2018</w:t>
            </w:r>
          </w:p>
        </w:tc>
      </w:tr>
      <w:tr>
        <w:tc>
          <w:tcPr>
            <w:tcW w:type="dxa" w:w="3118"/>
            <w:shd w:val="clear" w:color="auto" w:fill="DCE6F1"/>
            <w:vAlign w:val="center"/>
          </w:tcPr>
          <w:p>
            <w:r>
              <w:rPr>
                <w:b/>
                <w:sz w:val="18"/>
              </w:rPr>
              <w:t>Document Version</w:t>
            </w:r>
          </w:p>
        </w:tc>
        <w:tc>
          <w:tcPr>
            <w:tcW w:type="dxa" w:w="6236"/>
            <w:vAlign w:val="center"/>
          </w:tcPr>
          <w:p>
            <w:r>
              <w:rPr>
                <w:sz w:val="18"/>
              </w:rPr>
              <w:t>2.3</w:t>
            </w:r>
          </w:p>
        </w:tc>
      </w:tr>
      <w:tr>
        <w:tc>
          <w:tcPr>
            <w:tcW w:type="dxa" w:w="3118"/>
            <w:shd w:val="clear" w:color="auto" w:fill="DCE6F1"/>
            <w:vAlign w:val="center"/>
          </w:tcPr>
          <w:p>
            <w:r>
              <w:rPr>
                <w:b/>
                <w:sz w:val="18"/>
              </w:rPr>
              <w:t>Plan Date</w:t>
            </w:r>
          </w:p>
        </w:tc>
        <w:tc>
          <w:tcPr>
            <w:tcW w:type="dxa" w:w="6236"/>
            <w:vAlign w:val="center"/>
          </w:tcPr>
          <w:p>
            <w:r>
              <w:rPr>
                <w:sz w:val="18"/>
              </w:rPr>
              <w:t>5 October 2024</w:t>
            </w:r>
          </w:p>
        </w:tc>
      </w:tr>
      <w:tr>
        <w:tc>
          <w:tcPr>
            <w:tcW w:type="dxa" w:w="3118"/>
            <w:shd w:val="clear" w:color="auto" w:fill="DCE6F1"/>
            <w:vAlign w:val="center"/>
          </w:tcPr>
          <w:p>
            <w:r>
              <w:rPr>
                <w:b/>
                <w:sz w:val="18"/>
              </w:rPr>
              <w:t>Next Review</w:t>
            </w:r>
          </w:p>
        </w:tc>
        <w:tc>
          <w:tcPr>
            <w:tcW w:type="dxa" w:w="6236"/>
            <w:vAlign w:val="center"/>
          </w:tcPr>
          <w:p>
            <w:r>
              <w:rPr>
                <w:sz w:val="18"/>
              </w:rPr>
              <w:t>5 October 2026</w:t>
            </w:r>
          </w:p>
        </w:tc>
      </w:tr>
    </w:tbl>
    <w:p/>
    <w:p>
      <w:pPr>
        <w:pStyle w:val="Heading1"/>
      </w:pPr>
      <w:r>
        <w:rPr>
          <w:color w:val="1F497D"/>
        </w:rPr>
        <w:t>1.  OVERVIEW</w:t>
      </w:r>
    </w:p>
    <w:p>
      <w:r>
        <w:rPr>
          <w:b w:val="0"/>
          <w:i w:val="0"/>
          <w:sz w:val="20"/>
        </w:rPr>
        <w:t>Namoi Grain is a registered export establishment located at 32 Newell Highway, Narrabri NSW 2390, NSW. The establishment holds RE Number RE-NSW-2020-0144 and is registered to handle and export Onions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35×22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CS1</w:t>
            </w:r>
          </w:p>
        </w:tc>
        <w:tc>
          <w:tcPr>
            <w:tcW w:type="dxa" w:w="3118"/>
            <w:shd w:val="clear" w:color="auto" w:fill="F2F2F2"/>
            <w:vAlign w:val="center"/>
          </w:tcPr>
          <w:p>
            <w:r>
              <w:rPr>
                <w:sz w:val="18"/>
              </w:rPr>
              <w:t>Cool Store 1</w:t>
            </w:r>
          </w:p>
        </w:tc>
        <w:tc>
          <w:tcPr>
            <w:tcW w:type="dxa" w:w="1587"/>
            <w:shd w:val="clear" w:color="auto" w:fill="F2F2F2"/>
            <w:vAlign w:val="center"/>
          </w:tcPr>
          <w:p>
            <w:r>
              <w:rPr>
                <w:sz w:val="18"/>
              </w:rPr>
              <w:t>18×14 m</w:t>
            </w:r>
          </w:p>
        </w:tc>
        <w:tc>
          <w:tcPr>
            <w:tcW w:type="dxa" w:w="1984"/>
            <w:shd w:val="clear" w:color="auto" w:fill="F2F2F2"/>
            <w:vAlign w:val="center"/>
          </w:tcPr>
          <w:p>
            <w:r>
              <w:rPr>
                <w:sz w:val="18"/>
              </w:rPr>
              <w:t>Insulated panel, R410A refrigeration</w:t>
            </w:r>
          </w:p>
        </w:tc>
        <w:tc>
          <w:tcPr>
            <w:tcW w:type="dxa" w:w="2381"/>
            <w:shd w:val="clear" w:color="auto" w:fill="F2F2F2"/>
            <w:vAlign w:val="center"/>
          </w:tcPr>
          <w:p>
            <w:r>
              <w:rPr>
                <w:sz w:val="18"/>
              </w:rPr>
              <w:t>East of PH</w:t>
            </w:r>
          </w:p>
        </w:tc>
      </w:tr>
      <w:tr>
        <w:tc>
          <w:tcPr>
            <w:tcW w:type="dxa" w:w="850"/>
            <w:shd w:val="clear" w:color="auto" w:fill="FFFFFF"/>
            <w:vAlign w:val="center"/>
          </w:tcPr>
          <w:p>
            <w:r>
              <w:rPr>
                <w:sz w:val="18"/>
              </w:rPr>
              <w:t>CS2</w:t>
            </w:r>
          </w:p>
        </w:tc>
        <w:tc>
          <w:tcPr>
            <w:tcW w:type="dxa" w:w="3118"/>
            <w:shd w:val="clear" w:color="auto" w:fill="FFFFFF"/>
            <w:vAlign w:val="center"/>
          </w:tcPr>
          <w:p>
            <w:r>
              <w:rPr>
                <w:sz w:val="18"/>
              </w:rPr>
              <w:t>Cool Store 2</w:t>
            </w:r>
          </w:p>
        </w:tc>
        <w:tc>
          <w:tcPr>
            <w:tcW w:type="dxa" w:w="1587"/>
            <w:shd w:val="clear" w:color="auto" w:fill="FFFFFF"/>
            <w:vAlign w:val="center"/>
          </w:tcPr>
          <w:p>
            <w:r>
              <w:rPr>
                <w:sz w:val="18"/>
              </w:rPr>
              <w:t>18×14 m</w:t>
            </w:r>
          </w:p>
        </w:tc>
        <w:tc>
          <w:tcPr>
            <w:tcW w:type="dxa" w:w="1984"/>
            <w:shd w:val="clear" w:color="auto" w:fill="FFFFFF"/>
            <w:vAlign w:val="center"/>
          </w:tcPr>
          <w:p>
            <w:r>
              <w:rPr>
                <w:sz w:val="18"/>
              </w:rPr>
              <w:t>Insulated panel, R410A refrigeration</w:t>
            </w:r>
          </w:p>
        </w:tc>
        <w:tc>
          <w:tcPr>
            <w:tcW w:type="dxa" w:w="2381"/>
            <w:shd w:val="clear" w:color="auto" w:fill="FFFFFF"/>
            <w:vAlign w:val="center"/>
          </w:tcPr>
          <w:p>
            <w:r>
              <w:rPr>
                <w:sz w:val="18"/>
              </w:rPr>
              <w:t>East of CS1</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Metal detector</w:t>
            </w:r>
          </w:p>
        </w:tc>
        <w:tc>
          <w:tcPr>
            <w:tcW w:type="dxa" w:w="1984"/>
            <w:shd w:val="clear" w:color="auto" w:fill="FFFFFF"/>
            <w:vAlign w:val="center"/>
          </w:tcPr>
          <w:p>
            <w:r>
              <w:rPr>
                <w:sz w:val="18"/>
              </w:rPr>
              <w:t>CCP inline</w:t>
            </w:r>
          </w:p>
        </w:tc>
        <w:tc>
          <w:tcPr>
            <w:tcW w:type="dxa" w:w="4252"/>
            <w:shd w:val="clear" w:color="auto" w:fill="FFFFFF"/>
            <w:vAlign w:val="center"/>
          </w:tcPr>
          <w:p>
            <w:r>
              <w:rPr>
                <w:sz w:val="18"/>
              </w:rPr>
              <w:t>Food safety — export compliance</w:t>
            </w:r>
          </w:p>
        </w:tc>
      </w:tr>
      <w:tr>
        <w:tc>
          <w:tcPr>
            <w:tcW w:type="dxa" w:w="3685"/>
            <w:shd w:val="clear" w:color="auto" w:fill="F2F2F2"/>
            <w:vAlign w:val="center"/>
          </w:tcPr>
          <w:p>
            <w:r>
              <w:rPr>
                <w:sz w:val="18"/>
              </w:rPr>
              <w:t>Weigh-price labeller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Consumer pack verification</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Onions.</w:t>
      </w:r>
    </w:p>
    <w:p>
      <w:pPr>
        <w:pStyle w:val="Heading2"/>
      </w:pPr>
      <w:r>
        <w:t>4.2  Lighting (C2)</w:t>
      </w:r>
    </w:p>
    <w:p>
      <w:r>
        <w:rPr>
          <w:b w:val="0"/>
          <w:i w:val="0"/>
          <w:sz w:val="20"/>
        </w:rPr>
        <w:t>Permanent LED lighting is installed in the receival bay (300 lux) and the office area only. The grading and inspection section of the shed relies on natural light from the north-facing roller door opening. No fixed artificial lighting is installed in the grading zone — operators use portable work lights during overcast conditions.</w:t>
      </w:r>
    </w:p>
    <w:p>
      <w:pPr>
        <w:pStyle w:val="Heading2"/>
      </w:pPr>
      <w:r>
        <w:t>4.3  Handwashing and Toilet Facilities (C3)</w:t>
      </w:r>
    </w:p>
    <w:p>
      <w:r>
        <w:rPr>
          <w:b w:val="0"/>
          <w:i w:val="0"/>
          <w:sz w:val="20"/>
        </w:rPr>
        <w:t>Converted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(WM-SOP-123, version 2.3,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8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March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Energex/Ergon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bore licence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Amy Schultz</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5 October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