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97D"/>
          <w:sz w:val="40"/>
        </w:rPr>
        <w:t>BAIT STATION MAP</w:t>
      </w:r>
    </w:p>
    <w:p>
      <w:pPr>
        <w:jc w:val="center"/>
      </w:pPr>
      <w:r>
        <w:rPr>
          <w:color w:val="555555"/>
          <w:sz w:val="20"/>
        </w:rPr>
        <w:t>Plant Export Registered Establishment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Establishment Name</w:t>
            </w:r>
          </w:p>
        </w:tc>
        <w:tc>
          <w:tcPr>
            <w:tcW w:type="dxa" w:w="6236"/>
            <w:shd w:val="clear" w:color="auto" w:fill="F2F2F2"/>
          </w:tcPr>
          <w:p>
            <w:r>
              <w:rPr>
                <w:sz w:val="18"/>
              </w:rPr>
              <w:t>Moree Cotton and Grain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RE Number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RE-NSW-2020-0177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State</w:t>
            </w:r>
          </w:p>
        </w:tc>
        <w:tc>
          <w:tcPr>
            <w:tcW w:type="dxa" w:w="6236"/>
            <w:shd w:val="clear" w:color="auto" w:fill="F2F2F2"/>
          </w:tcPr>
          <w:p>
            <w:r>
              <w:rPr>
                <w:sz w:val="18"/>
              </w:rPr>
              <w:t>NSW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Property Address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44 Newell Highway, Moree NSW 2400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Registered Commodity</w:t>
            </w:r>
          </w:p>
        </w:tc>
        <w:tc>
          <w:tcPr>
            <w:tcW w:type="dxa" w:w="6236"/>
            <w:shd w:val="clear" w:color="auto" w:fill="F2F2F2"/>
          </w:tcPr>
          <w:p>
            <w:r>
              <w:rPr>
                <w:sz w:val="18"/>
              </w:rPr>
              <w:t>Citrus and Stonefruit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Map Version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v1.8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Prepared Date</w:t>
            </w:r>
          </w:p>
        </w:tc>
        <w:tc>
          <w:tcPr>
            <w:tcW w:type="dxa" w:w="6236"/>
            <w:shd w:val="clear" w:color="auto" w:fill="F2F2F2"/>
          </w:tcPr>
          <w:p>
            <w:r>
              <w:rPr>
                <w:sz w:val="18"/>
              </w:rPr>
              <w:t>21 April 2026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Responsible Officer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QA Coordinator</w:t>
            </w:r>
          </w:p>
        </w:tc>
      </w:tr>
    </w:tbl>
    <w:p/>
    <w:p>
      <w:pPr>
        <w:spacing w:before="200" w:after="60"/>
      </w:pPr>
      <w:r>
        <w:rPr>
          <w:b/>
          <w:color w:val="1F497D"/>
          <w:sz w:val="26"/>
        </w:rPr>
        <w:t>1. Pest Control System Overview</w:t>
      </w:r>
    </w:p>
    <w:p>
      <w:r>
        <w:rPr>
          <w:b w:val="0"/>
          <w:i w:val="0"/>
          <w:sz w:val="18"/>
        </w:rPr>
        <w:t>Integrated pest management applies rodent surveillance using 18 mapped stations and contractor verification. Trend review identifies repeated rodent activity in receival zones with delayed escalation follow-up. All operational and surrounding areas maintained clean and free of harbourage.</w:t>
      </w:r>
    </w:p>
    <w:p>
      <w:pPr>
        <w:spacing w:before="200" w:after="60"/>
      </w:pPr>
      <w:r>
        <w:rPr>
          <w:b/>
          <w:color w:val="1F497D"/>
          <w:sz w:val="26"/>
        </w:rPr>
        <w:t>2. Bait Station and Trap Layout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Station Code</w:t>
            </w:r>
          </w:p>
        </w:tc>
        <w:tc>
          <w:tcPr>
            <w:tcW w:type="dxa" w:w="1568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Zone</w:t>
            </w:r>
          </w:p>
        </w:tc>
        <w:tc>
          <w:tcPr>
            <w:tcW w:type="dxa" w:w="1568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Location</w:t>
            </w:r>
          </w:p>
        </w:tc>
        <w:tc>
          <w:tcPr>
            <w:tcW w:type="dxa" w:w="1568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Bait Type</w:t>
            </w:r>
          </w:p>
        </w:tc>
        <w:tc>
          <w:tcPr>
            <w:tcW w:type="dxa" w:w="1568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Station Condition</w:t>
            </w:r>
          </w:p>
        </w:tc>
        <w:tc>
          <w:tcPr>
            <w:tcW w:type="dxa" w:w="1568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BS-01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Zone 1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Perimeter wall segment 1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Difethialone 0.0025%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Good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Active</w:t>
            </w:r>
          </w:p>
        </w:tc>
      </w:tr>
      <w:tr>
        <w:tc>
          <w:tcPr>
            <w:tcW w:type="dxa" w:w="1568"/>
          </w:tcPr>
          <w:p>
            <w:r>
              <w:rPr>
                <w:sz w:val="16"/>
              </w:rPr>
              <w:t>BS-02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Zone 1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Perimeter wall segment 2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Bromadiolone 0.005%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Good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Active</w:t>
            </w:r>
          </w:p>
        </w:tc>
      </w:tr>
      <w:tr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BS-03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Zone 1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Perimeter wall segment 3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Bromadiolone 0.005%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Good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Active</w:t>
            </w:r>
          </w:p>
        </w:tc>
      </w:tr>
      <w:tr>
        <w:tc>
          <w:tcPr>
            <w:tcW w:type="dxa" w:w="1568"/>
          </w:tcPr>
          <w:p>
            <w:r>
              <w:rPr>
                <w:sz w:val="16"/>
              </w:rPr>
              <w:t>BS-04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Zone 1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Perimeter wall segment 4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Bromadiolone 0.005%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Good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Active</w:t>
            </w:r>
          </w:p>
        </w:tc>
      </w:tr>
      <w:tr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BS-05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Zone 2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Perimeter wall segment 1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Difethialone 0.0025%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Good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Active</w:t>
            </w:r>
          </w:p>
        </w:tc>
      </w:tr>
      <w:tr>
        <w:tc>
          <w:tcPr>
            <w:tcW w:type="dxa" w:w="1568"/>
          </w:tcPr>
          <w:p>
            <w:r>
              <w:rPr>
                <w:sz w:val="16"/>
              </w:rPr>
              <w:t>BS-06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Zone 2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Perimeter wall segment 2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Bromadiolone 0.005%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Good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Active</w:t>
            </w:r>
          </w:p>
        </w:tc>
      </w:tr>
      <w:tr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BS-07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Zone 2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Perimeter wall segment 3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Difethialone 0.0025%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Good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Active</w:t>
            </w:r>
          </w:p>
        </w:tc>
      </w:tr>
      <w:tr>
        <w:tc>
          <w:tcPr>
            <w:tcW w:type="dxa" w:w="1568"/>
          </w:tcPr>
          <w:p>
            <w:r>
              <w:rPr>
                <w:sz w:val="16"/>
              </w:rPr>
              <w:t>BS-08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Zone 2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Perimeter wall segment 4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Difethialone 0.0025%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Good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Active</w:t>
            </w:r>
          </w:p>
        </w:tc>
      </w:tr>
      <w:tr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BS-09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Zone 3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Perimeter wall segment 1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Bromadiolone 0.005%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Good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Active</w:t>
            </w:r>
          </w:p>
        </w:tc>
      </w:tr>
      <w:tr>
        <w:tc>
          <w:tcPr>
            <w:tcW w:type="dxa" w:w="1568"/>
          </w:tcPr>
          <w:p>
            <w:r>
              <w:rPr>
                <w:sz w:val="16"/>
              </w:rPr>
              <w:t>BS-10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Zone 3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Perimeter wall segment 2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Difethialone 0.0025%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Good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Active</w:t>
            </w:r>
          </w:p>
        </w:tc>
      </w:tr>
      <w:tr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BS-11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Zone 3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Perimeter wall segment 3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Bromadiolone 0.005%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Good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Active</w:t>
            </w:r>
          </w:p>
        </w:tc>
      </w:tr>
      <w:tr>
        <w:tc>
          <w:tcPr>
            <w:tcW w:type="dxa" w:w="1568"/>
          </w:tcPr>
          <w:p>
            <w:r>
              <w:rPr>
                <w:sz w:val="16"/>
              </w:rPr>
              <w:t>BS-12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Zone 3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Perimeter wall segment 4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Bromadiolone 0.005%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Good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Active</w:t>
            </w:r>
          </w:p>
        </w:tc>
      </w:tr>
      <w:tr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BS-13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Zone 4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Perimeter wall segment 1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Bromadiolone 0.005%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Good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Active</w:t>
            </w:r>
          </w:p>
        </w:tc>
      </w:tr>
      <w:tr>
        <w:tc>
          <w:tcPr>
            <w:tcW w:type="dxa" w:w="1568"/>
          </w:tcPr>
          <w:p>
            <w:r>
              <w:rPr>
                <w:sz w:val="16"/>
              </w:rPr>
              <w:t>BS-14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Zone 4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Perimeter wall segment 2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Bromadiolone 0.005%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Good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Active</w:t>
            </w:r>
          </w:p>
        </w:tc>
      </w:tr>
      <w:tr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BS-15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Zone 4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Perimeter wall segment 3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Non-toxic monitor block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Good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Active</w:t>
            </w:r>
          </w:p>
        </w:tc>
      </w:tr>
      <w:tr>
        <w:tc>
          <w:tcPr>
            <w:tcW w:type="dxa" w:w="1568"/>
          </w:tcPr>
          <w:p>
            <w:r>
              <w:rPr>
                <w:sz w:val="16"/>
              </w:rPr>
              <w:t>BS-16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Zone 4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Perimeter wall segment 4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Non-toxic monitor block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Good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Active</w:t>
            </w:r>
          </w:p>
        </w:tc>
      </w:tr>
      <w:tr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BS-17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Zone 5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Perimeter wall segment 1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Bromadiolone 0.005%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Good</w:t>
            </w:r>
          </w:p>
        </w:tc>
        <w:tc>
          <w:tcPr>
            <w:tcW w:type="dxa" w:w="1568"/>
            <w:shd w:val="clear" w:color="auto" w:fill="EEF4FB"/>
          </w:tcPr>
          <w:p>
            <w:r>
              <w:rPr>
                <w:sz w:val="16"/>
              </w:rPr>
              <w:t>Active</w:t>
            </w:r>
          </w:p>
        </w:tc>
      </w:tr>
      <w:tr>
        <w:tc>
          <w:tcPr>
            <w:tcW w:type="dxa" w:w="1568"/>
          </w:tcPr>
          <w:p>
            <w:r>
              <w:rPr>
                <w:sz w:val="16"/>
              </w:rPr>
              <w:t>BS-18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Zone 5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Perimeter wall segment 2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Bromadiolone 0.005%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Good</w:t>
            </w:r>
          </w:p>
        </w:tc>
        <w:tc>
          <w:tcPr>
            <w:tcW w:type="dxa" w:w="1568"/>
          </w:tcPr>
          <w:p>
            <w:r>
              <w:rPr>
                <w:sz w:val="16"/>
              </w:rPr>
              <w:t>Active</w:t>
            </w:r>
          </w:p>
        </w:tc>
      </w:tr>
    </w:tbl>
    <w:p/>
    <w:p>
      <w:pPr>
        <w:spacing w:before="200" w:after="60"/>
      </w:pPr>
      <w:r>
        <w:rPr>
          <w:b/>
          <w:color w:val="1F497D"/>
          <w:sz w:val="26"/>
        </w:rPr>
        <w:t>3. Monitoring and Servicing Schedule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2351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Frequency</w:t>
            </w:r>
          </w:p>
        </w:tc>
        <w:tc>
          <w:tcPr>
            <w:tcW w:type="dxa" w:w="2351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Responsible</w:t>
            </w:r>
          </w:p>
        </w:tc>
        <w:tc>
          <w:tcPr>
            <w:tcW w:type="dxa" w:w="2351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Record Type</w:t>
            </w:r>
          </w:p>
        </w:tc>
      </w:tr>
      <w:tr>
        <w:tc>
          <w:tcPr>
            <w:tcW w:type="dxa" w:w="2351"/>
            <w:shd w:val="clear" w:color="auto" w:fill="EEF4FB"/>
          </w:tcPr>
          <w:p>
            <w:r>
              <w:rPr>
                <w:sz w:val="16"/>
              </w:rPr>
              <w:t>External bait station inspection</w:t>
            </w:r>
          </w:p>
        </w:tc>
        <w:tc>
          <w:tcPr>
            <w:tcW w:type="dxa" w:w="2351"/>
            <w:shd w:val="clear" w:color="auto" w:fill="EEF4FB"/>
          </w:tcPr>
          <w:p>
            <w:r>
              <w:rPr>
                <w:sz w:val="16"/>
              </w:rPr>
              <w:t>Weekly</w:t>
            </w:r>
          </w:p>
        </w:tc>
        <w:tc>
          <w:tcPr>
            <w:tcW w:type="dxa" w:w="2351"/>
            <w:shd w:val="clear" w:color="auto" w:fill="EEF4FB"/>
          </w:tcPr>
          <w:p>
            <w:r>
              <w:rPr>
                <w:sz w:val="16"/>
              </w:rPr>
              <w:t>Pest contractor</w:t>
            </w:r>
          </w:p>
        </w:tc>
        <w:tc>
          <w:tcPr>
            <w:tcW w:type="dxa" w:w="2351"/>
            <w:shd w:val="clear" w:color="auto" w:fill="EEF4FB"/>
          </w:tcPr>
          <w:p>
            <w:r>
              <w:rPr>
                <w:sz w:val="16"/>
              </w:rPr>
              <w:t>Service docket + photo log</w:t>
            </w:r>
          </w:p>
        </w:tc>
      </w:tr>
      <w:tr>
        <w:tc>
          <w:tcPr>
            <w:tcW w:type="dxa" w:w="2351"/>
          </w:tcPr>
          <w:p>
            <w:r>
              <w:rPr>
                <w:sz w:val="16"/>
              </w:rPr>
              <w:t>Internal trap verification</w:t>
            </w:r>
          </w:p>
        </w:tc>
        <w:tc>
          <w:tcPr>
            <w:tcW w:type="dxa" w:w="2351"/>
          </w:tcPr>
          <w:p>
            <w:r>
              <w:rPr>
                <w:sz w:val="16"/>
              </w:rPr>
              <w:t>Twice weekly</w:t>
            </w:r>
          </w:p>
        </w:tc>
        <w:tc>
          <w:tcPr>
            <w:tcW w:type="dxa" w:w="2351"/>
          </w:tcPr>
          <w:p>
            <w:r>
              <w:rPr>
                <w:sz w:val="16"/>
              </w:rPr>
              <w:t>QA team</w:t>
            </w:r>
          </w:p>
        </w:tc>
        <w:tc>
          <w:tcPr>
            <w:tcW w:type="dxa" w:w="2351"/>
          </w:tcPr>
          <w:p>
            <w:r>
              <w:rPr>
                <w:sz w:val="16"/>
              </w:rPr>
              <w:t>Trap register</w:t>
            </w:r>
          </w:p>
        </w:tc>
      </w:tr>
      <w:tr>
        <w:tc>
          <w:tcPr>
            <w:tcW w:type="dxa" w:w="2351"/>
            <w:shd w:val="clear" w:color="auto" w:fill="EEF4FB"/>
          </w:tcPr>
          <w:p>
            <w:r>
              <w:rPr>
                <w:sz w:val="16"/>
              </w:rPr>
              <w:t>Corrective action follow-up</w:t>
            </w:r>
          </w:p>
        </w:tc>
        <w:tc>
          <w:tcPr>
            <w:tcW w:type="dxa" w:w="2351"/>
            <w:shd w:val="clear" w:color="auto" w:fill="EEF4FB"/>
          </w:tcPr>
          <w:p>
            <w:r>
              <w:rPr>
                <w:sz w:val="16"/>
              </w:rPr>
              <w:t>Within 24 hours</w:t>
            </w:r>
          </w:p>
        </w:tc>
        <w:tc>
          <w:tcPr>
            <w:tcW w:type="dxa" w:w="2351"/>
            <w:shd w:val="clear" w:color="auto" w:fill="EEF4FB"/>
          </w:tcPr>
          <w:p>
            <w:r>
              <w:rPr>
                <w:sz w:val="16"/>
              </w:rPr>
              <w:t>Operations</w:t>
            </w:r>
          </w:p>
        </w:tc>
        <w:tc>
          <w:tcPr>
            <w:tcW w:type="dxa" w:w="2351"/>
            <w:shd w:val="clear" w:color="auto" w:fill="EEF4FB"/>
          </w:tcPr>
          <w:p>
            <w:r>
              <w:rPr>
                <w:sz w:val="16"/>
              </w:rPr>
              <w:t>CAPA log</w:t>
            </w:r>
          </w:p>
        </w:tc>
      </w:tr>
      <w:tr>
        <w:tc>
          <w:tcPr>
            <w:tcW w:type="dxa" w:w="2351"/>
          </w:tcPr>
          <w:p>
            <w:r>
              <w:rPr>
                <w:sz w:val="16"/>
              </w:rPr>
              <w:t>Map validation against floor changes</w:t>
            </w:r>
          </w:p>
        </w:tc>
        <w:tc>
          <w:tcPr>
            <w:tcW w:type="dxa" w:w="2351"/>
          </w:tcPr>
          <w:p>
            <w:r>
              <w:rPr>
                <w:sz w:val="16"/>
              </w:rPr>
              <w:t>Monthly</w:t>
            </w:r>
          </w:p>
        </w:tc>
        <w:tc>
          <w:tcPr>
            <w:tcW w:type="dxa" w:w="2351"/>
          </w:tcPr>
          <w:p>
            <w:r>
              <w:rPr>
                <w:sz w:val="16"/>
              </w:rPr>
              <w:t>Biosecurity Supervisor</w:t>
            </w:r>
          </w:p>
        </w:tc>
        <w:tc>
          <w:tcPr>
            <w:tcW w:type="dxa" w:w="2351"/>
          </w:tcPr>
          <w:p>
            <w:r>
              <w:rPr>
                <w:sz w:val="16"/>
              </w:rPr>
              <w:t>Revision register</w:t>
            </w:r>
          </w:p>
        </w:tc>
      </w:tr>
    </w:tbl>
    <w:p/>
    <w:p>
      <w:pPr>
        <w:spacing w:before="200" w:after="60"/>
      </w:pPr>
      <w:r>
        <w:rPr>
          <w:b/>
          <w:color w:val="1F497D"/>
          <w:sz w:val="26"/>
        </w:rPr>
        <w:t>4. Chemical Storage and Segregation</w:t>
      </w:r>
    </w:p>
    <w:p>
      <w:r>
        <w:rPr>
          <w:b w:val="0"/>
          <w:i w:val="0"/>
          <w:sz w:val="18"/>
        </w:rPr>
        <w:t>Pesticides stored in dedicated locked cabinet with inventory reconciliation. Chemical storage physically separated from export product handling and preparation areas.</w:t>
      </w:r>
    </w:p>
    <w:p>
      <w:pPr>
        <w:spacing w:before="200" w:after="60"/>
      </w:pPr>
      <w:r>
        <w:rPr>
          <w:b/>
          <w:color w:val="1F497D"/>
          <w:sz w:val="26"/>
        </w:rPr>
        <w:t>5. Site Sketch (Text Schematic)</w:t>
      </w:r>
    </w:p>
    <w:p>
      <w:pPr>
        <w:spacing w:after="20" w:before="0"/>
      </w:pPr>
      <w:r>
        <w:rPr>
          <w:rFonts w:ascii="Courier New" w:hAnsi="Courier New"/>
          <w:sz w:val="14"/>
        </w:rPr>
        <w:t>┌──────────────────────────────────────────────────────────────┐</w:t>
      </w:r>
    </w:p>
    <w:p>
      <w:pPr>
        <w:spacing w:after="20" w:before="0"/>
      </w:pPr>
      <w:r>
        <w:rPr>
          <w:rFonts w:ascii="Courier New" w:hAnsi="Courier New"/>
          <w:sz w:val="14"/>
        </w:rPr>
        <w:t>│ Moree Cotton and Grain                                          │</w:t>
      </w:r>
    </w:p>
    <w:p>
      <w:pPr>
        <w:spacing w:after="20" w:before="0"/>
      </w:pPr>
      <w:r>
        <w:rPr>
          <w:rFonts w:ascii="Courier New" w:hAnsi="Courier New"/>
          <w:sz w:val="14"/>
        </w:rPr>
        <w:t>│ Perimeter line: BS-01..BS-08 minimum; internal corridors mapped │</w:t>
      </w:r>
    </w:p>
    <w:p>
      <w:pPr>
        <w:spacing w:after="20" w:before="0"/>
      </w:pPr>
      <w:r>
        <w:rPr>
          <w:rFonts w:ascii="Courier New" w:hAnsi="Courier New"/>
          <w:sz w:val="14"/>
        </w:rPr>
        <w:t>│ North Gate → Receival Shed → Packing Hall → Dispatch Zone       │</w:t>
      </w:r>
    </w:p>
    <w:p>
      <w:pPr>
        <w:spacing w:after="20" w:before="0"/>
      </w:pPr>
      <w:r>
        <w:rPr>
          <w:rFonts w:ascii="Courier New" w:hAnsi="Courier New"/>
          <w:sz w:val="14"/>
        </w:rPr>
        <w:t>│ External wall nodes anchor tamper-resistant stations             │</w:t>
      </w:r>
    </w:p>
    <w:p>
      <w:pPr>
        <w:spacing w:after="20" w:before="0"/>
      </w:pPr>
      <w:r>
        <w:rPr>
          <w:rFonts w:ascii="Courier New" w:hAnsi="Courier New"/>
          <w:sz w:val="14"/>
        </w:rPr>
        <w:t>│ Chemical cabinet in secured utilities room                       │</w:t>
      </w:r>
    </w:p>
    <w:p>
      <w:pPr>
        <w:spacing w:after="20" w:before="0"/>
      </w:pPr>
      <w:r>
        <w:rPr>
          <w:rFonts w:ascii="Courier New" w:hAnsi="Courier New"/>
          <w:sz w:val="14"/>
        </w:rPr>
        <w:t>└──────────────────────────────────────────────────────────────┘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